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FAB97" w14:textId="7B5CAE1A" w:rsidR="0080531E" w:rsidRPr="006B77BB" w:rsidRDefault="0070734F" w:rsidP="0003640E">
      <w:pPr>
        <w:pStyle w:val="BodyText"/>
      </w:pPr>
      <w:r>
        <w:rPr>
          <w:noProof/>
        </w:rPr>
        <mc:AlternateContent>
          <mc:Choice Requires="wps">
            <w:drawing>
              <wp:anchor distT="0" distB="0" distL="114300" distR="114300" simplePos="0" relativeHeight="251658244" behindDoc="0" locked="0" layoutInCell="1" allowOverlap="1" wp14:anchorId="24CAA55D" wp14:editId="1F9C712C">
                <wp:simplePos x="0" y="0"/>
                <wp:positionH relativeFrom="column">
                  <wp:posOffset>3700145</wp:posOffset>
                </wp:positionH>
                <wp:positionV relativeFrom="paragraph">
                  <wp:posOffset>-3600450</wp:posOffset>
                </wp:positionV>
                <wp:extent cx="2960370" cy="2876550"/>
                <wp:effectExtent l="0" t="0" r="0" b="0"/>
                <wp:wrapNone/>
                <wp:docPr id="1454882390" name="Teardrop 1454882390"/>
                <wp:cNvGraphicFramePr/>
                <a:graphic xmlns:a="http://schemas.openxmlformats.org/drawingml/2006/main">
                  <a:graphicData uri="http://schemas.microsoft.com/office/word/2010/wordprocessingShape">
                    <wps:wsp>
                      <wps:cNvSpPr/>
                      <wps:spPr>
                        <a:xfrm>
                          <a:off x="0" y="0"/>
                          <a:ext cx="2960370" cy="2876550"/>
                        </a:xfrm>
                        <a:prstGeom prst="teardrop">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76204" w14:textId="20D9456D" w:rsidR="0070734F" w:rsidRPr="000E541B" w:rsidRDefault="0070734F" w:rsidP="000E541B">
                            <w:pPr>
                              <w:jc w:val="center"/>
                              <w:rPr>
                                <w:rFonts w:asciiTheme="minorHAnsi" w:hAnsiTheme="minorHAnsi" w:cstheme="minorHAnsi"/>
                                <w:color w:val="1C556C" w:themeColor="accent1"/>
                                <w:sz w:val="28"/>
                                <w:szCs w:val="28"/>
                              </w:rPr>
                            </w:pPr>
                            <w:r w:rsidRPr="000E541B">
                              <w:rPr>
                                <w:rFonts w:ascii="Lato" w:hAnsi="Lato"/>
                                <w:b/>
                                <w:bCs/>
                                <w:color w:val="1C556C" w:themeColor="accent1"/>
                                <w:sz w:val="28"/>
                                <w:szCs w:val="28"/>
                              </w:rPr>
                              <w:t xml:space="preserve">This guidance </w:t>
                            </w:r>
                            <w:r w:rsidR="00A97868" w:rsidRPr="000E541B">
                              <w:rPr>
                                <w:rFonts w:ascii="Lato" w:hAnsi="Lato"/>
                                <w:b/>
                                <w:bCs/>
                                <w:color w:val="1C556C" w:themeColor="accent1"/>
                                <w:sz w:val="28"/>
                                <w:szCs w:val="28"/>
                              </w:rPr>
                              <w:t>was updated in August 2023</w:t>
                            </w:r>
                            <w:r w:rsidR="00151B1F">
                              <w:rPr>
                                <w:rFonts w:ascii="Lato" w:hAnsi="Lato"/>
                                <w:b/>
                                <w:bCs/>
                                <w:color w:val="1C556C" w:themeColor="accent1"/>
                                <w:sz w:val="28"/>
                                <w:szCs w:val="28"/>
                              </w:rPr>
                              <w:t>.</w:t>
                            </w:r>
                            <w:r w:rsidR="00A97868" w:rsidRPr="000E541B">
                              <w:rPr>
                                <w:rFonts w:ascii="Lato" w:hAnsi="Lato"/>
                                <w:b/>
                                <w:bCs/>
                                <w:color w:val="1C556C" w:themeColor="accent1"/>
                                <w:sz w:val="28"/>
                                <w:szCs w:val="28"/>
                              </w:rPr>
                              <w:t xml:space="preserve"> </w:t>
                            </w:r>
                            <w:r w:rsidR="00151B1F" w:rsidRPr="000E541B">
                              <w:rPr>
                                <w:rFonts w:asciiTheme="minorHAnsi" w:hAnsiTheme="minorHAnsi" w:cstheme="minorHAnsi"/>
                                <w:color w:val="1C556C" w:themeColor="accent1"/>
                                <w:sz w:val="28"/>
                                <w:szCs w:val="28"/>
                              </w:rPr>
                              <w:t>The updated version,</w:t>
                            </w:r>
                            <w:r w:rsidR="00151B1F" w:rsidRPr="000E541B">
                              <w:rPr>
                                <w:rFonts w:asciiTheme="minorHAnsi" w:hAnsiTheme="minorHAnsi" w:cstheme="minorHAnsi"/>
                                <w:b/>
                                <w:bCs/>
                                <w:color w:val="1C556C" w:themeColor="accent1"/>
                                <w:sz w:val="28"/>
                                <w:szCs w:val="28"/>
                              </w:rPr>
                              <w:t xml:space="preserve"> </w:t>
                            </w:r>
                            <w:r w:rsidR="00A97868" w:rsidRPr="000E541B">
                              <w:rPr>
                                <w:rFonts w:asciiTheme="minorHAnsi" w:hAnsiTheme="minorHAnsi" w:cstheme="minorHAnsi"/>
                                <w:b/>
                                <w:bCs/>
                                <w:color w:val="1C556C" w:themeColor="accent1"/>
                                <w:sz w:val="28"/>
                                <w:szCs w:val="28"/>
                              </w:rPr>
                              <w:t xml:space="preserve"> </w:t>
                            </w:r>
                            <w:r w:rsidR="00A97868" w:rsidRPr="000E541B">
                              <w:rPr>
                                <w:rFonts w:asciiTheme="minorHAnsi" w:hAnsiTheme="minorHAnsi" w:cstheme="minorHAnsi"/>
                                <w:b/>
                                <w:bCs/>
                                <w:color w:val="1C556C" w:themeColor="accent1"/>
                                <w:sz w:val="28"/>
                                <w:szCs w:val="28"/>
                              </w:rPr>
                              <w:br/>
                            </w:r>
                            <w:hyperlink r:id="rId12" w:history="1">
                              <w:r w:rsidR="00A97868" w:rsidRPr="000E541B">
                                <w:rPr>
                                  <w:rStyle w:val="Hyperlink"/>
                                  <w:rFonts w:asciiTheme="minorHAnsi" w:hAnsiTheme="minorHAnsi" w:cstheme="minorHAnsi"/>
                                  <w:i/>
                                  <w:iCs/>
                                  <w:color w:val="1C556C" w:themeColor="accent1"/>
                                  <w:sz w:val="28"/>
                                  <w:szCs w:val="28"/>
                                </w:rPr>
                                <w:t>A guide to implementing clause 3.13 of the NPS-FM 2020</w:t>
                              </w:r>
                            </w:hyperlink>
                            <w:r w:rsidR="00A97868" w:rsidRPr="000E541B">
                              <w:rPr>
                                <w:rFonts w:asciiTheme="minorHAnsi" w:hAnsiTheme="minorHAnsi" w:cstheme="minorHAnsi"/>
                                <w:color w:val="1C556C" w:themeColor="accent1"/>
                                <w:sz w:val="28"/>
                                <w:szCs w:val="28"/>
                              </w:rPr>
                              <w:t>, can be found</w:t>
                            </w:r>
                            <w:hyperlink r:id="rId13" w:history="1">
                              <w:r w:rsidR="00A97868" w:rsidRPr="000E541B">
                                <w:rPr>
                                  <w:rStyle w:val="Hyperlink"/>
                                  <w:rFonts w:asciiTheme="minorHAnsi" w:hAnsiTheme="minorHAnsi" w:cstheme="minorHAnsi"/>
                                  <w:sz w:val="28"/>
                                  <w:szCs w:val="28"/>
                                </w:rPr>
                                <w:t xml:space="preserve"> on</w:t>
                              </w:r>
                              <w:r w:rsidR="00151B1F" w:rsidRPr="000E541B">
                                <w:rPr>
                                  <w:rStyle w:val="Hyperlink"/>
                                  <w:rFonts w:asciiTheme="minorHAnsi" w:hAnsiTheme="minorHAnsi" w:cstheme="minorHAnsi"/>
                                  <w:sz w:val="28"/>
                                  <w:szCs w:val="28"/>
                                </w:rPr>
                                <w:br/>
                              </w:r>
                              <w:r w:rsidR="00A97868" w:rsidRPr="000E541B">
                                <w:rPr>
                                  <w:rStyle w:val="Hyperlink"/>
                                  <w:rFonts w:asciiTheme="minorHAnsi" w:hAnsiTheme="minorHAnsi" w:cstheme="minorHAnsi"/>
                                  <w:sz w:val="28"/>
                                  <w:szCs w:val="28"/>
                                </w:rPr>
                                <w:t>the Ministry’s website</w:t>
                              </w:r>
                            </w:hyperlink>
                            <w:r w:rsidR="00A97868" w:rsidRPr="000E541B">
                              <w:rPr>
                                <w:rFonts w:asciiTheme="minorHAnsi" w:hAnsiTheme="minorHAnsi" w:cstheme="minorHAnsi"/>
                                <w:color w:val="1C556C" w:themeColor="accent1"/>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A55D" id="Teardrop 1454882390" o:spid="_x0000_s1026" style="position:absolute;margin-left:291.35pt;margin-top:-283.5pt;width:233.1pt;height:22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0370,287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" adj="-11796480,,5400" path="m,1438275c,643938,662701,,1480185,l2960370,r,1438275c2960370,2232612,2297669,2876550,1480185,2876550,662701,2876550,,2232612,,1438275xe" fillcolor="white [3212]" stroked="f" strokeweight="2pt">
                <v:stroke joinstyle="miter"/>
                <v:formulas/>
                <v:path arrowok="t" o:connecttype="custom" o:connectlocs="0,1438275;1480185,0;2960370,0;2960370,1438275;1480185,2876550;0,1438275" o:connectangles="0,0,0,0,0,0" textboxrect="0,0,2960370,2876550"/>
                <v:textbox inset="1mm,1mm,1mm,1mm">
                  <w:txbxContent>
                    <w:p w14:paraId="6E876204" w14:textId="20D9456D" w:rsidR="0070734F" w:rsidRPr="000E541B" w:rsidRDefault="0070734F" w:rsidP="000E541B">
                      <w:pPr>
                        <w:jc w:val="center"/>
                        <w:rPr>
                          <w:rFonts w:asciiTheme="minorHAnsi" w:hAnsiTheme="minorHAnsi" w:cstheme="minorHAnsi"/>
                          <w:color w:val="1C556C" w:themeColor="accent1"/>
                          <w:sz w:val="28"/>
                          <w:szCs w:val="28"/>
                        </w:rPr>
                      </w:pPr>
                      <w:r w:rsidRPr="000E541B">
                        <w:rPr>
                          <w:rFonts w:ascii="Lato" w:hAnsi="Lato"/>
                          <w:b/>
                          <w:bCs/>
                          <w:color w:val="1C556C" w:themeColor="accent1"/>
                          <w:sz w:val="28"/>
                          <w:szCs w:val="28"/>
                        </w:rPr>
                        <w:t xml:space="preserve">This guidance </w:t>
                      </w:r>
                      <w:r w:rsidR="00A97868" w:rsidRPr="000E541B">
                        <w:rPr>
                          <w:rFonts w:ascii="Lato" w:hAnsi="Lato"/>
                          <w:b/>
                          <w:bCs/>
                          <w:color w:val="1C556C" w:themeColor="accent1"/>
                          <w:sz w:val="28"/>
                          <w:szCs w:val="28"/>
                        </w:rPr>
                        <w:t>was updated in August 2023</w:t>
                      </w:r>
                      <w:r w:rsidR="00151B1F">
                        <w:rPr>
                          <w:rFonts w:ascii="Lato" w:hAnsi="Lato"/>
                          <w:b/>
                          <w:bCs/>
                          <w:color w:val="1C556C" w:themeColor="accent1"/>
                          <w:sz w:val="28"/>
                          <w:szCs w:val="28"/>
                        </w:rPr>
                        <w:t>.</w:t>
                      </w:r>
                      <w:r w:rsidR="00A97868" w:rsidRPr="000E541B">
                        <w:rPr>
                          <w:rFonts w:ascii="Lato" w:hAnsi="Lato"/>
                          <w:b/>
                          <w:bCs/>
                          <w:color w:val="1C556C" w:themeColor="accent1"/>
                          <w:sz w:val="28"/>
                          <w:szCs w:val="28"/>
                        </w:rPr>
                        <w:t xml:space="preserve"> </w:t>
                      </w:r>
                      <w:r w:rsidR="00151B1F" w:rsidRPr="000E541B">
                        <w:rPr>
                          <w:rFonts w:asciiTheme="minorHAnsi" w:hAnsiTheme="minorHAnsi" w:cstheme="minorHAnsi"/>
                          <w:color w:val="1C556C" w:themeColor="accent1"/>
                          <w:sz w:val="28"/>
                          <w:szCs w:val="28"/>
                        </w:rPr>
                        <w:t>The updated version,</w:t>
                      </w:r>
                      <w:r w:rsidR="00151B1F" w:rsidRPr="000E541B">
                        <w:rPr>
                          <w:rFonts w:asciiTheme="minorHAnsi" w:hAnsiTheme="minorHAnsi" w:cstheme="minorHAnsi"/>
                          <w:b/>
                          <w:bCs/>
                          <w:color w:val="1C556C" w:themeColor="accent1"/>
                          <w:sz w:val="28"/>
                          <w:szCs w:val="28"/>
                        </w:rPr>
                        <w:t xml:space="preserve"> </w:t>
                      </w:r>
                      <w:r w:rsidR="00A97868" w:rsidRPr="000E541B">
                        <w:rPr>
                          <w:rFonts w:asciiTheme="minorHAnsi" w:hAnsiTheme="minorHAnsi" w:cstheme="minorHAnsi"/>
                          <w:b/>
                          <w:bCs/>
                          <w:color w:val="1C556C" w:themeColor="accent1"/>
                          <w:sz w:val="28"/>
                          <w:szCs w:val="28"/>
                        </w:rPr>
                        <w:t xml:space="preserve"> </w:t>
                      </w:r>
                      <w:r w:rsidR="00A97868" w:rsidRPr="000E541B">
                        <w:rPr>
                          <w:rFonts w:asciiTheme="minorHAnsi" w:hAnsiTheme="minorHAnsi" w:cstheme="minorHAnsi"/>
                          <w:b/>
                          <w:bCs/>
                          <w:color w:val="1C556C" w:themeColor="accent1"/>
                          <w:sz w:val="28"/>
                          <w:szCs w:val="28"/>
                        </w:rPr>
                        <w:br/>
                      </w:r>
                      <w:hyperlink r:id="rId14" w:history="1">
                        <w:r w:rsidR="00A97868" w:rsidRPr="000E541B">
                          <w:rPr>
                            <w:rStyle w:val="Hyperlink"/>
                            <w:rFonts w:asciiTheme="minorHAnsi" w:hAnsiTheme="minorHAnsi" w:cstheme="minorHAnsi"/>
                            <w:i/>
                            <w:iCs/>
                            <w:color w:val="1C556C" w:themeColor="accent1"/>
                            <w:sz w:val="28"/>
                            <w:szCs w:val="28"/>
                          </w:rPr>
                          <w:t>A guide to implementing clause 3.13 of the NPS-FM 2020</w:t>
                        </w:r>
                      </w:hyperlink>
                      <w:r w:rsidR="00A97868" w:rsidRPr="000E541B">
                        <w:rPr>
                          <w:rFonts w:asciiTheme="minorHAnsi" w:hAnsiTheme="minorHAnsi" w:cstheme="minorHAnsi"/>
                          <w:color w:val="1C556C" w:themeColor="accent1"/>
                          <w:sz w:val="28"/>
                          <w:szCs w:val="28"/>
                        </w:rPr>
                        <w:t>, can be found</w:t>
                      </w:r>
                      <w:hyperlink r:id="rId15" w:history="1">
                        <w:r w:rsidR="00A97868" w:rsidRPr="000E541B">
                          <w:rPr>
                            <w:rStyle w:val="Hyperlink"/>
                            <w:rFonts w:asciiTheme="minorHAnsi" w:hAnsiTheme="minorHAnsi" w:cstheme="minorHAnsi"/>
                            <w:sz w:val="28"/>
                            <w:szCs w:val="28"/>
                          </w:rPr>
                          <w:t xml:space="preserve"> on</w:t>
                        </w:r>
                        <w:r w:rsidR="00151B1F" w:rsidRPr="000E541B">
                          <w:rPr>
                            <w:rStyle w:val="Hyperlink"/>
                            <w:rFonts w:asciiTheme="minorHAnsi" w:hAnsiTheme="minorHAnsi" w:cstheme="minorHAnsi"/>
                            <w:sz w:val="28"/>
                            <w:szCs w:val="28"/>
                          </w:rPr>
                          <w:br/>
                        </w:r>
                        <w:r w:rsidR="00A97868" w:rsidRPr="000E541B">
                          <w:rPr>
                            <w:rStyle w:val="Hyperlink"/>
                            <w:rFonts w:asciiTheme="minorHAnsi" w:hAnsiTheme="minorHAnsi" w:cstheme="minorHAnsi"/>
                            <w:sz w:val="28"/>
                            <w:szCs w:val="28"/>
                          </w:rPr>
                          <w:t>the Ministry’s website</w:t>
                        </w:r>
                      </w:hyperlink>
                      <w:r w:rsidR="00A97868" w:rsidRPr="000E541B">
                        <w:rPr>
                          <w:rFonts w:asciiTheme="minorHAnsi" w:hAnsiTheme="minorHAnsi" w:cstheme="minorHAnsi"/>
                          <w:color w:val="1C556C" w:themeColor="accent1"/>
                          <w:sz w:val="28"/>
                          <w:szCs w:val="28"/>
                        </w:rPr>
                        <w:t>.</w:t>
                      </w:r>
                    </w:p>
                  </w:txbxContent>
                </v:textbox>
              </v:shape>
            </w:pict>
          </mc:Fallback>
        </mc:AlternateContent>
      </w:r>
      <w:r w:rsidR="00CF3EC6">
        <w:rPr>
          <w:noProof/>
        </w:rPr>
        <w:drawing>
          <wp:anchor distT="0" distB="0" distL="114300" distR="114300" simplePos="0" relativeHeight="251658243" behindDoc="1" locked="0" layoutInCell="1" allowOverlap="1" wp14:anchorId="19E96084" wp14:editId="2D9002C6">
            <wp:simplePos x="0" y="0"/>
            <wp:positionH relativeFrom="page">
              <wp:align>right</wp:align>
            </wp:positionH>
            <wp:positionV relativeFrom="paragraph">
              <wp:posOffset>-3600355</wp:posOffset>
            </wp:positionV>
            <wp:extent cx="7603860" cy="10754436"/>
            <wp:effectExtent l="0" t="0" r="0" b="8890"/>
            <wp:wrapNone/>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3860" cy="10754436"/>
                    </a:xfrm>
                    <a:prstGeom prst="rect">
                      <a:avLst/>
                    </a:prstGeom>
                  </pic:spPr>
                </pic:pic>
              </a:graphicData>
            </a:graphic>
            <wp14:sizeRelH relativeFrom="margin">
              <wp14:pctWidth>0</wp14:pctWidth>
            </wp14:sizeRelH>
            <wp14:sizeRelV relativeFrom="margin">
              <wp14:pctHeight>0</wp14:pctHeight>
            </wp14:sizeRelV>
          </wp:anchor>
        </w:drawing>
      </w:r>
    </w:p>
    <w:p w14:paraId="22B66ED6" w14:textId="77777777" w:rsidR="0003640E" w:rsidRPr="006B77BB" w:rsidRDefault="0003640E" w:rsidP="0003640E">
      <w:pPr>
        <w:pStyle w:val="BodyText"/>
      </w:pPr>
    </w:p>
    <w:p w14:paraId="4BC6DD50" w14:textId="77777777" w:rsidR="0003640E" w:rsidRPr="006B77BB" w:rsidRDefault="0003640E" w:rsidP="0080531E">
      <w:pPr>
        <w:jc w:val="left"/>
        <w:rPr>
          <w:color w:val="FF0000"/>
        </w:rPr>
        <w:sectPr w:rsidR="0003640E" w:rsidRPr="006B77BB" w:rsidSect="0036151C">
          <w:headerReference w:type="even" r:id="rId17"/>
          <w:headerReference w:type="default" r:id="rId18"/>
          <w:footerReference w:type="even" r:id="rId19"/>
          <w:footerReference w:type="default" r:id="rId20"/>
          <w:pgSz w:w="11907" w:h="16840" w:code="9"/>
          <w:pgMar w:top="5670" w:right="1418" w:bottom="1701" w:left="1418" w:header="567" w:footer="1134" w:gutter="0"/>
          <w:cols w:space="720"/>
        </w:sectPr>
      </w:pPr>
    </w:p>
    <w:p w14:paraId="272515AD" w14:textId="77777777" w:rsidR="00452EC4" w:rsidRPr="006B77BB" w:rsidRDefault="00452EC4" w:rsidP="00775F57">
      <w:pPr>
        <w:pStyle w:val="Imprint"/>
        <w:spacing w:before="0" w:after="0"/>
        <w:rPr>
          <w:b/>
        </w:rPr>
      </w:pPr>
      <w:r w:rsidRPr="006B77BB">
        <w:rPr>
          <w:b/>
        </w:rPr>
        <w:lastRenderedPageBreak/>
        <w:t>Disclaimer</w:t>
      </w:r>
    </w:p>
    <w:p w14:paraId="54BD5448" w14:textId="6DE271D2" w:rsidR="00896DD5" w:rsidRPr="008A09D3" w:rsidRDefault="00896DD5" w:rsidP="000E541B">
      <w:pPr>
        <w:pStyle w:val="Imprint"/>
        <w:spacing w:after="60" w:line="240" w:lineRule="auto"/>
      </w:pPr>
      <w:r w:rsidRPr="008F26BC">
        <w:t>The information in this publication is, according to the Ministry for the Environment’s best efforts, accurate at the time of publication. The Ministry will make every reasonable effort to</w:t>
      </w:r>
      <w:r w:rsidR="00CC069C">
        <w:t> </w:t>
      </w:r>
      <w:r w:rsidRPr="008F26BC">
        <w:t>keep it current and accurate. However, users of this publication are advised that:</w:t>
      </w:r>
      <w:r w:rsidRPr="008A09D3">
        <w:t xml:space="preserve"> </w:t>
      </w:r>
    </w:p>
    <w:p w14:paraId="7E571E1A" w14:textId="54E95018" w:rsidR="00896DD5" w:rsidRDefault="00896DD5" w:rsidP="000E541B">
      <w:pPr>
        <w:pStyle w:val="Bullet"/>
        <w:spacing w:after="60" w:line="240" w:lineRule="auto"/>
      </w:pPr>
      <w:r>
        <w:t>The information provided has no official status and so does not alter the laws of New</w:t>
      </w:r>
      <w:r w:rsidR="00CC069C">
        <w:t> </w:t>
      </w:r>
      <w:r>
        <w:t xml:space="preserve">Zealand, other official guidelines or requirements. </w:t>
      </w:r>
    </w:p>
    <w:p w14:paraId="6F2AC461" w14:textId="77777777" w:rsidR="00896DD5" w:rsidRDefault="00896DD5" w:rsidP="000E541B">
      <w:pPr>
        <w:pStyle w:val="Bullet"/>
        <w:spacing w:after="60" w:line="240" w:lineRule="auto"/>
      </w:pPr>
      <w:r>
        <w:t xml:space="preserve">It does not constitute legal advice, and users should take specific advice from qualified professionals before taking any action as a result of information obtained from this publication. </w:t>
      </w:r>
    </w:p>
    <w:p w14:paraId="56BC9DAC" w14:textId="1F9CB1D1" w:rsidR="00896DD5" w:rsidRDefault="00896DD5" w:rsidP="000E541B">
      <w:pPr>
        <w:pStyle w:val="Bullet"/>
        <w:spacing w:after="60" w:line="240" w:lineRule="auto"/>
      </w:pPr>
      <w:r>
        <w:t>The Ministry for the Environment does not accept any responsibility or liability whatsoever whether in contract, tort, equity or otherwise for any action taken as a result</w:t>
      </w:r>
      <w:r w:rsidR="00CC069C">
        <w:t> </w:t>
      </w:r>
      <w:r>
        <w:t>of reading, or reliance placed on this publication because of having read any part, or</w:t>
      </w:r>
      <w:r w:rsidR="00CC069C">
        <w:t> </w:t>
      </w:r>
      <w:r>
        <w:t xml:space="preserve">all, of the information in this publication or for any error, or inadequacy, deficiency, flaw in or omission from the information provided in this publication. </w:t>
      </w:r>
    </w:p>
    <w:p w14:paraId="2F9435D4" w14:textId="4398D1B4" w:rsidR="00452EC4" w:rsidRPr="006B77BB" w:rsidRDefault="00896DD5" w:rsidP="000E541B">
      <w:pPr>
        <w:pStyle w:val="Bullet"/>
        <w:spacing w:after="60" w:line="240" w:lineRule="auto"/>
      </w:pPr>
      <w:r>
        <w:t>All references to websites, organisations or people not within the Ministry for the Environment are provided for convenience only and should not be taken as endorsement of those websites or information contained in those websites nor of organisations or people referred to.</w:t>
      </w:r>
      <w:r w:rsidRPr="008A09D3">
        <w:t xml:space="preserve"> </w:t>
      </w:r>
    </w:p>
    <w:p w14:paraId="63E1CAB9" w14:textId="77777777" w:rsidR="00452EC4" w:rsidRPr="006B77BB" w:rsidRDefault="00452EC4" w:rsidP="00775F57">
      <w:pPr>
        <w:pStyle w:val="Imprint"/>
        <w:spacing w:after="0"/>
        <w:rPr>
          <w:b/>
        </w:rPr>
      </w:pPr>
      <w:r w:rsidRPr="006B77BB">
        <w:rPr>
          <w:b/>
        </w:rPr>
        <w:t>Acknowledgements</w:t>
      </w:r>
    </w:p>
    <w:p w14:paraId="1BEECB06" w14:textId="0E2A48CE" w:rsidR="00F66B7B" w:rsidRDefault="00F66B7B" w:rsidP="00452EC4">
      <w:pPr>
        <w:pStyle w:val="Imprint"/>
      </w:pPr>
      <w:r>
        <w:t xml:space="preserve">The Ministry acknowledges NIWA for producing the draft guide for the periphyton attribute note, which this </w:t>
      </w:r>
      <w:r w:rsidR="0033226E">
        <w:t>document</w:t>
      </w:r>
      <w:r>
        <w:t xml:space="preserve"> updates.</w:t>
      </w:r>
      <w:r w:rsidR="00DD47E9">
        <w:t xml:space="preserve"> </w:t>
      </w:r>
    </w:p>
    <w:p w14:paraId="564659A8" w14:textId="6B3A9587" w:rsidR="00452EC4" w:rsidRPr="006B77BB" w:rsidRDefault="00F66B7B" w:rsidP="00452EC4">
      <w:pPr>
        <w:pStyle w:val="Imprint"/>
      </w:pPr>
      <w:r>
        <w:t>Ministry for the Environment would also like to thank council staff for attending the workshops</w:t>
      </w:r>
      <w:r w:rsidR="00CC069C">
        <w:t> </w:t>
      </w:r>
      <w:r>
        <w:t>and giving their feedback on earlier drafts, which has been invaluable in the production of this document. This includes contributors from the following councils: Northland</w:t>
      </w:r>
      <w:r w:rsidR="00CC069C">
        <w:t> </w:t>
      </w:r>
      <w:r>
        <w:t>Regional Council; Auckland Council; Waikato Regional Council; Bay of Plenty Regional Council; Hawkes Bay Regional Council; Taranaki Regional Council; Horizons Regional</w:t>
      </w:r>
      <w:r w:rsidR="00CC069C">
        <w:t> </w:t>
      </w:r>
      <w:r>
        <w:t>Council; Greater Wellington Regional Council; Marlborough District Council; Environment Canterbury; and Environment Southland.</w:t>
      </w:r>
    </w:p>
    <w:p w14:paraId="63EA59B2" w14:textId="4BF00B81" w:rsidR="00452EC4"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5F66DD">
        <w:t>2021</w:t>
      </w:r>
      <w:r w:rsidR="00775F57" w:rsidRPr="006B77BB">
        <w:t xml:space="preserve">. </w:t>
      </w:r>
      <w:r w:rsidR="00AC672A" w:rsidRPr="00AC672A">
        <w:rPr>
          <w:i/>
        </w:rPr>
        <w:t xml:space="preserve">A guide to setting instream nutrient concentrations under </w:t>
      </w:r>
      <w:r w:rsidR="002B2323">
        <w:rPr>
          <w:i/>
        </w:rPr>
        <w:t>c</w:t>
      </w:r>
      <w:r w:rsidR="00AC672A" w:rsidRPr="00AC672A">
        <w:rPr>
          <w:i/>
        </w:rPr>
        <w:t>lause 3.13 of the National Policy Statement for Freshwater Management 2020</w:t>
      </w:r>
      <w:r w:rsidR="00775F57" w:rsidRPr="006B77BB">
        <w:t>. Wellington: Ministry for the Environment.</w:t>
      </w:r>
    </w:p>
    <w:p w14:paraId="6E7FE4A4" w14:textId="7917B153" w:rsidR="00FB6344" w:rsidRPr="000E541B" w:rsidRDefault="00255D86" w:rsidP="000E541B">
      <w:pPr>
        <w:rPr>
          <w:rFonts w:eastAsiaTheme="minorHAnsi"/>
          <w:color w:val="FFFFFF" w:themeColor="background1"/>
        </w:rPr>
      </w:pPr>
      <w:r>
        <w:rPr>
          <w:noProof/>
        </w:rPr>
        <mc:AlternateContent>
          <mc:Choice Requires="wps">
            <w:drawing>
              <wp:anchor distT="0" distB="0" distL="114300" distR="114300" simplePos="0" relativeHeight="251658240" behindDoc="1" locked="0" layoutInCell="1" allowOverlap="1" wp14:anchorId="59D349F9" wp14:editId="02C61197">
                <wp:simplePos x="0" y="0"/>
                <wp:positionH relativeFrom="column">
                  <wp:posOffset>-203835</wp:posOffset>
                </wp:positionH>
                <wp:positionV relativeFrom="paragraph">
                  <wp:posOffset>16509</wp:posOffset>
                </wp:positionV>
                <wp:extent cx="6038850" cy="847725"/>
                <wp:effectExtent l="0" t="0" r="0" b="9525"/>
                <wp:wrapNone/>
                <wp:docPr id="718308858" name="Rectangle 718308858"/>
                <wp:cNvGraphicFramePr/>
                <a:graphic xmlns:a="http://schemas.openxmlformats.org/drawingml/2006/main">
                  <a:graphicData uri="http://schemas.microsoft.com/office/word/2010/wordprocessingShape">
                    <wps:wsp>
                      <wps:cNvSpPr/>
                      <wps:spPr>
                        <a:xfrm>
                          <a:off x="0" y="0"/>
                          <a:ext cx="6038850" cy="8477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167E9" id="Rectangle 718308858" o:spid="_x0000_s1026" style="position:absolute;margin-left:-16.05pt;margin-top:1.3pt;width:475.5pt;height:6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" fillcolor="#1c556c [3204]" stroked="f" strokeweight="2pt"/>
            </w:pict>
          </mc:Fallback>
        </mc:AlternateContent>
      </w:r>
      <w:r w:rsidR="00FB6344" w:rsidRPr="000E541B">
        <w:rPr>
          <w:color w:val="FFFFFF" w:themeColor="background1"/>
        </w:rPr>
        <w:t>This guidance was updated in August 2023 to reflect amendments to clause 3.13 of the National Policy Statement for Freshwater Management (2020). The changes to policy reflect stakeholder feedback. The updated version</w:t>
      </w:r>
      <w:r w:rsidR="00B73219" w:rsidRPr="000E541B">
        <w:rPr>
          <w:color w:val="FFFFFF" w:themeColor="background1"/>
        </w:rPr>
        <w:t xml:space="preserve">, </w:t>
      </w:r>
      <w:r w:rsidR="00FC3E37" w:rsidRPr="000E541B">
        <w:rPr>
          <w:i/>
          <w:iCs/>
          <w:color w:val="FFFFFF" w:themeColor="background1"/>
        </w:rPr>
        <w:t>A guide to implementing clause 3.13 of the NPS-FM 2020</w:t>
      </w:r>
      <w:r w:rsidR="00FC3E37">
        <w:rPr>
          <w:color w:val="FFFFFF" w:themeColor="background1"/>
        </w:rPr>
        <w:t xml:space="preserve">, </w:t>
      </w:r>
      <w:r w:rsidR="00FB6344" w:rsidRPr="000E541B">
        <w:rPr>
          <w:color w:val="FFFFFF" w:themeColor="background1"/>
        </w:rPr>
        <w:t>can be found here</w:t>
      </w:r>
      <w:r w:rsidR="00FB6344" w:rsidRPr="000E541B">
        <w:rPr>
          <w:color w:val="6FC7B7" w:themeColor="accent5"/>
        </w:rPr>
        <w:t xml:space="preserve"> </w:t>
      </w:r>
      <w:hyperlink r:id="rId21" w:history="1">
        <w:r w:rsidR="00FB6344" w:rsidRPr="000E541B">
          <w:rPr>
            <w:rStyle w:val="Hyperlink"/>
            <w:color w:val="6FC7B7" w:themeColor="accent5"/>
          </w:rPr>
          <w:t>on the Ministry</w:t>
        </w:r>
        <w:r w:rsidR="00FC3E37">
          <w:rPr>
            <w:rStyle w:val="Hyperlink"/>
            <w:color w:val="6FC7B7" w:themeColor="accent5"/>
          </w:rPr>
          <w:t>’s</w:t>
        </w:r>
        <w:r w:rsidR="00FB6344" w:rsidRPr="000E541B">
          <w:rPr>
            <w:rStyle w:val="Hyperlink"/>
            <w:color w:val="6FC7B7" w:themeColor="accent5"/>
          </w:rPr>
          <w:t xml:space="preserve"> website</w:t>
        </w:r>
      </w:hyperlink>
      <w:r w:rsidR="00FC3E37">
        <w:rPr>
          <w:color w:val="FFFFFF" w:themeColor="background1"/>
        </w:rPr>
        <w:t>.</w:t>
      </w:r>
      <w:r w:rsidR="00FB6344" w:rsidRPr="000E541B">
        <w:rPr>
          <w:color w:val="FFFFFF" w:themeColor="background1"/>
        </w:rPr>
        <w:t xml:space="preserve"> </w:t>
      </w:r>
    </w:p>
    <w:p w14:paraId="29FBD83D" w14:textId="5308ABCD" w:rsidR="0080531E" w:rsidRPr="0044650C" w:rsidRDefault="0080531E" w:rsidP="0044650C">
      <w:pPr>
        <w:pStyle w:val="Imprint"/>
      </w:pPr>
      <w:r w:rsidRPr="006B77BB">
        <w:t xml:space="preserve">Published in </w:t>
      </w:r>
      <w:r w:rsidR="00732BA1">
        <w:t>June</w:t>
      </w:r>
      <w:r w:rsidR="00732BA1" w:rsidRPr="00663783">
        <w:t xml:space="preserve"> </w:t>
      </w:r>
      <w:r w:rsidR="00AC672A">
        <w:t>2021</w:t>
      </w:r>
      <w:r w:rsidRPr="006B77BB">
        <w:t xml:space="preserve"> by the</w:t>
      </w:r>
      <w:r w:rsidRPr="006B77BB">
        <w:br/>
        <w:t xml:space="preserve">Ministry for the Environment </w:t>
      </w:r>
      <w:r w:rsidRPr="006B77BB">
        <w:br/>
        <w:t>Manatū Mō Te Taiao</w:t>
      </w:r>
      <w:r w:rsidRPr="006B77BB">
        <w:br/>
        <w:t>PO Box 10362, Wellington 6143, New Zealand</w:t>
      </w:r>
      <w:r w:rsidR="0044650C">
        <w:br/>
      </w:r>
      <w:r w:rsidRPr="006B77BB">
        <w:t xml:space="preserve"> </w:t>
      </w:r>
      <w:r w:rsidRPr="006B77BB">
        <w:tab/>
      </w:r>
      <w:r w:rsidRPr="006B77BB">
        <w:br/>
      </w:r>
      <w:r w:rsidRPr="0044650C">
        <w:t>ISBN online version</w:t>
      </w:r>
      <w:r w:rsidR="0044650C">
        <w:t>:</w:t>
      </w:r>
      <w:r w:rsidRPr="0044650C">
        <w:t xml:space="preserve"> </w:t>
      </w:r>
      <w:r w:rsidR="0044650C" w:rsidRPr="0044650C">
        <w:t>978-1-99-003360-5</w:t>
      </w:r>
      <w:r w:rsidR="0044650C" w:rsidRPr="0044650C" w:rsidDel="0044650C">
        <w:t xml:space="preserve"> </w:t>
      </w:r>
      <w:r w:rsidR="0044650C" w:rsidRPr="0044650C">
        <w:br/>
      </w:r>
      <w:r w:rsidRPr="0044650C">
        <w:t xml:space="preserve">Publication number: ME </w:t>
      </w:r>
      <w:r w:rsidR="0044650C" w:rsidRPr="0044650C">
        <w:t>1569</w:t>
      </w:r>
    </w:p>
    <w:p w14:paraId="3DA361B2" w14:textId="7AF1D149" w:rsidR="0080531E" w:rsidRPr="006B77BB" w:rsidRDefault="0080531E" w:rsidP="00593E94">
      <w:pPr>
        <w:pStyle w:val="Imprint"/>
        <w:spacing w:after="80"/>
      </w:pPr>
      <w:r w:rsidRPr="006B77BB">
        <w:t xml:space="preserve">© Crown copyright New Zealand </w:t>
      </w:r>
      <w:r w:rsidR="00AC672A">
        <w:t>2021</w:t>
      </w:r>
    </w:p>
    <w:p w14:paraId="36C01A81" w14:textId="7DC1F967"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22" w:history="1">
        <w:r w:rsidRPr="006B77BB">
          <w:rPr>
            <w:rStyle w:val="Hyperlink"/>
          </w:rPr>
          <w:t>www.mfe.govt.nz</w:t>
        </w:r>
      </w:hyperlink>
      <w:r w:rsidR="00B51610" w:rsidRPr="006B77BB">
        <w:rPr>
          <w:rStyle w:val="Hyperlink"/>
          <w:color w:val="auto"/>
        </w:rPr>
        <w:t>.</w:t>
      </w:r>
    </w:p>
    <w:p w14:paraId="02C5A2A8" w14:textId="77777777" w:rsidR="0080531E" w:rsidRPr="00A84FE1" w:rsidRDefault="0080531E" w:rsidP="00A84FE1">
      <w:pPr>
        <w:sectPr w:rsidR="0080531E" w:rsidRPr="00A84FE1" w:rsidSect="003309D9">
          <w:headerReference w:type="even" r:id="rId23"/>
          <w:headerReference w:type="default" r:id="rId24"/>
          <w:footerReference w:type="even" r:id="rId25"/>
          <w:footerReference w:type="default" r:id="rId26"/>
          <w:headerReference w:type="first" r:id="rId27"/>
          <w:pgSz w:w="11907" w:h="16840" w:code="9"/>
          <w:pgMar w:top="1134" w:right="1701" w:bottom="1134" w:left="1701" w:header="567" w:footer="567" w:gutter="0"/>
          <w:pgNumType w:fmt="lowerRoman"/>
          <w:cols w:space="720"/>
        </w:sectPr>
      </w:pPr>
    </w:p>
    <w:p w14:paraId="72FDA7B2" w14:textId="77777777" w:rsidR="0080531E" w:rsidRPr="006B77BB" w:rsidRDefault="0080531E" w:rsidP="008B68EC">
      <w:pPr>
        <w:pStyle w:val="Heading"/>
      </w:pPr>
      <w:r w:rsidRPr="006B77BB">
        <w:lastRenderedPageBreak/>
        <w:t>Contents</w:t>
      </w:r>
    </w:p>
    <w:p w14:paraId="587AD06E" w14:textId="1040A497" w:rsidR="00A020DB"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73711445" w:history="1">
        <w:r w:rsidR="00A020DB" w:rsidRPr="001926DC">
          <w:rPr>
            <w:rStyle w:val="Hyperlink"/>
            <w:noProof/>
          </w:rPr>
          <w:t>1.</w:t>
        </w:r>
        <w:r w:rsidR="00A020DB">
          <w:rPr>
            <w:rFonts w:asciiTheme="minorHAnsi" w:hAnsiTheme="minorHAnsi"/>
            <w:noProof/>
          </w:rPr>
          <w:tab/>
        </w:r>
        <w:r w:rsidR="00A020DB" w:rsidRPr="001926DC">
          <w:rPr>
            <w:rStyle w:val="Hyperlink"/>
            <w:noProof/>
          </w:rPr>
          <w:t>Introduction</w:t>
        </w:r>
        <w:r w:rsidR="00A020DB">
          <w:rPr>
            <w:noProof/>
            <w:webHidden/>
          </w:rPr>
          <w:tab/>
        </w:r>
        <w:r w:rsidR="00A020DB">
          <w:rPr>
            <w:noProof/>
            <w:webHidden/>
          </w:rPr>
          <w:fldChar w:fldCharType="begin"/>
        </w:r>
        <w:r w:rsidR="00A020DB">
          <w:rPr>
            <w:noProof/>
            <w:webHidden/>
          </w:rPr>
          <w:instrText xml:space="preserve"> PAGEREF _Toc73711445 \h </w:instrText>
        </w:r>
        <w:r w:rsidR="00A020DB">
          <w:rPr>
            <w:noProof/>
            <w:webHidden/>
          </w:rPr>
        </w:r>
        <w:r w:rsidR="00A020DB">
          <w:rPr>
            <w:noProof/>
            <w:webHidden/>
          </w:rPr>
          <w:fldChar w:fldCharType="separate"/>
        </w:r>
        <w:r w:rsidR="001A7243">
          <w:rPr>
            <w:noProof/>
            <w:webHidden/>
          </w:rPr>
          <w:t>7</w:t>
        </w:r>
        <w:r w:rsidR="00A020DB">
          <w:rPr>
            <w:noProof/>
            <w:webHidden/>
          </w:rPr>
          <w:fldChar w:fldCharType="end"/>
        </w:r>
      </w:hyperlink>
    </w:p>
    <w:p w14:paraId="7A9AEA4B" w14:textId="7336D83A" w:rsidR="00A020DB" w:rsidRDefault="00000000">
      <w:pPr>
        <w:pStyle w:val="TOC2"/>
        <w:tabs>
          <w:tab w:val="left" w:pos="1134"/>
        </w:tabs>
        <w:rPr>
          <w:rFonts w:asciiTheme="minorHAnsi" w:hAnsiTheme="minorHAnsi"/>
          <w:noProof/>
        </w:rPr>
      </w:pPr>
      <w:hyperlink w:anchor="_Toc73711446" w:history="1">
        <w:r w:rsidR="00A020DB" w:rsidRPr="001926DC">
          <w:rPr>
            <w:rStyle w:val="Hyperlink"/>
            <w:noProof/>
          </w:rPr>
          <w:t>1.1</w:t>
        </w:r>
        <w:r w:rsidR="00A020DB">
          <w:rPr>
            <w:rFonts w:asciiTheme="minorHAnsi" w:hAnsiTheme="minorHAnsi"/>
            <w:noProof/>
          </w:rPr>
          <w:tab/>
        </w:r>
        <w:r w:rsidR="00A020DB" w:rsidRPr="001926DC">
          <w:rPr>
            <w:rStyle w:val="Hyperlink"/>
            <w:noProof/>
          </w:rPr>
          <w:t>Document structure</w:t>
        </w:r>
        <w:r w:rsidR="00A020DB">
          <w:rPr>
            <w:noProof/>
            <w:webHidden/>
          </w:rPr>
          <w:tab/>
        </w:r>
        <w:r w:rsidR="00A020DB">
          <w:rPr>
            <w:noProof/>
            <w:webHidden/>
          </w:rPr>
          <w:fldChar w:fldCharType="begin"/>
        </w:r>
        <w:r w:rsidR="00A020DB">
          <w:rPr>
            <w:noProof/>
            <w:webHidden/>
          </w:rPr>
          <w:instrText xml:space="preserve"> PAGEREF _Toc73711446 \h </w:instrText>
        </w:r>
        <w:r w:rsidR="00A020DB">
          <w:rPr>
            <w:noProof/>
            <w:webHidden/>
          </w:rPr>
        </w:r>
        <w:r w:rsidR="00A020DB">
          <w:rPr>
            <w:noProof/>
            <w:webHidden/>
          </w:rPr>
          <w:fldChar w:fldCharType="separate"/>
        </w:r>
        <w:r w:rsidR="001A7243">
          <w:rPr>
            <w:noProof/>
            <w:webHidden/>
          </w:rPr>
          <w:t>7</w:t>
        </w:r>
        <w:r w:rsidR="00A020DB">
          <w:rPr>
            <w:noProof/>
            <w:webHidden/>
          </w:rPr>
          <w:fldChar w:fldCharType="end"/>
        </w:r>
      </w:hyperlink>
    </w:p>
    <w:p w14:paraId="241B3363" w14:textId="42763A41" w:rsidR="00A020DB" w:rsidRDefault="00000000">
      <w:pPr>
        <w:pStyle w:val="TOC2"/>
        <w:tabs>
          <w:tab w:val="left" w:pos="1134"/>
        </w:tabs>
        <w:rPr>
          <w:rFonts w:asciiTheme="minorHAnsi" w:hAnsiTheme="minorHAnsi"/>
          <w:noProof/>
        </w:rPr>
      </w:pPr>
      <w:hyperlink w:anchor="_Toc73711447" w:history="1">
        <w:r w:rsidR="00A020DB" w:rsidRPr="001926DC">
          <w:rPr>
            <w:rStyle w:val="Hyperlink"/>
            <w:noProof/>
          </w:rPr>
          <w:t>1.2</w:t>
        </w:r>
        <w:r w:rsidR="00A020DB">
          <w:rPr>
            <w:rFonts w:asciiTheme="minorHAnsi" w:hAnsiTheme="minorHAnsi"/>
            <w:noProof/>
          </w:rPr>
          <w:tab/>
        </w:r>
        <w:r w:rsidR="00A020DB" w:rsidRPr="001926DC">
          <w:rPr>
            <w:rStyle w:val="Hyperlink"/>
            <w:noProof/>
          </w:rPr>
          <w:t>Other guidance for the National Policy Statement for Freshwater Management</w:t>
        </w:r>
        <w:r w:rsidR="00A020DB">
          <w:rPr>
            <w:noProof/>
            <w:webHidden/>
          </w:rPr>
          <w:tab/>
        </w:r>
        <w:r w:rsidR="00A020DB">
          <w:rPr>
            <w:noProof/>
            <w:webHidden/>
          </w:rPr>
          <w:fldChar w:fldCharType="begin"/>
        </w:r>
        <w:r w:rsidR="00A020DB">
          <w:rPr>
            <w:noProof/>
            <w:webHidden/>
          </w:rPr>
          <w:instrText xml:space="preserve"> PAGEREF _Toc73711447 \h </w:instrText>
        </w:r>
        <w:r w:rsidR="00A020DB">
          <w:rPr>
            <w:noProof/>
            <w:webHidden/>
          </w:rPr>
        </w:r>
        <w:r w:rsidR="00A020DB">
          <w:rPr>
            <w:noProof/>
            <w:webHidden/>
          </w:rPr>
          <w:fldChar w:fldCharType="separate"/>
        </w:r>
        <w:r w:rsidR="001A7243">
          <w:rPr>
            <w:noProof/>
            <w:webHidden/>
          </w:rPr>
          <w:t>8</w:t>
        </w:r>
        <w:r w:rsidR="00A020DB">
          <w:rPr>
            <w:noProof/>
            <w:webHidden/>
          </w:rPr>
          <w:fldChar w:fldCharType="end"/>
        </w:r>
      </w:hyperlink>
    </w:p>
    <w:p w14:paraId="428F256C" w14:textId="08884E28" w:rsidR="00A020DB" w:rsidRDefault="00000000">
      <w:pPr>
        <w:pStyle w:val="TOC1"/>
        <w:rPr>
          <w:rFonts w:asciiTheme="minorHAnsi" w:hAnsiTheme="minorHAnsi"/>
          <w:noProof/>
        </w:rPr>
      </w:pPr>
      <w:hyperlink w:anchor="_Toc73711448" w:history="1">
        <w:r w:rsidR="00A020DB" w:rsidRPr="001926DC">
          <w:rPr>
            <w:rStyle w:val="Hyperlink"/>
            <w:noProof/>
          </w:rPr>
          <w:t>2.</w:t>
        </w:r>
        <w:r w:rsidR="00A020DB">
          <w:rPr>
            <w:rFonts w:asciiTheme="minorHAnsi" w:hAnsiTheme="minorHAnsi"/>
            <w:noProof/>
          </w:rPr>
          <w:tab/>
        </w:r>
        <w:r w:rsidR="00A020DB" w:rsidRPr="001926DC">
          <w:rPr>
            <w:rStyle w:val="Hyperlink"/>
            <w:noProof/>
          </w:rPr>
          <w:t>About clause 3.13 special provisions for attributes affected by nutrients</w:t>
        </w:r>
        <w:r w:rsidR="00A020DB">
          <w:rPr>
            <w:noProof/>
            <w:webHidden/>
          </w:rPr>
          <w:tab/>
        </w:r>
        <w:r w:rsidR="00A020DB">
          <w:rPr>
            <w:noProof/>
            <w:webHidden/>
          </w:rPr>
          <w:fldChar w:fldCharType="begin"/>
        </w:r>
        <w:r w:rsidR="00A020DB">
          <w:rPr>
            <w:noProof/>
            <w:webHidden/>
          </w:rPr>
          <w:instrText xml:space="preserve"> PAGEREF _Toc73711448 \h </w:instrText>
        </w:r>
        <w:r w:rsidR="00A020DB">
          <w:rPr>
            <w:noProof/>
            <w:webHidden/>
          </w:rPr>
        </w:r>
        <w:r w:rsidR="00A020DB">
          <w:rPr>
            <w:noProof/>
            <w:webHidden/>
          </w:rPr>
          <w:fldChar w:fldCharType="separate"/>
        </w:r>
        <w:r w:rsidR="001A7243">
          <w:rPr>
            <w:noProof/>
            <w:webHidden/>
          </w:rPr>
          <w:t>9</w:t>
        </w:r>
        <w:r w:rsidR="00A020DB">
          <w:rPr>
            <w:noProof/>
            <w:webHidden/>
          </w:rPr>
          <w:fldChar w:fldCharType="end"/>
        </w:r>
      </w:hyperlink>
    </w:p>
    <w:p w14:paraId="089B6C84" w14:textId="3C387969" w:rsidR="00A020DB" w:rsidRDefault="00000000">
      <w:pPr>
        <w:pStyle w:val="TOC2"/>
        <w:tabs>
          <w:tab w:val="left" w:pos="1134"/>
        </w:tabs>
        <w:rPr>
          <w:rFonts w:asciiTheme="minorHAnsi" w:hAnsiTheme="minorHAnsi"/>
          <w:noProof/>
        </w:rPr>
      </w:pPr>
      <w:hyperlink w:anchor="_Toc73711449" w:history="1">
        <w:r w:rsidR="00A020DB" w:rsidRPr="001926DC">
          <w:rPr>
            <w:rStyle w:val="Hyperlink"/>
            <w:noProof/>
          </w:rPr>
          <w:t>2.1</w:t>
        </w:r>
        <w:r w:rsidR="00A020DB">
          <w:rPr>
            <w:rFonts w:asciiTheme="minorHAnsi" w:hAnsiTheme="minorHAnsi"/>
            <w:noProof/>
          </w:rPr>
          <w:tab/>
        </w:r>
        <w:r w:rsidR="00A020DB" w:rsidRPr="001926DC">
          <w:rPr>
            <w:rStyle w:val="Hyperlink"/>
            <w:noProof/>
          </w:rPr>
          <w:t>What is clause 3.13</w:t>
        </w:r>
        <w:r w:rsidR="00A020DB">
          <w:rPr>
            <w:noProof/>
            <w:webHidden/>
          </w:rPr>
          <w:tab/>
        </w:r>
        <w:r w:rsidR="00A020DB">
          <w:rPr>
            <w:noProof/>
            <w:webHidden/>
          </w:rPr>
          <w:fldChar w:fldCharType="begin"/>
        </w:r>
        <w:r w:rsidR="00A020DB">
          <w:rPr>
            <w:noProof/>
            <w:webHidden/>
          </w:rPr>
          <w:instrText xml:space="preserve"> PAGEREF _Toc73711449 \h </w:instrText>
        </w:r>
        <w:r w:rsidR="00A020DB">
          <w:rPr>
            <w:noProof/>
            <w:webHidden/>
          </w:rPr>
        </w:r>
        <w:r w:rsidR="00A020DB">
          <w:rPr>
            <w:noProof/>
            <w:webHidden/>
          </w:rPr>
          <w:fldChar w:fldCharType="separate"/>
        </w:r>
        <w:r w:rsidR="001A7243">
          <w:rPr>
            <w:noProof/>
            <w:webHidden/>
          </w:rPr>
          <w:t>9</w:t>
        </w:r>
        <w:r w:rsidR="00A020DB">
          <w:rPr>
            <w:noProof/>
            <w:webHidden/>
          </w:rPr>
          <w:fldChar w:fldCharType="end"/>
        </w:r>
      </w:hyperlink>
    </w:p>
    <w:p w14:paraId="4D9EB3FB" w14:textId="721CC5B3" w:rsidR="00A020DB" w:rsidRDefault="00000000">
      <w:pPr>
        <w:pStyle w:val="TOC2"/>
        <w:tabs>
          <w:tab w:val="left" w:pos="1134"/>
        </w:tabs>
        <w:rPr>
          <w:rFonts w:asciiTheme="minorHAnsi" w:hAnsiTheme="minorHAnsi"/>
          <w:noProof/>
        </w:rPr>
      </w:pPr>
      <w:hyperlink w:anchor="_Toc73711450" w:history="1">
        <w:r w:rsidR="00A020DB" w:rsidRPr="001926DC">
          <w:rPr>
            <w:rStyle w:val="Hyperlink"/>
            <w:noProof/>
          </w:rPr>
          <w:t>2.2</w:t>
        </w:r>
        <w:r w:rsidR="00A020DB">
          <w:rPr>
            <w:rFonts w:asciiTheme="minorHAnsi" w:hAnsiTheme="minorHAnsi"/>
            <w:noProof/>
          </w:rPr>
          <w:tab/>
        </w:r>
        <w:r w:rsidR="00A020DB" w:rsidRPr="001926DC">
          <w:rPr>
            <w:rStyle w:val="Hyperlink"/>
            <w:noProof/>
          </w:rPr>
          <w:t>Purpose of clause 3.13 in the NPS-FM</w:t>
        </w:r>
        <w:r w:rsidR="00A020DB">
          <w:rPr>
            <w:noProof/>
            <w:webHidden/>
          </w:rPr>
          <w:tab/>
        </w:r>
        <w:r w:rsidR="00A020DB">
          <w:rPr>
            <w:noProof/>
            <w:webHidden/>
          </w:rPr>
          <w:fldChar w:fldCharType="begin"/>
        </w:r>
        <w:r w:rsidR="00A020DB">
          <w:rPr>
            <w:noProof/>
            <w:webHidden/>
          </w:rPr>
          <w:instrText xml:space="preserve"> PAGEREF _Toc73711450 \h </w:instrText>
        </w:r>
        <w:r w:rsidR="00A020DB">
          <w:rPr>
            <w:noProof/>
            <w:webHidden/>
          </w:rPr>
        </w:r>
        <w:r w:rsidR="00A020DB">
          <w:rPr>
            <w:noProof/>
            <w:webHidden/>
          </w:rPr>
          <w:fldChar w:fldCharType="separate"/>
        </w:r>
        <w:r w:rsidR="001A7243">
          <w:rPr>
            <w:noProof/>
            <w:webHidden/>
          </w:rPr>
          <w:t>10</w:t>
        </w:r>
        <w:r w:rsidR="00A020DB">
          <w:rPr>
            <w:noProof/>
            <w:webHidden/>
          </w:rPr>
          <w:fldChar w:fldCharType="end"/>
        </w:r>
      </w:hyperlink>
    </w:p>
    <w:p w14:paraId="5C6B8E95" w14:textId="3303BBE3" w:rsidR="00A020DB" w:rsidRDefault="00000000">
      <w:pPr>
        <w:pStyle w:val="TOC2"/>
        <w:tabs>
          <w:tab w:val="left" w:pos="1134"/>
        </w:tabs>
        <w:rPr>
          <w:rFonts w:asciiTheme="minorHAnsi" w:hAnsiTheme="minorHAnsi"/>
          <w:noProof/>
        </w:rPr>
      </w:pPr>
      <w:hyperlink w:anchor="_Toc73711451" w:history="1">
        <w:r w:rsidR="00A020DB" w:rsidRPr="001926DC">
          <w:rPr>
            <w:rStyle w:val="Hyperlink"/>
            <w:noProof/>
          </w:rPr>
          <w:t>2.3</w:t>
        </w:r>
        <w:r w:rsidR="00A020DB">
          <w:rPr>
            <w:rFonts w:asciiTheme="minorHAnsi" w:hAnsiTheme="minorHAnsi"/>
            <w:noProof/>
          </w:rPr>
          <w:tab/>
        </w:r>
        <w:r w:rsidR="00A020DB" w:rsidRPr="001926DC">
          <w:rPr>
            <w:rStyle w:val="Hyperlink"/>
            <w:noProof/>
          </w:rPr>
          <w:t>Requirements of clause 3.13</w:t>
        </w:r>
        <w:r w:rsidR="00A020DB">
          <w:rPr>
            <w:noProof/>
            <w:webHidden/>
          </w:rPr>
          <w:tab/>
        </w:r>
        <w:r w:rsidR="00A020DB">
          <w:rPr>
            <w:noProof/>
            <w:webHidden/>
          </w:rPr>
          <w:fldChar w:fldCharType="begin"/>
        </w:r>
        <w:r w:rsidR="00A020DB">
          <w:rPr>
            <w:noProof/>
            <w:webHidden/>
          </w:rPr>
          <w:instrText xml:space="preserve"> PAGEREF _Toc73711451 \h </w:instrText>
        </w:r>
        <w:r w:rsidR="00A020DB">
          <w:rPr>
            <w:noProof/>
            <w:webHidden/>
          </w:rPr>
        </w:r>
        <w:r w:rsidR="00A020DB">
          <w:rPr>
            <w:noProof/>
            <w:webHidden/>
          </w:rPr>
          <w:fldChar w:fldCharType="separate"/>
        </w:r>
        <w:r w:rsidR="001A7243">
          <w:rPr>
            <w:noProof/>
            <w:webHidden/>
          </w:rPr>
          <w:t>11</w:t>
        </w:r>
        <w:r w:rsidR="00A020DB">
          <w:rPr>
            <w:noProof/>
            <w:webHidden/>
          </w:rPr>
          <w:fldChar w:fldCharType="end"/>
        </w:r>
      </w:hyperlink>
    </w:p>
    <w:p w14:paraId="2549C146" w14:textId="449CD4AC" w:rsidR="00A020DB" w:rsidRDefault="00000000">
      <w:pPr>
        <w:pStyle w:val="TOC1"/>
        <w:rPr>
          <w:rFonts w:asciiTheme="minorHAnsi" w:hAnsiTheme="minorHAnsi"/>
          <w:noProof/>
        </w:rPr>
      </w:pPr>
      <w:hyperlink w:anchor="_Toc73711452" w:history="1">
        <w:r w:rsidR="00A020DB" w:rsidRPr="001926DC">
          <w:rPr>
            <w:rStyle w:val="Hyperlink"/>
            <w:noProof/>
          </w:rPr>
          <w:t xml:space="preserve">3. </w:t>
        </w:r>
        <w:r w:rsidR="00A020DB">
          <w:rPr>
            <w:rFonts w:asciiTheme="minorHAnsi" w:hAnsiTheme="minorHAnsi"/>
            <w:noProof/>
          </w:rPr>
          <w:tab/>
        </w:r>
        <w:r w:rsidR="00A020DB" w:rsidRPr="001926DC">
          <w:rPr>
            <w:rStyle w:val="Hyperlink"/>
            <w:noProof/>
          </w:rPr>
          <w:t>Applying clause 3.13</w:t>
        </w:r>
        <w:r w:rsidR="00A020DB">
          <w:rPr>
            <w:noProof/>
            <w:webHidden/>
          </w:rPr>
          <w:tab/>
        </w:r>
        <w:r w:rsidR="00A020DB">
          <w:rPr>
            <w:noProof/>
            <w:webHidden/>
          </w:rPr>
          <w:fldChar w:fldCharType="begin"/>
        </w:r>
        <w:r w:rsidR="00A020DB">
          <w:rPr>
            <w:noProof/>
            <w:webHidden/>
          </w:rPr>
          <w:instrText xml:space="preserve"> PAGEREF _Toc73711452 \h </w:instrText>
        </w:r>
        <w:r w:rsidR="00A020DB">
          <w:rPr>
            <w:noProof/>
            <w:webHidden/>
          </w:rPr>
        </w:r>
        <w:r w:rsidR="00A020DB">
          <w:rPr>
            <w:noProof/>
            <w:webHidden/>
          </w:rPr>
          <w:fldChar w:fldCharType="separate"/>
        </w:r>
        <w:r w:rsidR="001A7243">
          <w:rPr>
            <w:noProof/>
            <w:webHidden/>
          </w:rPr>
          <w:t>13</w:t>
        </w:r>
        <w:r w:rsidR="00A020DB">
          <w:rPr>
            <w:noProof/>
            <w:webHidden/>
          </w:rPr>
          <w:fldChar w:fldCharType="end"/>
        </w:r>
      </w:hyperlink>
    </w:p>
    <w:p w14:paraId="1988576D" w14:textId="05F28810" w:rsidR="00A020DB" w:rsidRDefault="00000000">
      <w:pPr>
        <w:pStyle w:val="TOC2"/>
        <w:tabs>
          <w:tab w:val="left" w:pos="1134"/>
        </w:tabs>
        <w:rPr>
          <w:rFonts w:asciiTheme="minorHAnsi" w:hAnsiTheme="minorHAnsi"/>
          <w:noProof/>
        </w:rPr>
      </w:pPr>
      <w:hyperlink w:anchor="_Toc73711453" w:history="1">
        <w:r w:rsidR="00A020DB" w:rsidRPr="001926DC">
          <w:rPr>
            <w:rStyle w:val="Hyperlink"/>
            <w:noProof/>
          </w:rPr>
          <w:t>3.1</w:t>
        </w:r>
        <w:r w:rsidR="00A020DB">
          <w:rPr>
            <w:rFonts w:asciiTheme="minorHAnsi" w:hAnsiTheme="minorHAnsi"/>
            <w:noProof/>
          </w:rPr>
          <w:tab/>
        </w:r>
        <w:r w:rsidR="00A020DB" w:rsidRPr="001926DC">
          <w:rPr>
            <w:rStyle w:val="Hyperlink"/>
            <w:noProof/>
          </w:rPr>
          <w:t>Clause 3.13(3)(a): Determining if the FMU supports, or could support, conspicuous periphyton and deriving appropriate instream nutrient concentrations and exceedance criteria</w:t>
        </w:r>
        <w:r w:rsidR="00A020DB">
          <w:rPr>
            <w:noProof/>
            <w:webHidden/>
          </w:rPr>
          <w:tab/>
        </w:r>
        <w:r w:rsidR="00A020DB">
          <w:rPr>
            <w:noProof/>
            <w:webHidden/>
          </w:rPr>
          <w:fldChar w:fldCharType="begin"/>
        </w:r>
        <w:r w:rsidR="00A020DB">
          <w:rPr>
            <w:noProof/>
            <w:webHidden/>
          </w:rPr>
          <w:instrText xml:space="preserve"> PAGEREF _Toc73711453 \h </w:instrText>
        </w:r>
        <w:r w:rsidR="00A020DB">
          <w:rPr>
            <w:noProof/>
            <w:webHidden/>
          </w:rPr>
        </w:r>
        <w:r w:rsidR="00A020DB">
          <w:rPr>
            <w:noProof/>
            <w:webHidden/>
          </w:rPr>
          <w:fldChar w:fldCharType="separate"/>
        </w:r>
        <w:r w:rsidR="001A7243">
          <w:rPr>
            <w:noProof/>
            <w:webHidden/>
          </w:rPr>
          <w:t>13</w:t>
        </w:r>
        <w:r w:rsidR="00A020DB">
          <w:rPr>
            <w:noProof/>
            <w:webHidden/>
          </w:rPr>
          <w:fldChar w:fldCharType="end"/>
        </w:r>
      </w:hyperlink>
    </w:p>
    <w:p w14:paraId="1E8E9E88" w14:textId="5FE51CA1" w:rsidR="00A020DB" w:rsidRDefault="00000000">
      <w:pPr>
        <w:pStyle w:val="TOC2"/>
        <w:tabs>
          <w:tab w:val="left" w:pos="1134"/>
        </w:tabs>
        <w:rPr>
          <w:rFonts w:asciiTheme="minorHAnsi" w:hAnsiTheme="minorHAnsi"/>
          <w:noProof/>
        </w:rPr>
      </w:pPr>
      <w:hyperlink w:anchor="_Toc73711454" w:history="1">
        <w:r w:rsidR="00A020DB" w:rsidRPr="001926DC">
          <w:rPr>
            <w:rStyle w:val="Hyperlink"/>
            <w:noProof/>
          </w:rPr>
          <w:t xml:space="preserve">3.2 </w:t>
        </w:r>
        <w:r w:rsidR="00A020DB">
          <w:rPr>
            <w:rFonts w:asciiTheme="minorHAnsi" w:hAnsiTheme="minorHAnsi"/>
            <w:noProof/>
          </w:rPr>
          <w:tab/>
        </w:r>
        <w:r w:rsidR="00A020DB" w:rsidRPr="001926DC">
          <w:rPr>
            <w:rStyle w:val="Hyperlink"/>
            <w:noProof/>
          </w:rPr>
          <w:t>Clause 3.13(3)(b): Are there sensitive downstream receiving environments?</w:t>
        </w:r>
        <w:r w:rsidR="00A020DB">
          <w:rPr>
            <w:noProof/>
            <w:webHidden/>
          </w:rPr>
          <w:tab/>
        </w:r>
        <w:r w:rsidR="00A020DB">
          <w:rPr>
            <w:noProof/>
            <w:webHidden/>
          </w:rPr>
          <w:fldChar w:fldCharType="begin"/>
        </w:r>
        <w:r w:rsidR="00A020DB">
          <w:rPr>
            <w:noProof/>
            <w:webHidden/>
          </w:rPr>
          <w:instrText xml:space="preserve"> PAGEREF _Toc73711454 \h </w:instrText>
        </w:r>
        <w:r w:rsidR="00A020DB">
          <w:rPr>
            <w:noProof/>
            <w:webHidden/>
          </w:rPr>
        </w:r>
        <w:r w:rsidR="00A020DB">
          <w:rPr>
            <w:noProof/>
            <w:webHidden/>
          </w:rPr>
          <w:fldChar w:fldCharType="separate"/>
        </w:r>
        <w:r w:rsidR="001A7243">
          <w:rPr>
            <w:noProof/>
            <w:webHidden/>
          </w:rPr>
          <w:t>32</w:t>
        </w:r>
        <w:r w:rsidR="00A020DB">
          <w:rPr>
            <w:noProof/>
            <w:webHidden/>
          </w:rPr>
          <w:fldChar w:fldCharType="end"/>
        </w:r>
      </w:hyperlink>
    </w:p>
    <w:p w14:paraId="60648825" w14:textId="4C833009" w:rsidR="00A020DB" w:rsidRDefault="00000000">
      <w:pPr>
        <w:pStyle w:val="TOC2"/>
        <w:tabs>
          <w:tab w:val="left" w:pos="1134"/>
        </w:tabs>
        <w:rPr>
          <w:rFonts w:asciiTheme="minorHAnsi" w:hAnsiTheme="minorHAnsi"/>
          <w:noProof/>
        </w:rPr>
      </w:pPr>
      <w:hyperlink w:anchor="_Toc73711455" w:history="1">
        <w:r w:rsidR="00A020DB" w:rsidRPr="001926DC">
          <w:rPr>
            <w:rStyle w:val="Hyperlink"/>
            <w:noProof/>
          </w:rPr>
          <w:t xml:space="preserve">3.3 </w:t>
        </w:r>
        <w:r w:rsidR="00A020DB">
          <w:rPr>
            <w:rFonts w:asciiTheme="minorHAnsi" w:hAnsiTheme="minorHAnsi"/>
            <w:noProof/>
          </w:rPr>
          <w:tab/>
        </w:r>
        <w:r w:rsidR="00A020DB" w:rsidRPr="001926DC">
          <w:rPr>
            <w:rStyle w:val="Hyperlink"/>
            <w:noProof/>
          </w:rPr>
          <w:t>Step (c): How are nutrient criteria reconciled across the FMU and downstream receiving environments?</w:t>
        </w:r>
        <w:r w:rsidR="00A020DB">
          <w:rPr>
            <w:noProof/>
            <w:webHidden/>
          </w:rPr>
          <w:tab/>
        </w:r>
        <w:r w:rsidR="00A020DB">
          <w:rPr>
            <w:noProof/>
            <w:webHidden/>
          </w:rPr>
          <w:fldChar w:fldCharType="begin"/>
        </w:r>
        <w:r w:rsidR="00A020DB">
          <w:rPr>
            <w:noProof/>
            <w:webHidden/>
          </w:rPr>
          <w:instrText xml:space="preserve"> PAGEREF _Toc73711455 \h </w:instrText>
        </w:r>
        <w:r w:rsidR="00A020DB">
          <w:rPr>
            <w:noProof/>
            <w:webHidden/>
          </w:rPr>
        </w:r>
        <w:r w:rsidR="00A020DB">
          <w:rPr>
            <w:noProof/>
            <w:webHidden/>
          </w:rPr>
          <w:fldChar w:fldCharType="separate"/>
        </w:r>
        <w:r w:rsidR="001A7243">
          <w:rPr>
            <w:noProof/>
            <w:webHidden/>
          </w:rPr>
          <w:t>47</w:t>
        </w:r>
        <w:r w:rsidR="00A020DB">
          <w:rPr>
            <w:noProof/>
            <w:webHidden/>
          </w:rPr>
          <w:fldChar w:fldCharType="end"/>
        </w:r>
      </w:hyperlink>
    </w:p>
    <w:p w14:paraId="0BC7CAE3" w14:textId="49F6E6ED" w:rsidR="00A020DB" w:rsidRDefault="00000000">
      <w:pPr>
        <w:pStyle w:val="TOC1"/>
        <w:rPr>
          <w:rFonts w:asciiTheme="minorHAnsi" w:hAnsiTheme="minorHAnsi"/>
          <w:noProof/>
        </w:rPr>
      </w:pPr>
      <w:hyperlink w:anchor="_Toc73711456" w:history="1">
        <w:r w:rsidR="00A020DB" w:rsidRPr="001926DC">
          <w:rPr>
            <w:rStyle w:val="Hyperlink"/>
            <w:noProof/>
          </w:rPr>
          <w:t>References</w:t>
        </w:r>
        <w:r w:rsidR="00A020DB">
          <w:rPr>
            <w:noProof/>
            <w:webHidden/>
          </w:rPr>
          <w:tab/>
        </w:r>
        <w:r w:rsidR="00A020DB">
          <w:rPr>
            <w:noProof/>
            <w:webHidden/>
          </w:rPr>
          <w:fldChar w:fldCharType="begin"/>
        </w:r>
        <w:r w:rsidR="00A020DB">
          <w:rPr>
            <w:noProof/>
            <w:webHidden/>
          </w:rPr>
          <w:instrText xml:space="preserve"> PAGEREF _Toc73711456 \h </w:instrText>
        </w:r>
        <w:r w:rsidR="00A020DB">
          <w:rPr>
            <w:noProof/>
            <w:webHidden/>
          </w:rPr>
        </w:r>
        <w:r w:rsidR="00A020DB">
          <w:rPr>
            <w:noProof/>
            <w:webHidden/>
          </w:rPr>
          <w:fldChar w:fldCharType="separate"/>
        </w:r>
        <w:r w:rsidR="001A7243">
          <w:rPr>
            <w:noProof/>
            <w:webHidden/>
          </w:rPr>
          <w:t>64</w:t>
        </w:r>
        <w:r w:rsidR="00A020DB">
          <w:rPr>
            <w:noProof/>
            <w:webHidden/>
          </w:rPr>
          <w:fldChar w:fldCharType="end"/>
        </w:r>
      </w:hyperlink>
    </w:p>
    <w:p w14:paraId="5B3F2A27" w14:textId="0ABF18F8" w:rsidR="0080531E" w:rsidRPr="006B77BB" w:rsidRDefault="00775F57" w:rsidP="002B4778">
      <w:pPr>
        <w:pStyle w:val="Glossary"/>
      </w:pPr>
      <w:r w:rsidRPr="006B77BB">
        <w:rPr>
          <w:color w:val="0092CF"/>
        </w:rPr>
        <w:fldChar w:fldCharType="end"/>
      </w:r>
    </w:p>
    <w:p w14:paraId="2140EF4A" w14:textId="77777777" w:rsidR="00796A6F" w:rsidRPr="00554B30" w:rsidRDefault="00796A6F" w:rsidP="00554B30">
      <w:r w:rsidRPr="00554B30">
        <w:br w:type="page"/>
      </w:r>
    </w:p>
    <w:p w14:paraId="5328AA8C" w14:textId="77777777" w:rsidR="00532334" w:rsidRPr="006B77BB" w:rsidRDefault="00532334" w:rsidP="008B68EC">
      <w:pPr>
        <w:pStyle w:val="Heading"/>
      </w:pPr>
      <w:r w:rsidRPr="006B77BB">
        <w:lastRenderedPageBreak/>
        <w:t>Tables</w:t>
      </w:r>
    </w:p>
    <w:p w14:paraId="3BB1FBA8" w14:textId="244F38DD" w:rsidR="00AD3BAD"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73713297" w:history="1">
        <w:r w:rsidR="00AD3BAD" w:rsidRPr="00B10524">
          <w:rPr>
            <w:rStyle w:val="Hyperlink"/>
            <w:noProof/>
          </w:rPr>
          <w:t xml:space="preserve">Table 1: </w:t>
        </w:r>
        <w:r w:rsidR="00AD3BAD">
          <w:rPr>
            <w:rFonts w:asciiTheme="minorHAnsi" w:hAnsiTheme="minorHAnsi"/>
            <w:noProof/>
          </w:rPr>
          <w:tab/>
        </w:r>
        <w:r w:rsidR="00AD3BAD" w:rsidRPr="00B10524">
          <w:rPr>
            <w:rStyle w:val="Hyperlink"/>
            <w:noProof/>
          </w:rPr>
          <w:t>Recommended approach to use of existing guidelines and models for setting nutrient criteria</w:t>
        </w:r>
        <w:r w:rsidR="00AD3BAD">
          <w:rPr>
            <w:noProof/>
            <w:webHidden/>
          </w:rPr>
          <w:tab/>
        </w:r>
        <w:r w:rsidR="00AD3BAD">
          <w:rPr>
            <w:noProof/>
            <w:webHidden/>
          </w:rPr>
          <w:fldChar w:fldCharType="begin"/>
        </w:r>
        <w:r w:rsidR="00AD3BAD">
          <w:rPr>
            <w:noProof/>
            <w:webHidden/>
          </w:rPr>
          <w:instrText xml:space="preserve"> PAGEREF _Toc73713297 \h </w:instrText>
        </w:r>
        <w:r w:rsidR="00AD3BAD">
          <w:rPr>
            <w:noProof/>
            <w:webHidden/>
          </w:rPr>
        </w:r>
        <w:r w:rsidR="00AD3BAD">
          <w:rPr>
            <w:noProof/>
            <w:webHidden/>
          </w:rPr>
          <w:fldChar w:fldCharType="separate"/>
        </w:r>
        <w:r w:rsidR="001A7243">
          <w:rPr>
            <w:noProof/>
            <w:webHidden/>
          </w:rPr>
          <w:t>18</w:t>
        </w:r>
        <w:r w:rsidR="00AD3BAD">
          <w:rPr>
            <w:noProof/>
            <w:webHidden/>
          </w:rPr>
          <w:fldChar w:fldCharType="end"/>
        </w:r>
      </w:hyperlink>
    </w:p>
    <w:p w14:paraId="36103725" w14:textId="10319A90" w:rsidR="00AD3BAD" w:rsidRDefault="00000000">
      <w:pPr>
        <w:pStyle w:val="TableofFigures"/>
        <w:tabs>
          <w:tab w:val="right" w:pos="8495"/>
        </w:tabs>
        <w:rPr>
          <w:rFonts w:asciiTheme="minorHAnsi" w:hAnsiTheme="minorHAnsi"/>
          <w:noProof/>
        </w:rPr>
      </w:pPr>
      <w:hyperlink w:anchor="_Toc73713298" w:history="1">
        <w:r w:rsidR="00AD3BAD" w:rsidRPr="00B10524">
          <w:rPr>
            <w:rStyle w:val="Hyperlink"/>
            <w:noProof/>
          </w:rPr>
          <w:t>Table 2:</w:t>
        </w:r>
        <w:r w:rsidR="00AD3BAD">
          <w:rPr>
            <w:rFonts w:asciiTheme="minorHAnsi" w:hAnsiTheme="minorHAnsi"/>
            <w:noProof/>
          </w:rPr>
          <w:tab/>
        </w:r>
        <w:r w:rsidR="00AD3BAD" w:rsidRPr="00B10524">
          <w:rPr>
            <w:rStyle w:val="Hyperlink"/>
            <w:noProof/>
          </w:rPr>
          <w:t>Macrophyte life form types with primary nutrient source and example species</w:t>
        </w:r>
        <w:r w:rsidR="00AD3BAD">
          <w:rPr>
            <w:noProof/>
            <w:webHidden/>
          </w:rPr>
          <w:tab/>
        </w:r>
        <w:r w:rsidR="00AD3BAD">
          <w:rPr>
            <w:noProof/>
            <w:webHidden/>
          </w:rPr>
          <w:fldChar w:fldCharType="begin"/>
        </w:r>
        <w:r w:rsidR="00AD3BAD">
          <w:rPr>
            <w:noProof/>
            <w:webHidden/>
          </w:rPr>
          <w:instrText xml:space="preserve"> PAGEREF _Toc73713298 \h </w:instrText>
        </w:r>
        <w:r w:rsidR="00AD3BAD">
          <w:rPr>
            <w:noProof/>
            <w:webHidden/>
          </w:rPr>
        </w:r>
        <w:r w:rsidR="00AD3BAD">
          <w:rPr>
            <w:noProof/>
            <w:webHidden/>
          </w:rPr>
          <w:fldChar w:fldCharType="separate"/>
        </w:r>
        <w:r w:rsidR="001A7243">
          <w:rPr>
            <w:noProof/>
            <w:webHidden/>
          </w:rPr>
          <w:t>31</w:t>
        </w:r>
        <w:r w:rsidR="00AD3BAD">
          <w:rPr>
            <w:noProof/>
            <w:webHidden/>
          </w:rPr>
          <w:fldChar w:fldCharType="end"/>
        </w:r>
      </w:hyperlink>
    </w:p>
    <w:p w14:paraId="27205B7D" w14:textId="4C2B2542" w:rsidR="00AD3BAD" w:rsidRDefault="00000000">
      <w:pPr>
        <w:pStyle w:val="TableofFigures"/>
        <w:tabs>
          <w:tab w:val="right" w:pos="8495"/>
        </w:tabs>
        <w:rPr>
          <w:rFonts w:asciiTheme="minorHAnsi" w:hAnsiTheme="minorHAnsi"/>
          <w:noProof/>
        </w:rPr>
      </w:pPr>
      <w:hyperlink w:anchor="_Toc73713299" w:history="1">
        <w:r w:rsidR="00AD3BAD" w:rsidRPr="00B10524">
          <w:rPr>
            <w:rStyle w:val="Hyperlink"/>
            <w:noProof/>
          </w:rPr>
          <w:t xml:space="preserve">Table 3: </w:t>
        </w:r>
        <w:r w:rsidR="00AD3BAD">
          <w:rPr>
            <w:rFonts w:asciiTheme="minorHAnsi" w:hAnsiTheme="minorHAnsi"/>
            <w:noProof/>
          </w:rPr>
          <w:tab/>
        </w:r>
        <w:r w:rsidR="00AD3BAD" w:rsidRPr="00B10524">
          <w:rPr>
            <w:rStyle w:val="Hyperlink"/>
            <w:noProof/>
          </w:rPr>
          <w:t>Nutrient concentrations that may constrain macrophyte growth and biomass</w:t>
        </w:r>
        <w:r w:rsidR="00AD3BAD">
          <w:rPr>
            <w:noProof/>
            <w:webHidden/>
          </w:rPr>
          <w:tab/>
        </w:r>
        <w:r w:rsidR="00AD3BAD">
          <w:rPr>
            <w:noProof/>
            <w:webHidden/>
          </w:rPr>
          <w:fldChar w:fldCharType="begin"/>
        </w:r>
        <w:r w:rsidR="00AD3BAD">
          <w:rPr>
            <w:noProof/>
            <w:webHidden/>
          </w:rPr>
          <w:instrText xml:space="preserve"> PAGEREF _Toc73713299 \h </w:instrText>
        </w:r>
        <w:r w:rsidR="00AD3BAD">
          <w:rPr>
            <w:noProof/>
            <w:webHidden/>
          </w:rPr>
        </w:r>
        <w:r w:rsidR="00AD3BAD">
          <w:rPr>
            <w:noProof/>
            <w:webHidden/>
          </w:rPr>
          <w:fldChar w:fldCharType="separate"/>
        </w:r>
        <w:r w:rsidR="001A7243">
          <w:rPr>
            <w:noProof/>
            <w:webHidden/>
          </w:rPr>
          <w:t>31</w:t>
        </w:r>
        <w:r w:rsidR="00AD3BAD">
          <w:rPr>
            <w:noProof/>
            <w:webHidden/>
          </w:rPr>
          <w:fldChar w:fldCharType="end"/>
        </w:r>
      </w:hyperlink>
    </w:p>
    <w:p w14:paraId="1F62841B" w14:textId="144F2961" w:rsidR="00AD3BAD" w:rsidRDefault="00000000">
      <w:pPr>
        <w:pStyle w:val="TableofFigures"/>
        <w:tabs>
          <w:tab w:val="right" w:pos="8495"/>
        </w:tabs>
        <w:rPr>
          <w:rFonts w:asciiTheme="minorHAnsi" w:hAnsiTheme="minorHAnsi"/>
          <w:noProof/>
        </w:rPr>
      </w:pPr>
      <w:hyperlink w:anchor="_Toc73713300" w:history="1">
        <w:r w:rsidR="00AD3BAD" w:rsidRPr="00B10524">
          <w:rPr>
            <w:rStyle w:val="Hyperlink"/>
            <w:noProof/>
          </w:rPr>
          <w:t xml:space="preserve">Table 4: </w:t>
        </w:r>
        <w:r w:rsidR="00AD3BAD">
          <w:rPr>
            <w:rFonts w:asciiTheme="minorHAnsi" w:hAnsiTheme="minorHAnsi"/>
            <w:noProof/>
          </w:rPr>
          <w:tab/>
        </w:r>
        <w:r w:rsidR="00AD3BAD" w:rsidRPr="00B10524">
          <w:rPr>
            <w:rStyle w:val="Hyperlink"/>
            <w:noProof/>
          </w:rPr>
          <w:t>Summary of trophic bands and nutrient criteria for downstream receiving environments</w:t>
        </w:r>
        <w:r w:rsidR="00AD3BAD">
          <w:rPr>
            <w:noProof/>
            <w:webHidden/>
          </w:rPr>
          <w:tab/>
        </w:r>
        <w:r w:rsidR="00AD3BAD">
          <w:rPr>
            <w:noProof/>
            <w:webHidden/>
          </w:rPr>
          <w:fldChar w:fldCharType="begin"/>
        </w:r>
        <w:r w:rsidR="00AD3BAD">
          <w:rPr>
            <w:noProof/>
            <w:webHidden/>
          </w:rPr>
          <w:instrText xml:space="preserve"> PAGEREF _Toc73713300 \h </w:instrText>
        </w:r>
        <w:r w:rsidR="00AD3BAD">
          <w:rPr>
            <w:noProof/>
            <w:webHidden/>
          </w:rPr>
        </w:r>
        <w:r w:rsidR="00AD3BAD">
          <w:rPr>
            <w:noProof/>
            <w:webHidden/>
          </w:rPr>
          <w:fldChar w:fldCharType="separate"/>
        </w:r>
        <w:r w:rsidR="001A7243">
          <w:rPr>
            <w:noProof/>
            <w:webHidden/>
          </w:rPr>
          <w:t>36</w:t>
        </w:r>
        <w:r w:rsidR="00AD3BAD">
          <w:rPr>
            <w:noProof/>
            <w:webHidden/>
          </w:rPr>
          <w:fldChar w:fldCharType="end"/>
        </w:r>
      </w:hyperlink>
    </w:p>
    <w:p w14:paraId="2172D468" w14:textId="79EB34F1" w:rsidR="00AD3BAD" w:rsidRDefault="00000000">
      <w:pPr>
        <w:pStyle w:val="TableofFigures"/>
        <w:tabs>
          <w:tab w:val="right" w:pos="8495"/>
        </w:tabs>
        <w:rPr>
          <w:rFonts w:asciiTheme="minorHAnsi" w:hAnsiTheme="minorHAnsi"/>
          <w:noProof/>
        </w:rPr>
      </w:pPr>
      <w:hyperlink w:anchor="_Toc73713301" w:history="1">
        <w:r w:rsidR="00AD3BAD" w:rsidRPr="00B10524">
          <w:rPr>
            <w:rStyle w:val="Hyperlink"/>
            <w:noProof/>
          </w:rPr>
          <w:t>Table 5:</w:t>
        </w:r>
        <w:r w:rsidR="00AD3BAD">
          <w:rPr>
            <w:rFonts w:asciiTheme="minorHAnsi" w:hAnsiTheme="minorHAnsi"/>
            <w:noProof/>
          </w:rPr>
          <w:tab/>
        </w:r>
        <w:r w:rsidR="00AD3BAD" w:rsidRPr="00B10524">
          <w:rPr>
            <w:rStyle w:val="Hyperlink"/>
            <w:noProof/>
          </w:rPr>
          <w:t>Opportunistic macroalgal blooming tool (OMBT, WFD-UKTAG, 2014) values for macrolagal metrics used to assign individual macroalgal ecological quality rating (EQR) scores of “open” estuaries (table 4 in Robertson et al., 2016b)</w:t>
        </w:r>
        <w:r w:rsidR="00AD3BAD">
          <w:rPr>
            <w:noProof/>
            <w:webHidden/>
          </w:rPr>
          <w:tab/>
        </w:r>
        <w:r w:rsidR="00AD3BAD">
          <w:rPr>
            <w:noProof/>
            <w:webHidden/>
          </w:rPr>
          <w:fldChar w:fldCharType="begin"/>
        </w:r>
        <w:r w:rsidR="00AD3BAD">
          <w:rPr>
            <w:noProof/>
            <w:webHidden/>
          </w:rPr>
          <w:instrText xml:space="preserve"> PAGEREF _Toc73713301 \h </w:instrText>
        </w:r>
        <w:r w:rsidR="00AD3BAD">
          <w:rPr>
            <w:noProof/>
            <w:webHidden/>
          </w:rPr>
        </w:r>
        <w:r w:rsidR="00AD3BAD">
          <w:rPr>
            <w:noProof/>
            <w:webHidden/>
          </w:rPr>
          <w:fldChar w:fldCharType="separate"/>
        </w:r>
        <w:r w:rsidR="001A7243">
          <w:rPr>
            <w:noProof/>
            <w:webHidden/>
          </w:rPr>
          <w:t>43</w:t>
        </w:r>
        <w:r w:rsidR="00AD3BAD">
          <w:rPr>
            <w:noProof/>
            <w:webHidden/>
          </w:rPr>
          <w:fldChar w:fldCharType="end"/>
        </w:r>
      </w:hyperlink>
    </w:p>
    <w:p w14:paraId="4D4B5007" w14:textId="7067E5FB" w:rsidR="00AD3BAD" w:rsidRDefault="00000000">
      <w:pPr>
        <w:pStyle w:val="TableofFigures"/>
        <w:tabs>
          <w:tab w:val="right" w:pos="8495"/>
        </w:tabs>
        <w:rPr>
          <w:rFonts w:asciiTheme="minorHAnsi" w:hAnsiTheme="minorHAnsi"/>
          <w:noProof/>
        </w:rPr>
      </w:pPr>
      <w:hyperlink w:anchor="_Toc73713302" w:history="1">
        <w:r w:rsidR="00AD3BAD" w:rsidRPr="00B10524">
          <w:rPr>
            <w:rStyle w:val="Hyperlink"/>
            <w:noProof/>
          </w:rPr>
          <w:t>Table 6:</w:t>
        </w:r>
        <w:r w:rsidR="00AD3BAD">
          <w:rPr>
            <w:rFonts w:asciiTheme="minorHAnsi" w:hAnsiTheme="minorHAnsi"/>
            <w:noProof/>
          </w:rPr>
          <w:tab/>
        </w:r>
        <w:r w:rsidR="00AD3BAD" w:rsidRPr="00B10524">
          <w:rPr>
            <w:rStyle w:val="Hyperlink"/>
            <w:noProof/>
          </w:rPr>
          <w:t xml:space="preserve">Indicative </w:t>
        </w:r>
        <w:r w:rsidR="00AD3BAD" w:rsidRPr="00B10524">
          <w:rPr>
            <w:rStyle w:val="Hyperlink"/>
            <w:i/>
            <w:noProof/>
          </w:rPr>
          <w:t xml:space="preserve">potential </w:t>
        </w:r>
        <w:r w:rsidR="00AD3BAD" w:rsidRPr="00B10524">
          <w:rPr>
            <w:rStyle w:val="Hyperlink"/>
            <w:noProof/>
          </w:rPr>
          <w:t>TN threshold concentrations (mg/m</w:t>
        </w:r>
        <w:r w:rsidR="00AD3BAD" w:rsidRPr="00B10524">
          <w:rPr>
            <w:rStyle w:val="Hyperlink"/>
            <w:noProof/>
            <w:vertAlign w:val="superscript"/>
          </w:rPr>
          <w:t>3</w:t>
        </w:r>
        <w:r w:rsidR="00AD3BAD" w:rsidRPr="00B10524">
          <w:rPr>
            <w:rStyle w:val="Hyperlink"/>
            <w:noProof/>
          </w:rPr>
          <w:t>) for macroalgal and phytoplankton trophic-states in New Zealand estuaries. Values derived from  Plew et al. (2017)</w:t>
        </w:r>
        <w:r w:rsidR="00AD3BAD">
          <w:rPr>
            <w:noProof/>
            <w:webHidden/>
          </w:rPr>
          <w:tab/>
        </w:r>
        <w:r w:rsidR="00AD3BAD">
          <w:rPr>
            <w:noProof/>
            <w:webHidden/>
          </w:rPr>
          <w:fldChar w:fldCharType="begin"/>
        </w:r>
        <w:r w:rsidR="00AD3BAD">
          <w:rPr>
            <w:noProof/>
            <w:webHidden/>
          </w:rPr>
          <w:instrText xml:space="preserve"> PAGEREF _Toc73713302 \h </w:instrText>
        </w:r>
        <w:r w:rsidR="00AD3BAD">
          <w:rPr>
            <w:noProof/>
            <w:webHidden/>
          </w:rPr>
        </w:r>
        <w:r w:rsidR="00AD3BAD">
          <w:rPr>
            <w:noProof/>
            <w:webHidden/>
          </w:rPr>
          <w:fldChar w:fldCharType="separate"/>
        </w:r>
        <w:r w:rsidR="001A7243">
          <w:rPr>
            <w:noProof/>
            <w:webHidden/>
          </w:rPr>
          <w:t>45</w:t>
        </w:r>
        <w:r w:rsidR="00AD3BAD">
          <w:rPr>
            <w:noProof/>
            <w:webHidden/>
          </w:rPr>
          <w:fldChar w:fldCharType="end"/>
        </w:r>
      </w:hyperlink>
    </w:p>
    <w:p w14:paraId="5D4A09DD" w14:textId="4D0984D2" w:rsidR="00AD3BAD" w:rsidRDefault="00000000">
      <w:pPr>
        <w:pStyle w:val="TableofFigures"/>
        <w:tabs>
          <w:tab w:val="right" w:pos="8495"/>
        </w:tabs>
        <w:rPr>
          <w:rFonts w:asciiTheme="minorHAnsi" w:hAnsiTheme="minorHAnsi"/>
          <w:noProof/>
        </w:rPr>
      </w:pPr>
      <w:hyperlink w:anchor="_Toc73713303" w:history="1">
        <w:r w:rsidR="00AD3BAD" w:rsidRPr="00B10524">
          <w:rPr>
            <w:rStyle w:val="Hyperlink"/>
            <w:noProof/>
          </w:rPr>
          <w:t>Table 7:</w:t>
        </w:r>
        <w:r w:rsidR="00AD3BAD">
          <w:rPr>
            <w:rFonts w:asciiTheme="minorHAnsi" w:hAnsiTheme="minorHAnsi"/>
            <w:noProof/>
          </w:rPr>
          <w:tab/>
        </w:r>
        <w:r w:rsidR="00AD3BAD" w:rsidRPr="00B10524">
          <w:rPr>
            <w:rStyle w:val="Hyperlink"/>
            <w:noProof/>
          </w:rPr>
          <w:t>Connectivity of an estuary receiving environment to management units based on upper, middle and lower regions of a hypothetical catchment</w:t>
        </w:r>
        <w:r w:rsidR="00AD3BAD">
          <w:rPr>
            <w:noProof/>
            <w:webHidden/>
          </w:rPr>
          <w:tab/>
        </w:r>
        <w:r w:rsidR="00AD3BAD">
          <w:rPr>
            <w:noProof/>
            <w:webHidden/>
          </w:rPr>
          <w:fldChar w:fldCharType="begin"/>
        </w:r>
        <w:r w:rsidR="00AD3BAD">
          <w:rPr>
            <w:noProof/>
            <w:webHidden/>
          </w:rPr>
          <w:instrText xml:space="preserve"> PAGEREF _Toc73713303 \h </w:instrText>
        </w:r>
        <w:r w:rsidR="00AD3BAD">
          <w:rPr>
            <w:noProof/>
            <w:webHidden/>
          </w:rPr>
        </w:r>
        <w:r w:rsidR="00AD3BAD">
          <w:rPr>
            <w:noProof/>
            <w:webHidden/>
          </w:rPr>
          <w:fldChar w:fldCharType="separate"/>
        </w:r>
        <w:r w:rsidR="001A7243">
          <w:rPr>
            <w:noProof/>
            <w:webHidden/>
          </w:rPr>
          <w:t>46</w:t>
        </w:r>
        <w:r w:rsidR="00AD3BAD">
          <w:rPr>
            <w:noProof/>
            <w:webHidden/>
          </w:rPr>
          <w:fldChar w:fldCharType="end"/>
        </w:r>
      </w:hyperlink>
    </w:p>
    <w:p w14:paraId="7C693DA5" w14:textId="105AAE19" w:rsidR="00AD3BAD" w:rsidRDefault="00000000">
      <w:pPr>
        <w:pStyle w:val="TableofFigures"/>
        <w:tabs>
          <w:tab w:val="right" w:pos="8495"/>
        </w:tabs>
        <w:rPr>
          <w:rFonts w:asciiTheme="minorHAnsi" w:hAnsiTheme="minorHAnsi"/>
          <w:noProof/>
        </w:rPr>
      </w:pPr>
      <w:hyperlink w:anchor="_Toc73713304" w:history="1">
        <w:r w:rsidR="00AD3BAD" w:rsidRPr="00B10524">
          <w:rPr>
            <w:rStyle w:val="Hyperlink"/>
            <w:noProof/>
          </w:rPr>
          <w:t>Table 8:</w:t>
        </w:r>
        <w:r w:rsidR="00AD3BAD">
          <w:rPr>
            <w:rFonts w:asciiTheme="minorHAnsi" w:hAnsiTheme="minorHAnsi"/>
            <w:noProof/>
          </w:rPr>
          <w:tab/>
        </w:r>
        <w:r w:rsidR="00AD3BAD" w:rsidRPr="00B10524">
          <w:rPr>
            <w:rStyle w:val="Hyperlink"/>
            <w:noProof/>
          </w:rPr>
          <w:t>Summary of NPS-FM and other potentially useful nutrient criteria that correspond to the trophic state of downstream receiving environments. Refer to section 3.2.2 for details</w:t>
        </w:r>
        <w:r w:rsidR="00AD3BAD">
          <w:rPr>
            <w:noProof/>
            <w:webHidden/>
          </w:rPr>
          <w:tab/>
        </w:r>
        <w:r w:rsidR="00AD3BAD">
          <w:rPr>
            <w:noProof/>
            <w:webHidden/>
          </w:rPr>
          <w:fldChar w:fldCharType="begin"/>
        </w:r>
        <w:r w:rsidR="00AD3BAD">
          <w:rPr>
            <w:noProof/>
            <w:webHidden/>
          </w:rPr>
          <w:instrText xml:space="preserve"> PAGEREF _Toc73713304 \h </w:instrText>
        </w:r>
        <w:r w:rsidR="00AD3BAD">
          <w:rPr>
            <w:noProof/>
            <w:webHidden/>
          </w:rPr>
        </w:r>
        <w:r w:rsidR="00AD3BAD">
          <w:rPr>
            <w:noProof/>
            <w:webHidden/>
          </w:rPr>
          <w:fldChar w:fldCharType="separate"/>
        </w:r>
        <w:r w:rsidR="001A7243">
          <w:rPr>
            <w:noProof/>
            <w:webHidden/>
          </w:rPr>
          <w:t>49</w:t>
        </w:r>
        <w:r w:rsidR="00AD3BAD">
          <w:rPr>
            <w:noProof/>
            <w:webHidden/>
          </w:rPr>
          <w:fldChar w:fldCharType="end"/>
        </w:r>
      </w:hyperlink>
    </w:p>
    <w:p w14:paraId="6C6EE564" w14:textId="7F429581" w:rsidR="00AD3BAD" w:rsidRDefault="00000000">
      <w:pPr>
        <w:pStyle w:val="TableofFigures"/>
        <w:tabs>
          <w:tab w:val="right" w:pos="8495"/>
        </w:tabs>
        <w:rPr>
          <w:rFonts w:asciiTheme="minorHAnsi" w:hAnsiTheme="minorHAnsi"/>
          <w:noProof/>
        </w:rPr>
      </w:pPr>
      <w:hyperlink w:anchor="_Toc73713305" w:history="1">
        <w:r w:rsidR="00AD3BAD" w:rsidRPr="00B10524">
          <w:rPr>
            <w:rStyle w:val="Hyperlink"/>
            <w:noProof/>
            <w:lang w:val="en-AU"/>
          </w:rPr>
          <w:t>Table 9:</w:t>
        </w:r>
        <w:r w:rsidR="00AD3BAD">
          <w:rPr>
            <w:rFonts w:asciiTheme="minorHAnsi" w:hAnsiTheme="minorHAnsi"/>
            <w:noProof/>
          </w:rPr>
          <w:tab/>
        </w:r>
        <w:r w:rsidR="00AD3BAD" w:rsidRPr="00B10524">
          <w:rPr>
            <w:rStyle w:val="Hyperlink"/>
            <w:noProof/>
            <w:lang w:val="en-AU"/>
          </w:rPr>
          <w:t>Three examples of long-term median concentrations of N and P forms, and the corresponding inorganic-to-total nutrient ratios. Dataset from 2004 to 2013</w:t>
        </w:r>
        <w:r w:rsidR="00AD3BAD">
          <w:rPr>
            <w:noProof/>
            <w:webHidden/>
          </w:rPr>
          <w:tab/>
        </w:r>
        <w:r w:rsidR="00AD3BAD">
          <w:rPr>
            <w:noProof/>
            <w:webHidden/>
          </w:rPr>
          <w:fldChar w:fldCharType="begin"/>
        </w:r>
        <w:r w:rsidR="00AD3BAD">
          <w:rPr>
            <w:noProof/>
            <w:webHidden/>
          </w:rPr>
          <w:instrText xml:space="preserve"> PAGEREF _Toc73713305 \h </w:instrText>
        </w:r>
        <w:r w:rsidR="00AD3BAD">
          <w:rPr>
            <w:noProof/>
            <w:webHidden/>
          </w:rPr>
        </w:r>
        <w:r w:rsidR="00AD3BAD">
          <w:rPr>
            <w:noProof/>
            <w:webHidden/>
          </w:rPr>
          <w:fldChar w:fldCharType="separate"/>
        </w:r>
        <w:r w:rsidR="001A7243">
          <w:rPr>
            <w:noProof/>
            <w:webHidden/>
          </w:rPr>
          <w:t>50</w:t>
        </w:r>
        <w:r w:rsidR="00AD3BAD">
          <w:rPr>
            <w:noProof/>
            <w:webHidden/>
          </w:rPr>
          <w:fldChar w:fldCharType="end"/>
        </w:r>
      </w:hyperlink>
    </w:p>
    <w:p w14:paraId="7563104E" w14:textId="7F629228" w:rsidR="00AD3BAD" w:rsidRDefault="00000000">
      <w:pPr>
        <w:pStyle w:val="TableofFigures"/>
        <w:tabs>
          <w:tab w:val="right" w:pos="8495"/>
        </w:tabs>
        <w:rPr>
          <w:rFonts w:asciiTheme="minorHAnsi" w:hAnsiTheme="minorHAnsi"/>
          <w:noProof/>
        </w:rPr>
      </w:pPr>
      <w:hyperlink w:anchor="_Toc73713306" w:history="1">
        <w:r w:rsidR="00AD3BAD" w:rsidRPr="00B10524">
          <w:rPr>
            <w:rStyle w:val="Hyperlink"/>
            <w:noProof/>
          </w:rPr>
          <w:t xml:space="preserve">Table 10: </w:t>
        </w:r>
        <w:r w:rsidR="00AD3BAD">
          <w:rPr>
            <w:rFonts w:asciiTheme="minorHAnsi" w:hAnsiTheme="minorHAnsi"/>
            <w:noProof/>
          </w:rPr>
          <w:tab/>
        </w:r>
        <w:r w:rsidR="00AD3BAD" w:rsidRPr="00B10524">
          <w:rPr>
            <w:rStyle w:val="Hyperlink"/>
            <w:noProof/>
          </w:rPr>
          <w:t>Results of FMU to estuary scenario shown in Figure 12</w:t>
        </w:r>
        <w:r w:rsidR="00AD3BAD">
          <w:rPr>
            <w:noProof/>
            <w:webHidden/>
          </w:rPr>
          <w:tab/>
        </w:r>
        <w:r w:rsidR="00AD3BAD">
          <w:rPr>
            <w:noProof/>
            <w:webHidden/>
          </w:rPr>
          <w:fldChar w:fldCharType="begin"/>
        </w:r>
        <w:r w:rsidR="00AD3BAD">
          <w:rPr>
            <w:noProof/>
            <w:webHidden/>
          </w:rPr>
          <w:instrText xml:space="preserve"> PAGEREF _Toc73713306 \h </w:instrText>
        </w:r>
        <w:r w:rsidR="00AD3BAD">
          <w:rPr>
            <w:noProof/>
            <w:webHidden/>
          </w:rPr>
        </w:r>
        <w:r w:rsidR="00AD3BAD">
          <w:rPr>
            <w:noProof/>
            <w:webHidden/>
          </w:rPr>
          <w:fldChar w:fldCharType="separate"/>
        </w:r>
        <w:r w:rsidR="001A7243">
          <w:rPr>
            <w:noProof/>
            <w:webHidden/>
          </w:rPr>
          <w:t>52</w:t>
        </w:r>
        <w:r w:rsidR="00AD3BAD">
          <w:rPr>
            <w:noProof/>
            <w:webHidden/>
          </w:rPr>
          <w:fldChar w:fldCharType="end"/>
        </w:r>
      </w:hyperlink>
    </w:p>
    <w:p w14:paraId="74757E96" w14:textId="78E99D86" w:rsidR="00AD3BAD" w:rsidRDefault="00000000">
      <w:pPr>
        <w:pStyle w:val="TableofFigures"/>
        <w:tabs>
          <w:tab w:val="right" w:pos="8495"/>
        </w:tabs>
        <w:rPr>
          <w:rFonts w:asciiTheme="minorHAnsi" w:hAnsiTheme="minorHAnsi"/>
          <w:noProof/>
        </w:rPr>
      </w:pPr>
      <w:hyperlink w:anchor="_Toc73713307" w:history="1">
        <w:r w:rsidR="00AD3BAD" w:rsidRPr="00B10524">
          <w:rPr>
            <w:rStyle w:val="Hyperlink"/>
            <w:noProof/>
          </w:rPr>
          <w:t xml:space="preserve">Table 11: </w:t>
        </w:r>
        <w:r w:rsidR="00AD3BAD">
          <w:rPr>
            <w:rFonts w:asciiTheme="minorHAnsi" w:hAnsiTheme="minorHAnsi"/>
            <w:noProof/>
          </w:rPr>
          <w:tab/>
        </w:r>
        <w:r w:rsidR="00AD3BAD" w:rsidRPr="00B10524">
          <w:rPr>
            <w:rStyle w:val="Hyperlink"/>
            <w:noProof/>
          </w:rPr>
          <w:t xml:space="preserve">Nutrient criteria (upper limit of trophic-state band used) for meeting different trophic-state objectives for a FMU </w:t>
        </w:r>
        <w:r w:rsidR="00AD3BAD" w:rsidRPr="00B10524">
          <w:rPr>
            <w:rStyle w:val="Hyperlink"/>
            <w:rFonts w:cs="Calibri"/>
            <w:noProof/>
          </w:rPr>
          <w:t>to</w:t>
        </w:r>
        <w:r w:rsidR="00AD3BAD" w:rsidRPr="00B10524">
          <w:rPr>
            <w:rStyle w:val="Hyperlink"/>
            <w:noProof/>
          </w:rPr>
          <w:t xml:space="preserve"> SIDE system represented in Figure 12</w:t>
        </w:r>
        <w:r w:rsidR="00AD3BAD">
          <w:rPr>
            <w:noProof/>
            <w:webHidden/>
          </w:rPr>
          <w:tab/>
        </w:r>
        <w:r w:rsidR="00AD3BAD">
          <w:rPr>
            <w:noProof/>
            <w:webHidden/>
          </w:rPr>
          <w:fldChar w:fldCharType="begin"/>
        </w:r>
        <w:r w:rsidR="00AD3BAD">
          <w:rPr>
            <w:noProof/>
            <w:webHidden/>
          </w:rPr>
          <w:instrText xml:space="preserve"> PAGEREF _Toc73713307 \h </w:instrText>
        </w:r>
        <w:r w:rsidR="00AD3BAD">
          <w:rPr>
            <w:noProof/>
            <w:webHidden/>
          </w:rPr>
        </w:r>
        <w:r w:rsidR="00AD3BAD">
          <w:rPr>
            <w:noProof/>
            <w:webHidden/>
          </w:rPr>
          <w:fldChar w:fldCharType="separate"/>
        </w:r>
        <w:r w:rsidR="001A7243">
          <w:rPr>
            <w:noProof/>
            <w:webHidden/>
          </w:rPr>
          <w:t>53</w:t>
        </w:r>
        <w:r w:rsidR="00AD3BAD">
          <w:rPr>
            <w:noProof/>
            <w:webHidden/>
          </w:rPr>
          <w:fldChar w:fldCharType="end"/>
        </w:r>
      </w:hyperlink>
    </w:p>
    <w:p w14:paraId="5A86433E" w14:textId="69526680" w:rsidR="00AD3BAD" w:rsidRDefault="00000000">
      <w:pPr>
        <w:pStyle w:val="TableofFigures"/>
        <w:tabs>
          <w:tab w:val="right" w:pos="8495"/>
        </w:tabs>
        <w:rPr>
          <w:rFonts w:asciiTheme="minorHAnsi" w:hAnsiTheme="minorHAnsi"/>
          <w:noProof/>
        </w:rPr>
      </w:pPr>
      <w:hyperlink w:anchor="_Toc73713308" w:history="1">
        <w:r w:rsidR="00AD3BAD" w:rsidRPr="00B10524">
          <w:rPr>
            <w:rStyle w:val="Hyperlink"/>
            <w:noProof/>
          </w:rPr>
          <w:t xml:space="preserve">Table 12: </w:t>
        </w:r>
        <w:r w:rsidR="00AD3BAD">
          <w:rPr>
            <w:rFonts w:asciiTheme="minorHAnsi" w:hAnsiTheme="minorHAnsi"/>
            <w:noProof/>
          </w:rPr>
          <w:tab/>
        </w:r>
        <w:r w:rsidR="00AD3BAD" w:rsidRPr="00B10524">
          <w:rPr>
            <w:rStyle w:val="Hyperlink"/>
            <w:noProof/>
          </w:rPr>
          <w:t>Predicted estuarine TN concentrations (</w:t>
        </w:r>
        <w:r w:rsidR="00AD3BAD" w:rsidRPr="00B10524">
          <w:rPr>
            <w:rStyle w:val="Hyperlink"/>
            <w:i/>
            <w:noProof/>
          </w:rPr>
          <w:t>potential</w:t>
        </w:r>
        <w:r w:rsidR="00AD3BAD" w:rsidRPr="00B10524">
          <w:rPr>
            <w:rStyle w:val="Hyperlink"/>
            <w:i/>
            <w:noProof/>
            <w:vertAlign w:val="subscript"/>
          </w:rPr>
          <w:t xml:space="preserve"> </w:t>
        </w:r>
        <w:r w:rsidR="00AD3BAD" w:rsidRPr="00B10524">
          <w:rPr>
            <w:rStyle w:val="Hyperlink"/>
            <w:noProof/>
          </w:rPr>
          <w:t>TN</w:t>
        </w:r>
        <w:r w:rsidR="00AD3BAD" w:rsidRPr="00B10524">
          <w:rPr>
            <w:rStyle w:val="Hyperlink"/>
            <w:noProof/>
            <w:vertAlign w:val="subscript"/>
          </w:rPr>
          <w:t>est</w:t>
        </w:r>
        <w:r w:rsidR="00AD3BAD" w:rsidRPr="00B10524">
          <w:rPr>
            <w:rStyle w:val="Hyperlink"/>
            <w:noProof/>
          </w:rPr>
          <w:t>) using FMU instream criteria for two dilution factors (</w:t>
        </w:r>
        <w:r w:rsidR="00AD3BAD" w:rsidRPr="00B10524">
          <w:rPr>
            <w:rStyle w:val="Hyperlink"/>
            <w:i/>
            <w:noProof/>
          </w:rPr>
          <w:t>D</w:t>
        </w:r>
        <w:r w:rsidR="00AD3BAD" w:rsidRPr="00B10524">
          <w:rPr>
            <w:rStyle w:val="Hyperlink"/>
            <w:noProof/>
          </w:rPr>
          <w:t>=2 and 6), and back-calculated FMU criteria that correspond to the upper limits of the A, B and C estuarine band  trophic states</w:t>
        </w:r>
        <w:r w:rsidR="00AD3BAD">
          <w:rPr>
            <w:noProof/>
            <w:webHidden/>
          </w:rPr>
          <w:tab/>
        </w:r>
        <w:r w:rsidR="00AD3BAD">
          <w:rPr>
            <w:noProof/>
            <w:webHidden/>
          </w:rPr>
          <w:fldChar w:fldCharType="begin"/>
        </w:r>
        <w:r w:rsidR="00AD3BAD">
          <w:rPr>
            <w:noProof/>
            <w:webHidden/>
          </w:rPr>
          <w:instrText xml:space="preserve"> PAGEREF _Toc73713308 \h </w:instrText>
        </w:r>
        <w:r w:rsidR="00AD3BAD">
          <w:rPr>
            <w:noProof/>
            <w:webHidden/>
          </w:rPr>
        </w:r>
        <w:r w:rsidR="00AD3BAD">
          <w:rPr>
            <w:noProof/>
            <w:webHidden/>
          </w:rPr>
          <w:fldChar w:fldCharType="separate"/>
        </w:r>
        <w:r w:rsidR="001A7243">
          <w:rPr>
            <w:noProof/>
            <w:webHidden/>
          </w:rPr>
          <w:t>54</w:t>
        </w:r>
        <w:r w:rsidR="00AD3BAD">
          <w:rPr>
            <w:noProof/>
            <w:webHidden/>
          </w:rPr>
          <w:fldChar w:fldCharType="end"/>
        </w:r>
      </w:hyperlink>
    </w:p>
    <w:p w14:paraId="6BCE7A03" w14:textId="5B8D4F81" w:rsidR="00AD3BAD" w:rsidRDefault="00000000">
      <w:pPr>
        <w:pStyle w:val="TableofFigures"/>
        <w:tabs>
          <w:tab w:val="right" w:pos="8495"/>
        </w:tabs>
        <w:rPr>
          <w:rFonts w:asciiTheme="minorHAnsi" w:hAnsiTheme="minorHAnsi"/>
          <w:noProof/>
        </w:rPr>
      </w:pPr>
      <w:hyperlink w:anchor="_Toc73713309" w:history="1">
        <w:r w:rsidR="00AD3BAD" w:rsidRPr="00B10524">
          <w:rPr>
            <w:rStyle w:val="Hyperlink"/>
            <w:noProof/>
          </w:rPr>
          <w:t xml:space="preserve">Table 13: </w:t>
        </w:r>
        <w:r w:rsidR="00AD3BAD">
          <w:rPr>
            <w:rFonts w:asciiTheme="minorHAnsi" w:hAnsiTheme="minorHAnsi"/>
            <w:noProof/>
          </w:rPr>
          <w:tab/>
        </w:r>
        <w:r w:rsidR="00AD3BAD" w:rsidRPr="00B10524">
          <w:rPr>
            <w:rStyle w:val="Hyperlink"/>
            <w:noProof/>
          </w:rPr>
          <w:t>Results of FMU to lake scenario shown in Figure 18 (all concentrations are mg/m</w:t>
        </w:r>
        <w:r w:rsidR="00AD3BAD" w:rsidRPr="00B10524">
          <w:rPr>
            <w:rStyle w:val="Hyperlink"/>
            <w:noProof/>
            <w:vertAlign w:val="superscript"/>
          </w:rPr>
          <w:t>3</w:t>
        </w:r>
        <w:r w:rsidR="00AD3BAD" w:rsidRPr="00B10524">
          <w:rPr>
            <w:rStyle w:val="Hyperlink"/>
            <w:noProof/>
          </w:rPr>
          <w:t>)</w:t>
        </w:r>
        <w:r w:rsidR="00AD3BAD">
          <w:rPr>
            <w:noProof/>
            <w:webHidden/>
          </w:rPr>
          <w:tab/>
        </w:r>
        <w:r w:rsidR="00AD3BAD">
          <w:rPr>
            <w:noProof/>
            <w:webHidden/>
          </w:rPr>
          <w:fldChar w:fldCharType="begin"/>
        </w:r>
        <w:r w:rsidR="00AD3BAD">
          <w:rPr>
            <w:noProof/>
            <w:webHidden/>
          </w:rPr>
          <w:instrText xml:space="preserve"> PAGEREF _Toc73713309 \h </w:instrText>
        </w:r>
        <w:r w:rsidR="00AD3BAD">
          <w:rPr>
            <w:noProof/>
            <w:webHidden/>
          </w:rPr>
        </w:r>
        <w:r w:rsidR="00AD3BAD">
          <w:rPr>
            <w:noProof/>
            <w:webHidden/>
          </w:rPr>
          <w:fldChar w:fldCharType="separate"/>
        </w:r>
        <w:r w:rsidR="001A7243">
          <w:rPr>
            <w:noProof/>
            <w:webHidden/>
          </w:rPr>
          <w:t>63</w:t>
        </w:r>
        <w:r w:rsidR="00AD3BAD">
          <w:rPr>
            <w:noProof/>
            <w:webHidden/>
          </w:rPr>
          <w:fldChar w:fldCharType="end"/>
        </w:r>
      </w:hyperlink>
    </w:p>
    <w:p w14:paraId="26F1E698" w14:textId="6B2BB2C8" w:rsidR="00532334" w:rsidRPr="006B77BB" w:rsidRDefault="004943C2" w:rsidP="00D51469">
      <w:pPr>
        <w:pStyle w:val="BodyText"/>
      </w:pPr>
      <w:r w:rsidRPr="006B77BB">
        <w:fldChar w:fldCharType="end"/>
      </w:r>
    </w:p>
    <w:p w14:paraId="292822EC" w14:textId="77777777" w:rsidR="003C03D0" w:rsidRDefault="003C03D0">
      <w:pPr>
        <w:spacing w:before="0" w:after="200" w:line="276" w:lineRule="auto"/>
        <w:jc w:val="left"/>
      </w:pPr>
      <w:r>
        <w:br w:type="page"/>
      </w:r>
    </w:p>
    <w:p w14:paraId="6FC1905C" w14:textId="77777777" w:rsidR="00532334" w:rsidRPr="006B77BB" w:rsidRDefault="00B51610" w:rsidP="008B68EC">
      <w:pPr>
        <w:pStyle w:val="Heading"/>
      </w:pPr>
      <w:r w:rsidRPr="006B77BB">
        <w:lastRenderedPageBreak/>
        <w:t>Figure</w:t>
      </w:r>
      <w:r w:rsidR="00532334" w:rsidRPr="006B77BB">
        <w:t>s</w:t>
      </w:r>
    </w:p>
    <w:p w14:paraId="015B4A06" w14:textId="649ED4CA" w:rsidR="00A73EF7"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73711474" w:history="1">
        <w:r w:rsidR="00A73EF7" w:rsidRPr="00426045">
          <w:rPr>
            <w:rStyle w:val="Hyperlink"/>
            <w:noProof/>
          </w:rPr>
          <w:t xml:space="preserve">Figure 1: </w:t>
        </w:r>
        <w:r w:rsidR="00A73EF7">
          <w:rPr>
            <w:rFonts w:asciiTheme="minorHAnsi" w:hAnsiTheme="minorHAnsi"/>
            <w:noProof/>
          </w:rPr>
          <w:tab/>
        </w:r>
        <w:r w:rsidR="00A73EF7" w:rsidRPr="00426045">
          <w:rPr>
            <w:rStyle w:val="Hyperlink"/>
            <w:noProof/>
          </w:rPr>
          <w:t>Flow diagram of the process outlined by clause 3.13(3)</w:t>
        </w:r>
        <w:r w:rsidR="00A73EF7">
          <w:rPr>
            <w:noProof/>
            <w:webHidden/>
          </w:rPr>
          <w:tab/>
        </w:r>
        <w:r w:rsidR="00A73EF7">
          <w:rPr>
            <w:noProof/>
            <w:webHidden/>
          </w:rPr>
          <w:fldChar w:fldCharType="begin"/>
        </w:r>
        <w:r w:rsidR="00A73EF7">
          <w:rPr>
            <w:noProof/>
            <w:webHidden/>
          </w:rPr>
          <w:instrText xml:space="preserve"> PAGEREF _Toc73711474 \h </w:instrText>
        </w:r>
        <w:r w:rsidR="00A73EF7">
          <w:rPr>
            <w:noProof/>
            <w:webHidden/>
          </w:rPr>
        </w:r>
        <w:r w:rsidR="00A73EF7">
          <w:rPr>
            <w:noProof/>
            <w:webHidden/>
          </w:rPr>
          <w:fldChar w:fldCharType="separate"/>
        </w:r>
        <w:r w:rsidR="001A7243">
          <w:rPr>
            <w:noProof/>
            <w:webHidden/>
          </w:rPr>
          <w:t>12</w:t>
        </w:r>
        <w:r w:rsidR="00A73EF7">
          <w:rPr>
            <w:noProof/>
            <w:webHidden/>
          </w:rPr>
          <w:fldChar w:fldCharType="end"/>
        </w:r>
      </w:hyperlink>
    </w:p>
    <w:p w14:paraId="26336627" w14:textId="5537F254" w:rsidR="00A73EF7" w:rsidRDefault="00000000">
      <w:pPr>
        <w:pStyle w:val="TableofFigures"/>
        <w:tabs>
          <w:tab w:val="right" w:pos="8495"/>
        </w:tabs>
        <w:rPr>
          <w:rFonts w:asciiTheme="minorHAnsi" w:hAnsiTheme="minorHAnsi"/>
          <w:noProof/>
        </w:rPr>
      </w:pPr>
      <w:hyperlink w:anchor="_Toc73711475" w:history="1">
        <w:r w:rsidR="00A73EF7" w:rsidRPr="00426045">
          <w:rPr>
            <w:rStyle w:val="Hyperlink"/>
            <w:noProof/>
          </w:rPr>
          <w:t xml:space="preserve">Figure 2: </w:t>
        </w:r>
        <w:r w:rsidR="00A73EF7">
          <w:rPr>
            <w:rFonts w:asciiTheme="minorHAnsi" w:hAnsiTheme="minorHAnsi"/>
            <w:noProof/>
          </w:rPr>
          <w:tab/>
        </w:r>
        <w:r w:rsidR="00A73EF7" w:rsidRPr="00426045">
          <w:rPr>
            <w:rStyle w:val="Hyperlink"/>
            <w:noProof/>
          </w:rPr>
          <w:t>Process for developing a new regional, river class or FMU model to identify nutrient criteria to achieve a periphyton objective in hard-bottom streams and rivers</w:t>
        </w:r>
        <w:r w:rsidR="00A73EF7">
          <w:rPr>
            <w:noProof/>
            <w:webHidden/>
          </w:rPr>
          <w:tab/>
        </w:r>
        <w:r w:rsidR="00A73EF7">
          <w:rPr>
            <w:noProof/>
            <w:webHidden/>
          </w:rPr>
          <w:fldChar w:fldCharType="begin"/>
        </w:r>
        <w:r w:rsidR="00A73EF7">
          <w:rPr>
            <w:noProof/>
            <w:webHidden/>
          </w:rPr>
          <w:instrText xml:space="preserve"> PAGEREF _Toc73711475 \h </w:instrText>
        </w:r>
        <w:r w:rsidR="00A73EF7">
          <w:rPr>
            <w:noProof/>
            <w:webHidden/>
          </w:rPr>
        </w:r>
        <w:r w:rsidR="00A73EF7">
          <w:rPr>
            <w:noProof/>
            <w:webHidden/>
          </w:rPr>
          <w:fldChar w:fldCharType="separate"/>
        </w:r>
        <w:r w:rsidR="001A7243">
          <w:rPr>
            <w:noProof/>
            <w:webHidden/>
          </w:rPr>
          <w:t>24</w:t>
        </w:r>
        <w:r w:rsidR="00A73EF7">
          <w:rPr>
            <w:noProof/>
            <w:webHidden/>
          </w:rPr>
          <w:fldChar w:fldCharType="end"/>
        </w:r>
      </w:hyperlink>
    </w:p>
    <w:p w14:paraId="1CE2B2D3" w14:textId="7E4D09B4" w:rsidR="00A73EF7" w:rsidRDefault="00000000">
      <w:pPr>
        <w:pStyle w:val="TableofFigures"/>
        <w:tabs>
          <w:tab w:val="right" w:pos="8495"/>
        </w:tabs>
        <w:rPr>
          <w:rFonts w:asciiTheme="minorHAnsi" w:hAnsiTheme="minorHAnsi"/>
          <w:noProof/>
        </w:rPr>
      </w:pPr>
      <w:hyperlink w:anchor="_Toc73711476" w:history="1">
        <w:r w:rsidR="00A73EF7" w:rsidRPr="00426045">
          <w:rPr>
            <w:rStyle w:val="Hyperlink"/>
            <w:noProof/>
          </w:rPr>
          <w:t>Figure 3:</w:t>
        </w:r>
        <w:r w:rsidR="00A73EF7">
          <w:rPr>
            <w:rFonts w:asciiTheme="minorHAnsi" w:hAnsiTheme="minorHAnsi"/>
            <w:noProof/>
          </w:rPr>
          <w:tab/>
        </w:r>
        <w:r w:rsidR="00A73EF7" w:rsidRPr="00426045">
          <w:rPr>
            <w:rStyle w:val="Hyperlink"/>
            <w:noProof/>
          </w:rPr>
          <w:t>An illustration of the process to reconcile periphyton nutrient criteria for hard-bottom streams and rivers using a simple example</w:t>
        </w:r>
        <w:r w:rsidR="00A73EF7">
          <w:rPr>
            <w:noProof/>
            <w:webHidden/>
          </w:rPr>
          <w:tab/>
        </w:r>
        <w:r w:rsidR="00A73EF7">
          <w:rPr>
            <w:noProof/>
            <w:webHidden/>
          </w:rPr>
          <w:fldChar w:fldCharType="begin"/>
        </w:r>
        <w:r w:rsidR="00A73EF7">
          <w:rPr>
            <w:noProof/>
            <w:webHidden/>
          </w:rPr>
          <w:instrText xml:space="preserve"> PAGEREF _Toc73711476 \h </w:instrText>
        </w:r>
        <w:r w:rsidR="00A73EF7">
          <w:rPr>
            <w:noProof/>
            <w:webHidden/>
          </w:rPr>
        </w:r>
        <w:r w:rsidR="00A73EF7">
          <w:rPr>
            <w:noProof/>
            <w:webHidden/>
          </w:rPr>
          <w:fldChar w:fldCharType="separate"/>
        </w:r>
        <w:r w:rsidR="001A7243">
          <w:rPr>
            <w:noProof/>
            <w:webHidden/>
          </w:rPr>
          <w:t>30</w:t>
        </w:r>
        <w:r w:rsidR="00A73EF7">
          <w:rPr>
            <w:noProof/>
            <w:webHidden/>
          </w:rPr>
          <w:fldChar w:fldCharType="end"/>
        </w:r>
      </w:hyperlink>
    </w:p>
    <w:p w14:paraId="3FF300A9" w14:textId="25A3E2DE" w:rsidR="00A73EF7" w:rsidRDefault="00000000">
      <w:pPr>
        <w:pStyle w:val="TableofFigures"/>
        <w:tabs>
          <w:tab w:val="right" w:pos="8495"/>
        </w:tabs>
        <w:rPr>
          <w:rFonts w:asciiTheme="minorHAnsi" w:hAnsiTheme="minorHAnsi"/>
          <w:noProof/>
        </w:rPr>
      </w:pPr>
      <w:hyperlink w:anchor="_Toc73711477" w:history="1">
        <w:r w:rsidR="00A73EF7" w:rsidRPr="00426045">
          <w:rPr>
            <w:rStyle w:val="Hyperlink"/>
            <w:noProof/>
          </w:rPr>
          <w:t xml:space="preserve">Figure 4: </w:t>
        </w:r>
        <w:r w:rsidR="00A73EF7">
          <w:rPr>
            <w:rFonts w:asciiTheme="minorHAnsi" w:hAnsiTheme="minorHAnsi"/>
            <w:noProof/>
          </w:rPr>
          <w:tab/>
        </w:r>
        <w:r w:rsidR="00A73EF7" w:rsidRPr="00426045">
          <w:rPr>
            <w:rStyle w:val="Hyperlink"/>
            <w:noProof/>
          </w:rPr>
          <w:t>Flowchart identifying the recommended process to develop wetland nutrient criteria (figure 1 in US EPA, 2008).</w:t>
        </w:r>
        <w:r w:rsidR="00A73EF7">
          <w:rPr>
            <w:noProof/>
            <w:webHidden/>
          </w:rPr>
          <w:tab/>
        </w:r>
        <w:r w:rsidR="00A73EF7">
          <w:rPr>
            <w:noProof/>
            <w:webHidden/>
          </w:rPr>
          <w:fldChar w:fldCharType="begin"/>
        </w:r>
        <w:r w:rsidR="00A73EF7">
          <w:rPr>
            <w:noProof/>
            <w:webHidden/>
          </w:rPr>
          <w:instrText xml:space="preserve"> PAGEREF _Toc73711477 \h </w:instrText>
        </w:r>
        <w:r w:rsidR="00A73EF7">
          <w:rPr>
            <w:noProof/>
            <w:webHidden/>
          </w:rPr>
        </w:r>
        <w:r w:rsidR="00A73EF7">
          <w:rPr>
            <w:noProof/>
            <w:webHidden/>
          </w:rPr>
          <w:fldChar w:fldCharType="separate"/>
        </w:r>
        <w:r w:rsidR="001A7243">
          <w:rPr>
            <w:noProof/>
            <w:webHidden/>
          </w:rPr>
          <w:t>37</w:t>
        </w:r>
        <w:r w:rsidR="00A73EF7">
          <w:rPr>
            <w:noProof/>
            <w:webHidden/>
          </w:rPr>
          <w:fldChar w:fldCharType="end"/>
        </w:r>
      </w:hyperlink>
    </w:p>
    <w:p w14:paraId="686D37D5" w14:textId="77BC200D" w:rsidR="00A73EF7" w:rsidRDefault="00000000">
      <w:pPr>
        <w:pStyle w:val="TableofFigures"/>
        <w:tabs>
          <w:tab w:val="right" w:pos="8495"/>
        </w:tabs>
        <w:rPr>
          <w:rFonts w:asciiTheme="minorHAnsi" w:hAnsiTheme="minorHAnsi"/>
          <w:noProof/>
        </w:rPr>
      </w:pPr>
      <w:hyperlink w:anchor="_Toc73711478" w:history="1">
        <w:r w:rsidR="00A73EF7" w:rsidRPr="00426045">
          <w:rPr>
            <w:rStyle w:val="Hyperlink"/>
            <w:noProof/>
          </w:rPr>
          <w:t xml:space="preserve">Figure 5: </w:t>
        </w:r>
        <w:r w:rsidR="00A73EF7">
          <w:rPr>
            <w:rFonts w:asciiTheme="minorHAnsi" w:hAnsiTheme="minorHAnsi"/>
            <w:noProof/>
          </w:rPr>
          <w:tab/>
        </w:r>
        <w:r w:rsidR="00A73EF7" w:rsidRPr="00426045">
          <w:rPr>
            <w:rStyle w:val="Hyperlink"/>
            <w:noProof/>
          </w:rPr>
          <w:t>Illustration of the two approaches to inform nutrient criteria using a high percentile (eg, 75th percentile) from a ‘reference site’ population (blue line), or a low percentile (eg, 25th percentile) from a general population (modified from figure 8.1 in US EPA, 2008)</w:t>
        </w:r>
        <w:r w:rsidR="00A73EF7">
          <w:rPr>
            <w:noProof/>
            <w:webHidden/>
          </w:rPr>
          <w:tab/>
        </w:r>
        <w:r w:rsidR="00A73EF7">
          <w:rPr>
            <w:noProof/>
            <w:webHidden/>
          </w:rPr>
          <w:fldChar w:fldCharType="begin"/>
        </w:r>
        <w:r w:rsidR="00A73EF7">
          <w:rPr>
            <w:noProof/>
            <w:webHidden/>
          </w:rPr>
          <w:instrText xml:space="preserve"> PAGEREF _Toc73711478 \h </w:instrText>
        </w:r>
        <w:r w:rsidR="00A73EF7">
          <w:rPr>
            <w:noProof/>
            <w:webHidden/>
          </w:rPr>
        </w:r>
        <w:r w:rsidR="00A73EF7">
          <w:rPr>
            <w:noProof/>
            <w:webHidden/>
          </w:rPr>
          <w:fldChar w:fldCharType="separate"/>
        </w:r>
        <w:r w:rsidR="001A7243">
          <w:rPr>
            <w:noProof/>
            <w:webHidden/>
          </w:rPr>
          <w:t>38</w:t>
        </w:r>
        <w:r w:rsidR="00A73EF7">
          <w:rPr>
            <w:noProof/>
            <w:webHidden/>
          </w:rPr>
          <w:fldChar w:fldCharType="end"/>
        </w:r>
      </w:hyperlink>
    </w:p>
    <w:p w14:paraId="4103E635" w14:textId="6DB721A7" w:rsidR="00A73EF7" w:rsidRDefault="00000000">
      <w:pPr>
        <w:pStyle w:val="TableofFigures"/>
        <w:tabs>
          <w:tab w:val="right" w:pos="8495"/>
        </w:tabs>
        <w:rPr>
          <w:rFonts w:asciiTheme="minorHAnsi" w:hAnsiTheme="minorHAnsi"/>
          <w:noProof/>
        </w:rPr>
      </w:pPr>
      <w:hyperlink w:anchor="_Toc73711479" w:history="1">
        <w:r w:rsidR="00A73EF7" w:rsidRPr="00426045">
          <w:rPr>
            <w:rStyle w:val="Hyperlink"/>
            <w:noProof/>
          </w:rPr>
          <w:t xml:space="preserve">Figure 6: </w:t>
        </w:r>
        <w:r w:rsidR="00A73EF7">
          <w:rPr>
            <w:rFonts w:asciiTheme="minorHAnsi" w:hAnsiTheme="minorHAnsi"/>
            <w:noProof/>
          </w:rPr>
          <w:tab/>
        </w:r>
        <w:r w:rsidR="00A73EF7" w:rsidRPr="00426045">
          <w:rPr>
            <w:rStyle w:val="Hyperlink"/>
            <w:noProof/>
          </w:rPr>
          <w:t>The four types of estuary used by the ETI for assessing the eutrophic susceptibility of NZ estuaries</w:t>
        </w:r>
        <w:r w:rsidR="00A73EF7">
          <w:rPr>
            <w:noProof/>
            <w:webHidden/>
          </w:rPr>
          <w:tab/>
        </w:r>
        <w:r w:rsidR="00A73EF7">
          <w:rPr>
            <w:noProof/>
            <w:webHidden/>
          </w:rPr>
          <w:fldChar w:fldCharType="begin"/>
        </w:r>
        <w:r w:rsidR="00A73EF7">
          <w:rPr>
            <w:noProof/>
            <w:webHidden/>
          </w:rPr>
          <w:instrText xml:space="preserve"> PAGEREF _Toc73711479 \h </w:instrText>
        </w:r>
        <w:r w:rsidR="00A73EF7">
          <w:rPr>
            <w:noProof/>
            <w:webHidden/>
          </w:rPr>
        </w:r>
        <w:r w:rsidR="00A73EF7">
          <w:rPr>
            <w:noProof/>
            <w:webHidden/>
          </w:rPr>
          <w:fldChar w:fldCharType="separate"/>
        </w:r>
        <w:r w:rsidR="001A7243">
          <w:rPr>
            <w:noProof/>
            <w:webHidden/>
          </w:rPr>
          <w:t>40</w:t>
        </w:r>
        <w:r w:rsidR="00A73EF7">
          <w:rPr>
            <w:noProof/>
            <w:webHidden/>
          </w:rPr>
          <w:fldChar w:fldCharType="end"/>
        </w:r>
      </w:hyperlink>
    </w:p>
    <w:p w14:paraId="4DA35472" w14:textId="12284949" w:rsidR="00A73EF7" w:rsidRDefault="00000000">
      <w:pPr>
        <w:pStyle w:val="TableofFigures"/>
        <w:tabs>
          <w:tab w:val="right" w:pos="8495"/>
        </w:tabs>
        <w:rPr>
          <w:rFonts w:asciiTheme="minorHAnsi" w:hAnsiTheme="minorHAnsi"/>
          <w:noProof/>
        </w:rPr>
      </w:pPr>
      <w:hyperlink w:anchor="_Toc73711480" w:history="1">
        <w:r w:rsidR="00A73EF7" w:rsidRPr="00426045">
          <w:rPr>
            <w:rStyle w:val="Hyperlink"/>
            <w:noProof/>
          </w:rPr>
          <w:t xml:space="preserve">Figure 7: </w:t>
        </w:r>
        <w:r w:rsidR="00A73EF7">
          <w:rPr>
            <w:rFonts w:asciiTheme="minorHAnsi" w:hAnsiTheme="minorHAnsi"/>
            <w:noProof/>
          </w:rPr>
          <w:tab/>
        </w:r>
        <w:r w:rsidR="00A73EF7" w:rsidRPr="00426045">
          <w:rPr>
            <w:rStyle w:val="Hyperlink"/>
            <w:noProof/>
          </w:rPr>
          <w:t>Regression of measured macroalgal EQR value (NZ estuaries) and potential TN concentrations derived from CLUES Estuaries (Plew et al., 2017)</w:t>
        </w:r>
        <w:r w:rsidR="00A73EF7">
          <w:rPr>
            <w:noProof/>
            <w:webHidden/>
          </w:rPr>
          <w:tab/>
        </w:r>
        <w:r w:rsidR="00A73EF7">
          <w:rPr>
            <w:noProof/>
            <w:webHidden/>
          </w:rPr>
          <w:fldChar w:fldCharType="begin"/>
        </w:r>
        <w:r w:rsidR="00A73EF7">
          <w:rPr>
            <w:noProof/>
            <w:webHidden/>
          </w:rPr>
          <w:instrText xml:space="preserve"> PAGEREF _Toc73711480 \h </w:instrText>
        </w:r>
        <w:r w:rsidR="00A73EF7">
          <w:rPr>
            <w:noProof/>
            <w:webHidden/>
          </w:rPr>
        </w:r>
        <w:r w:rsidR="00A73EF7">
          <w:rPr>
            <w:noProof/>
            <w:webHidden/>
          </w:rPr>
          <w:fldChar w:fldCharType="separate"/>
        </w:r>
        <w:r w:rsidR="001A7243">
          <w:rPr>
            <w:noProof/>
            <w:webHidden/>
          </w:rPr>
          <w:t>43</w:t>
        </w:r>
        <w:r w:rsidR="00A73EF7">
          <w:rPr>
            <w:noProof/>
            <w:webHidden/>
          </w:rPr>
          <w:fldChar w:fldCharType="end"/>
        </w:r>
      </w:hyperlink>
    </w:p>
    <w:p w14:paraId="0DEB876A" w14:textId="6B173517" w:rsidR="00A73EF7" w:rsidRDefault="00000000">
      <w:pPr>
        <w:pStyle w:val="TableofFigures"/>
        <w:tabs>
          <w:tab w:val="right" w:pos="8495"/>
        </w:tabs>
        <w:rPr>
          <w:rFonts w:asciiTheme="minorHAnsi" w:hAnsiTheme="minorHAnsi"/>
          <w:noProof/>
        </w:rPr>
      </w:pPr>
      <w:hyperlink w:anchor="_Toc73711481" w:history="1">
        <w:r w:rsidR="00A73EF7" w:rsidRPr="00426045">
          <w:rPr>
            <w:rStyle w:val="Hyperlink"/>
            <w:noProof/>
          </w:rPr>
          <w:t>Figure 8:</w:t>
        </w:r>
        <w:r w:rsidR="00A73EF7">
          <w:rPr>
            <w:rFonts w:asciiTheme="minorHAnsi" w:hAnsiTheme="minorHAnsi"/>
            <w:noProof/>
          </w:rPr>
          <w:tab/>
        </w:r>
        <w:r w:rsidR="00A73EF7" w:rsidRPr="00426045">
          <w:rPr>
            <w:rStyle w:val="Hyperlink"/>
            <w:noProof/>
          </w:rPr>
          <w:t xml:space="preserve">Phytoplankton trophic bands (or ‘zones’) as a function of </w:t>
        </w:r>
        <w:r w:rsidR="00A73EF7" w:rsidRPr="00426045">
          <w:rPr>
            <w:rStyle w:val="Hyperlink"/>
            <w:i/>
            <w:noProof/>
          </w:rPr>
          <w:t>potential</w:t>
        </w:r>
        <w:r w:rsidR="00A73EF7" w:rsidRPr="00426045">
          <w:rPr>
            <w:rStyle w:val="Hyperlink"/>
            <w:noProof/>
          </w:rPr>
          <w:t xml:space="preserve"> TN concentrations and estuary flushing time (days). Taken from Plew et al. (2017)</w:t>
        </w:r>
        <w:r w:rsidR="00A73EF7">
          <w:rPr>
            <w:noProof/>
            <w:webHidden/>
          </w:rPr>
          <w:tab/>
        </w:r>
        <w:r w:rsidR="00A73EF7">
          <w:rPr>
            <w:noProof/>
            <w:webHidden/>
          </w:rPr>
          <w:fldChar w:fldCharType="begin"/>
        </w:r>
        <w:r w:rsidR="00A73EF7">
          <w:rPr>
            <w:noProof/>
            <w:webHidden/>
          </w:rPr>
          <w:instrText xml:space="preserve"> PAGEREF _Toc73711481 \h </w:instrText>
        </w:r>
        <w:r w:rsidR="00A73EF7">
          <w:rPr>
            <w:noProof/>
            <w:webHidden/>
          </w:rPr>
        </w:r>
        <w:r w:rsidR="00A73EF7">
          <w:rPr>
            <w:noProof/>
            <w:webHidden/>
          </w:rPr>
          <w:fldChar w:fldCharType="separate"/>
        </w:r>
        <w:r w:rsidR="001A7243">
          <w:rPr>
            <w:noProof/>
            <w:webHidden/>
          </w:rPr>
          <w:t>44</w:t>
        </w:r>
        <w:r w:rsidR="00A73EF7">
          <w:rPr>
            <w:noProof/>
            <w:webHidden/>
          </w:rPr>
          <w:fldChar w:fldCharType="end"/>
        </w:r>
      </w:hyperlink>
    </w:p>
    <w:p w14:paraId="1FB69380" w14:textId="232AA915" w:rsidR="00A73EF7" w:rsidRDefault="00000000">
      <w:pPr>
        <w:pStyle w:val="TableofFigures"/>
        <w:tabs>
          <w:tab w:val="right" w:pos="8495"/>
        </w:tabs>
        <w:rPr>
          <w:rFonts w:asciiTheme="minorHAnsi" w:hAnsiTheme="minorHAnsi"/>
          <w:noProof/>
        </w:rPr>
      </w:pPr>
      <w:hyperlink w:anchor="_Toc73711482" w:history="1">
        <w:r w:rsidR="00A73EF7" w:rsidRPr="00426045">
          <w:rPr>
            <w:rStyle w:val="Hyperlink"/>
            <w:noProof/>
          </w:rPr>
          <w:t>Figure 9:</w:t>
        </w:r>
        <w:r w:rsidR="00A73EF7">
          <w:rPr>
            <w:rFonts w:asciiTheme="minorHAnsi" w:hAnsiTheme="minorHAnsi"/>
            <w:noProof/>
          </w:rPr>
          <w:tab/>
        </w:r>
        <w:r w:rsidR="00A73EF7" w:rsidRPr="00426045">
          <w:rPr>
            <w:rStyle w:val="Hyperlink"/>
            <w:noProof/>
          </w:rPr>
          <w:t>Hypothetical catchment showing examples of catchment and sub-catchment-scale FMUs. Downstream receiving environments include lakes (L), wetlands (W) and a single estuary</w:t>
        </w:r>
        <w:r w:rsidR="00A73EF7">
          <w:rPr>
            <w:noProof/>
            <w:webHidden/>
          </w:rPr>
          <w:tab/>
        </w:r>
        <w:r w:rsidR="00A73EF7">
          <w:rPr>
            <w:noProof/>
            <w:webHidden/>
          </w:rPr>
          <w:fldChar w:fldCharType="begin"/>
        </w:r>
        <w:r w:rsidR="00A73EF7">
          <w:rPr>
            <w:noProof/>
            <w:webHidden/>
          </w:rPr>
          <w:instrText xml:space="preserve"> PAGEREF _Toc73711482 \h </w:instrText>
        </w:r>
        <w:r w:rsidR="00A73EF7">
          <w:rPr>
            <w:noProof/>
            <w:webHidden/>
          </w:rPr>
        </w:r>
        <w:r w:rsidR="00A73EF7">
          <w:rPr>
            <w:noProof/>
            <w:webHidden/>
          </w:rPr>
          <w:fldChar w:fldCharType="separate"/>
        </w:r>
        <w:r w:rsidR="001A7243">
          <w:rPr>
            <w:noProof/>
            <w:webHidden/>
          </w:rPr>
          <w:t>46</w:t>
        </w:r>
        <w:r w:rsidR="00A73EF7">
          <w:rPr>
            <w:noProof/>
            <w:webHidden/>
          </w:rPr>
          <w:fldChar w:fldCharType="end"/>
        </w:r>
      </w:hyperlink>
    </w:p>
    <w:p w14:paraId="3A454C7F" w14:textId="7C7A6168" w:rsidR="00A73EF7" w:rsidRDefault="00000000">
      <w:pPr>
        <w:pStyle w:val="TableofFigures"/>
        <w:tabs>
          <w:tab w:val="right" w:pos="8495"/>
        </w:tabs>
        <w:rPr>
          <w:rFonts w:asciiTheme="minorHAnsi" w:hAnsiTheme="minorHAnsi"/>
          <w:noProof/>
        </w:rPr>
      </w:pPr>
      <w:hyperlink w:anchor="_Toc73711483" w:history="1">
        <w:r w:rsidR="00A73EF7" w:rsidRPr="00426045">
          <w:rPr>
            <w:rStyle w:val="Hyperlink"/>
            <w:noProof/>
          </w:rPr>
          <w:t>Figure 10:</w:t>
        </w:r>
        <w:r w:rsidR="00A73EF7">
          <w:rPr>
            <w:rFonts w:asciiTheme="minorHAnsi" w:hAnsiTheme="minorHAnsi"/>
            <w:noProof/>
          </w:rPr>
          <w:tab/>
        </w:r>
        <w:r w:rsidR="00A73EF7" w:rsidRPr="00426045">
          <w:rPr>
            <w:rStyle w:val="Hyperlink"/>
            <w:noProof/>
          </w:rPr>
          <w:t>Hypothetical catchment showing example of river classification-based FMUs – hill (black dashed boundary) and lowland (yellow dashed boundary). Downstream receiving environments include lakes (L), wetlands (W) and a single estuary</w:t>
        </w:r>
        <w:r w:rsidR="00A73EF7">
          <w:rPr>
            <w:noProof/>
            <w:webHidden/>
          </w:rPr>
          <w:tab/>
        </w:r>
        <w:r w:rsidR="00A73EF7">
          <w:rPr>
            <w:noProof/>
            <w:webHidden/>
          </w:rPr>
          <w:fldChar w:fldCharType="begin"/>
        </w:r>
        <w:r w:rsidR="00A73EF7">
          <w:rPr>
            <w:noProof/>
            <w:webHidden/>
          </w:rPr>
          <w:instrText xml:space="preserve"> PAGEREF _Toc73711483 \h </w:instrText>
        </w:r>
        <w:r w:rsidR="00A73EF7">
          <w:rPr>
            <w:noProof/>
            <w:webHidden/>
          </w:rPr>
        </w:r>
        <w:r w:rsidR="00A73EF7">
          <w:rPr>
            <w:noProof/>
            <w:webHidden/>
          </w:rPr>
          <w:fldChar w:fldCharType="separate"/>
        </w:r>
        <w:r w:rsidR="001A7243">
          <w:rPr>
            <w:noProof/>
            <w:webHidden/>
          </w:rPr>
          <w:t>47</w:t>
        </w:r>
        <w:r w:rsidR="00A73EF7">
          <w:rPr>
            <w:noProof/>
            <w:webHidden/>
          </w:rPr>
          <w:fldChar w:fldCharType="end"/>
        </w:r>
      </w:hyperlink>
    </w:p>
    <w:p w14:paraId="0F948A6B" w14:textId="28F28D73" w:rsidR="00A73EF7" w:rsidRDefault="00000000">
      <w:pPr>
        <w:pStyle w:val="TableofFigures"/>
        <w:tabs>
          <w:tab w:val="right" w:pos="8495"/>
        </w:tabs>
        <w:rPr>
          <w:rFonts w:asciiTheme="minorHAnsi" w:hAnsiTheme="minorHAnsi"/>
          <w:noProof/>
        </w:rPr>
      </w:pPr>
      <w:hyperlink w:anchor="_Toc73711484" w:history="1">
        <w:r w:rsidR="00A73EF7" w:rsidRPr="00426045">
          <w:rPr>
            <w:rStyle w:val="Hyperlink"/>
            <w:noProof/>
          </w:rPr>
          <w:t>Figure 11:</w:t>
        </w:r>
        <w:r w:rsidR="00A73EF7">
          <w:rPr>
            <w:rFonts w:asciiTheme="minorHAnsi" w:hAnsiTheme="minorHAnsi"/>
            <w:noProof/>
          </w:rPr>
          <w:tab/>
        </w:r>
        <w:r w:rsidR="00A73EF7" w:rsidRPr="00426045">
          <w:rPr>
            <w:rStyle w:val="Hyperlink"/>
            <w:noProof/>
          </w:rPr>
          <w:t>Key components and pathways envisaged for implementing step (c) of Clause 3.13</w:t>
        </w:r>
        <w:r w:rsidR="00A73EF7">
          <w:rPr>
            <w:noProof/>
            <w:webHidden/>
          </w:rPr>
          <w:tab/>
        </w:r>
        <w:r w:rsidR="00A73EF7">
          <w:rPr>
            <w:noProof/>
            <w:webHidden/>
          </w:rPr>
          <w:fldChar w:fldCharType="begin"/>
        </w:r>
        <w:r w:rsidR="00A73EF7">
          <w:rPr>
            <w:noProof/>
            <w:webHidden/>
          </w:rPr>
          <w:instrText xml:space="preserve"> PAGEREF _Toc73711484 \h </w:instrText>
        </w:r>
        <w:r w:rsidR="00A73EF7">
          <w:rPr>
            <w:noProof/>
            <w:webHidden/>
          </w:rPr>
        </w:r>
        <w:r w:rsidR="00A73EF7">
          <w:rPr>
            <w:noProof/>
            <w:webHidden/>
          </w:rPr>
          <w:fldChar w:fldCharType="separate"/>
        </w:r>
        <w:r w:rsidR="001A7243">
          <w:rPr>
            <w:noProof/>
            <w:webHidden/>
          </w:rPr>
          <w:t>48</w:t>
        </w:r>
        <w:r w:rsidR="00A73EF7">
          <w:rPr>
            <w:noProof/>
            <w:webHidden/>
          </w:rPr>
          <w:fldChar w:fldCharType="end"/>
        </w:r>
      </w:hyperlink>
    </w:p>
    <w:p w14:paraId="508EDC06" w14:textId="53F9C044" w:rsidR="00A73EF7" w:rsidRDefault="00000000">
      <w:pPr>
        <w:pStyle w:val="TableofFigures"/>
        <w:tabs>
          <w:tab w:val="right" w:pos="8495"/>
        </w:tabs>
        <w:rPr>
          <w:rFonts w:asciiTheme="minorHAnsi" w:hAnsiTheme="minorHAnsi"/>
          <w:noProof/>
        </w:rPr>
      </w:pPr>
      <w:hyperlink w:anchor="_Toc73711485" w:history="1">
        <w:r w:rsidR="00A73EF7" w:rsidRPr="00426045">
          <w:rPr>
            <w:rStyle w:val="Hyperlink"/>
            <w:noProof/>
          </w:rPr>
          <w:t>Figure 12:</w:t>
        </w:r>
        <w:r w:rsidR="00A73EF7">
          <w:rPr>
            <w:rFonts w:asciiTheme="minorHAnsi" w:hAnsiTheme="minorHAnsi"/>
            <w:noProof/>
          </w:rPr>
          <w:tab/>
        </w:r>
        <w:r w:rsidR="00A73EF7" w:rsidRPr="00426045">
          <w:rPr>
            <w:rStyle w:val="Hyperlink"/>
            <w:noProof/>
          </w:rPr>
          <w:t>A simple scenario of an FMU that discharges into a shallow, intertidal dominated estuary (SIDE) that is susceptible to macroalgal blooms.</w:t>
        </w:r>
        <w:r w:rsidR="00A73EF7">
          <w:rPr>
            <w:noProof/>
            <w:webHidden/>
          </w:rPr>
          <w:tab/>
        </w:r>
        <w:r w:rsidR="00A73EF7">
          <w:rPr>
            <w:noProof/>
            <w:webHidden/>
          </w:rPr>
          <w:fldChar w:fldCharType="begin"/>
        </w:r>
        <w:r w:rsidR="00A73EF7">
          <w:rPr>
            <w:noProof/>
            <w:webHidden/>
          </w:rPr>
          <w:instrText xml:space="preserve"> PAGEREF _Toc73711485 \h </w:instrText>
        </w:r>
        <w:r w:rsidR="00A73EF7">
          <w:rPr>
            <w:noProof/>
            <w:webHidden/>
          </w:rPr>
        </w:r>
        <w:r w:rsidR="00A73EF7">
          <w:rPr>
            <w:noProof/>
            <w:webHidden/>
          </w:rPr>
          <w:fldChar w:fldCharType="separate"/>
        </w:r>
        <w:r w:rsidR="001A7243">
          <w:rPr>
            <w:noProof/>
            <w:webHidden/>
          </w:rPr>
          <w:t>51</w:t>
        </w:r>
        <w:r w:rsidR="00A73EF7">
          <w:rPr>
            <w:noProof/>
            <w:webHidden/>
          </w:rPr>
          <w:fldChar w:fldCharType="end"/>
        </w:r>
      </w:hyperlink>
    </w:p>
    <w:p w14:paraId="139BB204" w14:textId="6F1090F6" w:rsidR="00A73EF7" w:rsidRDefault="00000000">
      <w:pPr>
        <w:pStyle w:val="TableofFigures"/>
        <w:tabs>
          <w:tab w:val="right" w:pos="8495"/>
        </w:tabs>
        <w:rPr>
          <w:rFonts w:asciiTheme="minorHAnsi" w:hAnsiTheme="minorHAnsi"/>
          <w:noProof/>
        </w:rPr>
      </w:pPr>
      <w:hyperlink w:anchor="_Toc73711486" w:history="1">
        <w:r w:rsidR="00A73EF7" w:rsidRPr="00426045">
          <w:rPr>
            <w:rStyle w:val="Hyperlink"/>
            <w:noProof/>
          </w:rPr>
          <w:t>Figure 13:</w:t>
        </w:r>
        <w:r w:rsidR="00A73EF7">
          <w:rPr>
            <w:rFonts w:asciiTheme="minorHAnsi" w:hAnsiTheme="minorHAnsi"/>
            <w:noProof/>
          </w:rPr>
          <w:tab/>
        </w:r>
        <w:r w:rsidR="00A73EF7" w:rsidRPr="00426045">
          <w:rPr>
            <w:rStyle w:val="Hyperlink"/>
            <w:i/>
            <w:noProof/>
          </w:rPr>
          <w:t>Potential</w:t>
        </w:r>
        <w:r w:rsidR="00A73EF7" w:rsidRPr="00426045">
          <w:rPr>
            <w:rStyle w:val="Hyperlink"/>
            <w:noProof/>
          </w:rPr>
          <w:t xml:space="preserve"> TN</w:t>
        </w:r>
        <w:r w:rsidR="00A73EF7" w:rsidRPr="00426045">
          <w:rPr>
            <w:rStyle w:val="Hyperlink"/>
            <w:noProof/>
            <w:vertAlign w:val="subscript"/>
          </w:rPr>
          <w:t>estimated</w:t>
        </w:r>
        <w:r w:rsidR="00A73EF7" w:rsidRPr="00426045">
          <w:rPr>
            <w:rStyle w:val="Hyperlink"/>
            <w:noProof/>
          </w:rPr>
          <w:t xml:space="preserve"> concentrations (ie, [Y]) in the estuary (shown in figure 12) as a function of dilution factor (</w:t>
        </w:r>
        <w:r w:rsidR="00A73EF7" w:rsidRPr="00426045">
          <w:rPr>
            <w:rStyle w:val="Hyperlink"/>
            <w:i/>
            <w:noProof/>
          </w:rPr>
          <w:t>D</w:t>
        </w:r>
        <w:r w:rsidR="00A73EF7" w:rsidRPr="00426045">
          <w:rPr>
            <w:rStyle w:val="Hyperlink"/>
            <w:noProof/>
          </w:rPr>
          <w:t>) using a FMU instream criterion value of 500 mg/m</w:t>
        </w:r>
        <w:r w:rsidR="00A73EF7" w:rsidRPr="00426045">
          <w:rPr>
            <w:rStyle w:val="Hyperlink"/>
            <w:noProof/>
            <w:vertAlign w:val="superscript"/>
          </w:rPr>
          <w:t>3</w:t>
        </w:r>
        <w:r w:rsidR="00A73EF7" w:rsidRPr="00426045">
          <w:rPr>
            <w:rStyle w:val="Hyperlink"/>
            <w:noProof/>
          </w:rPr>
          <w:t xml:space="preserve"> of TN (ie, [Z])</w:t>
        </w:r>
        <w:r w:rsidR="00A73EF7">
          <w:rPr>
            <w:noProof/>
            <w:webHidden/>
          </w:rPr>
          <w:tab/>
        </w:r>
        <w:r w:rsidR="00A73EF7">
          <w:rPr>
            <w:noProof/>
            <w:webHidden/>
          </w:rPr>
          <w:fldChar w:fldCharType="begin"/>
        </w:r>
        <w:r w:rsidR="00A73EF7">
          <w:rPr>
            <w:noProof/>
            <w:webHidden/>
          </w:rPr>
          <w:instrText xml:space="preserve"> PAGEREF _Toc73711486 \h </w:instrText>
        </w:r>
        <w:r w:rsidR="00A73EF7">
          <w:rPr>
            <w:noProof/>
            <w:webHidden/>
          </w:rPr>
        </w:r>
        <w:r w:rsidR="00A73EF7">
          <w:rPr>
            <w:noProof/>
            <w:webHidden/>
          </w:rPr>
          <w:fldChar w:fldCharType="separate"/>
        </w:r>
        <w:r w:rsidR="001A7243">
          <w:rPr>
            <w:noProof/>
            <w:webHidden/>
          </w:rPr>
          <w:t>53</w:t>
        </w:r>
        <w:r w:rsidR="00A73EF7">
          <w:rPr>
            <w:noProof/>
            <w:webHidden/>
          </w:rPr>
          <w:fldChar w:fldCharType="end"/>
        </w:r>
      </w:hyperlink>
    </w:p>
    <w:p w14:paraId="57090324" w14:textId="3D4E7A9A" w:rsidR="00A73EF7" w:rsidRDefault="00000000">
      <w:pPr>
        <w:pStyle w:val="TableofFigures"/>
        <w:tabs>
          <w:tab w:val="right" w:pos="8495"/>
        </w:tabs>
        <w:rPr>
          <w:rFonts w:asciiTheme="minorHAnsi" w:hAnsiTheme="minorHAnsi"/>
          <w:noProof/>
        </w:rPr>
      </w:pPr>
      <w:hyperlink w:anchor="_Toc73711487" w:history="1">
        <w:r w:rsidR="00A73EF7" w:rsidRPr="00426045">
          <w:rPr>
            <w:rStyle w:val="Hyperlink"/>
            <w:noProof/>
          </w:rPr>
          <w:t xml:space="preserve">Figure 14: </w:t>
        </w:r>
        <w:r w:rsidR="00A73EF7">
          <w:rPr>
            <w:rFonts w:asciiTheme="minorHAnsi" w:hAnsiTheme="minorHAnsi"/>
            <w:noProof/>
          </w:rPr>
          <w:tab/>
        </w:r>
        <w:r w:rsidR="00A73EF7" w:rsidRPr="00426045">
          <w:rPr>
            <w:rStyle w:val="Hyperlink"/>
            <w:noProof/>
          </w:rPr>
          <w:t>Matrix tables showing the outcome of different FMU instream criteria (ie, upper TN limits shown in bold for each band) with respect to different trophic-state objectives for an estuary (in this case macroalgal trophic-state A-, B- and C-bands) in the estuary – both ‘low’ (</w:t>
        </w:r>
        <w:r w:rsidR="00A73EF7" w:rsidRPr="00426045">
          <w:rPr>
            <w:rStyle w:val="Hyperlink"/>
            <w:i/>
            <w:noProof/>
          </w:rPr>
          <w:t>D</w:t>
        </w:r>
        <w:r w:rsidR="00A73EF7" w:rsidRPr="00426045">
          <w:rPr>
            <w:rStyle w:val="Hyperlink"/>
            <w:noProof/>
          </w:rPr>
          <w:t>=2, figure 2a) and ‘high’ (</w:t>
        </w:r>
        <w:r w:rsidR="00A73EF7" w:rsidRPr="00426045">
          <w:rPr>
            <w:rStyle w:val="Hyperlink"/>
            <w:i/>
            <w:noProof/>
          </w:rPr>
          <w:t>D</w:t>
        </w:r>
        <w:r w:rsidR="00A73EF7" w:rsidRPr="00426045">
          <w:rPr>
            <w:rStyle w:val="Hyperlink"/>
            <w:noProof/>
          </w:rPr>
          <w:t>=6), figure 2b) dilution factors scenario shown</w:t>
        </w:r>
        <w:r w:rsidR="00A73EF7">
          <w:rPr>
            <w:noProof/>
            <w:webHidden/>
          </w:rPr>
          <w:tab/>
        </w:r>
        <w:r w:rsidR="00A73EF7">
          <w:rPr>
            <w:noProof/>
            <w:webHidden/>
          </w:rPr>
          <w:fldChar w:fldCharType="begin"/>
        </w:r>
        <w:r w:rsidR="00A73EF7">
          <w:rPr>
            <w:noProof/>
            <w:webHidden/>
          </w:rPr>
          <w:instrText xml:space="preserve"> PAGEREF _Toc73711487 \h </w:instrText>
        </w:r>
        <w:r w:rsidR="00A73EF7">
          <w:rPr>
            <w:noProof/>
            <w:webHidden/>
          </w:rPr>
        </w:r>
        <w:r w:rsidR="00A73EF7">
          <w:rPr>
            <w:noProof/>
            <w:webHidden/>
          </w:rPr>
          <w:fldChar w:fldCharType="separate"/>
        </w:r>
        <w:r w:rsidR="001A7243">
          <w:rPr>
            <w:noProof/>
            <w:webHidden/>
          </w:rPr>
          <w:t>55</w:t>
        </w:r>
        <w:r w:rsidR="00A73EF7">
          <w:rPr>
            <w:noProof/>
            <w:webHidden/>
          </w:rPr>
          <w:fldChar w:fldCharType="end"/>
        </w:r>
      </w:hyperlink>
    </w:p>
    <w:p w14:paraId="0FCA650E" w14:textId="65692FF0" w:rsidR="00A73EF7" w:rsidRDefault="00000000">
      <w:pPr>
        <w:pStyle w:val="TableofFigures"/>
        <w:tabs>
          <w:tab w:val="right" w:pos="8495"/>
        </w:tabs>
        <w:rPr>
          <w:rFonts w:asciiTheme="minorHAnsi" w:hAnsiTheme="minorHAnsi"/>
          <w:noProof/>
        </w:rPr>
      </w:pPr>
      <w:hyperlink w:anchor="_Toc73711488" w:history="1">
        <w:r w:rsidR="00A73EF7" w:rsidRPr="00426045">
          <w:rPr>
            <w:rStyle w:val="Hyperlink"/>
            <w:noProof/>
          </w:rPr>
          <w:t xml:space="preserve">Figure 15: </w:t>
        </w:r>
        <w:r w:rsidR="00A73EF7">
          <w:rPr>
            <w:rFonts w:asciiTheme="minorHAnsi" w:hAnsiTheme="minorHAnsi"/>
            <w:noProof/>
          </w:rPr>
          <w:tab/>
        </w:r>
        <w:r w:rsidR="00A73EF7" w:rsidRPr="00426045">
          <w:rPr>
            <w:rStyle w:val="Hyperlink"/>
            <w:noProof/>
          </w:rPr>
          <w:t>Look-up chart of estimated TP</w:t>
        </w:r>
        <w:r w:rsidR="00A73EF7" w:rsidRPr="00426045">
          <w:rPr>
            <w:rStyle w:val="Hyperlink"/>
            <w:noProof/>
            <w:vertAlign w:val="subscript"/>
          </w:rPr>
          <w:t xml:space="preserve">in-lake </w:t>
        </w:r>
        <w:r w:rsidR="00A73EF7" w:rsidRPr="00426045">
          <w:rPr>
            <w:rStyle w:val="Hyperlink"/>
            <w:noProof/>
          </w:rPr>
          <w:t>concentrations using Eq. 3 (Vollenweider, 1976) for TP</w:t>
        </w:r>
        <w:r w:rsidR="00A73EF7" w:rsidRPr="00426045">
          <w:rPr>
            <w:rStyle w:val="Hyperlink"/>
            <w:noProof/>
            <w:vertAlign w:val="subscript"/>
          </w:rPr>
          <w:t>FMU</w:t>
        </w:r>
        <w:r w:rsidR="00A73EF7" w:rsidRPr="00426045">
          <w:rPr>
            <w:rStyle w:val="Hyperlink"/>
            <w:noProof/>
          </w:rPr>
          <w:t xml:space="preserve"> values of 0-100 mg/m</w:t>
        </w:r>
        <w:r w:rsidR="00A73EF7" w:rsidRPr="00426045">
          <w:rPr>
            <w:rStyle w:val="Hyperlink"/>
            <w:noProof/>
            <w:vertAlign w:val="superscript"/>
          </w:rPr>
          <w:t>3</w:t>
        </w:r>
        <w:r w:rsidR="00A73EF7" w:rsidRPr="00426045">
          <w:rPr>
            <w:rStyle w:val="Hyperlink"/>
            <w:noProof/>
          </w:rPr>
          <w:t xml:space="preserve"> and lake residence times (</w:t>
        </w:r>
        <w:r w:rsidR="00A73EF7" w:rsidRPr="00426045">
          <w:rPr>
            <w:rStyle w:val="Hyperlink"/>
            <w:i/>
            <w:noProof/>
          </w:rPr>
          <w:t>T</w:t>
        </w:r>
        <w:r w:rsidR="00A73EF7" w:rsidRPr="00426045">
          <w:rPr>
            <w:rStyle w:val="Hyperlink"/>
            <w:noProof/>
          </w:rPr>
          <w:t>) of 0-10 years. Solid black line = 1:1 line (TP</w:t>
        </w:r>
        <w:r w:rsidR="00A73EF7" w:rsidRPr="00426045">
          <w:rPr>
            <w:rStyle w:val="Hyperlink"/>
            <w:noProof/>
            <w:vertAlign w:val="subscript"/>
          </w:rPr>
          <w:t>FMU</w:t>
        </w:r>
        <w:r w:rsidR="00A73EF7" w:rsidRPr="00426045">
          <w:rPr>
            <w:rStyle w:val="Hyperlink"/>
            <w:noProof/>
          </w:rPr>
          <w:t xml:space="preserve"> = TP</w:t>
        </w:r>
        <w:r w:rsidR="00A73EF7" w:rsidRPr="00426045">
          <w:rPr>
            <w:rStyle w:val="Hyperlink"/>
            <w:noProof/>
            <w:vertAlign w:val="subscript"/>
          </w:rPr>
          <w:t>inlake</w:t>
        </w:r>
        <w:r w:rsidR="00A73EF7" w:rsidRPr="00426045">
          <w:rPr>
            <w:rStyle w:val="Hyperlink"/>
            <w:noProof/>
          </w:rPr>
          <w:t>)</w:t>
        </w:r>
        <w:r w:rsidR="00A73EF7">
          <w:rPr>
            <w:noProof/>
            <w:webHidden/>
          </w:rPr>
          <w:tab/>
        </w:r>
        <w:r w:rsidR="00A73EF7">
          <w:rPr>
            <w:noProof/>
            <w:webHidden/>
          </w:rPr>
          <w:fldChar w:fldCharType="begin"/>
        </w:r>
        <w:r w:rsidR="00A73EF7">
          <w:rPr>
            <w:noProof/>
            <w:webHidden/>
          </w:rPr>
          <w:instrText xml:space="preserve"> PAGEREF _Toc73711488 \h </w:instrText>
        </w:r>
        <w:r w:rsidR="00A73EF7">
          <w:rPr>
            <w:noProof/>
            <w:webHidden/>
          </w:rPr>
        </w:r>
        <w:r w:rsidR="00A73EF7">
          <w:rPr>
            <w:noProof/>
            <w:webHidden/>
          </w:rPr>
          <w:fldChar w:fldCharType="separate"/>
        </w:r>
        <w:r w:rsidR="001A7243">
          <w:rPr>
            <w:noProof/>
            <w:webHidden/>
          </w:rPr>
          <w:t>59</w:t>
        </w:r>
        <w:r w:rsidR="00A73EF7">
          <w:rPr>
            <w:noProof/>
            <w:webHidden/>
          </w:rPr>
          <w:fldChar w:fldCharType="end"/>
        </w:r>
      </w:hyperlink>
    </w:p>
    <w:p w14:paraId="62938FEB" w14:textId="181D9869" w:rsidR="00A73EF7" w:rsidRDefault="00000000">
      <w:pPr>
        <w:pStyle w:val="TableofFigures"/>
        <w:tabs>
          <w:tab w:val="right" w:pos="8495"/>
        </w:tabs>
        <w:rPr>
          <w:rFonts w:asciiTheme="minorHAnsi" w:hAnsiTheme="minorHAnsi"/>
          <w:noProof/>
        </w:rPr>
      </w:pPr>
      <w:hyperlink w:anchor="_Toc73711489" w:history="1">
        <w:r w:rsidR="00A73EF7" w:rsidRPr="00426045">
          <w:rPr>
            <w:rStyle w:val="Hyperlink"/>
            <w:noProof/>
            <w:lang w:val="en-AU"/>
          </w:rPr>
          <w:t xml:space="preserve">Figure 16: </w:t>
        </w:r>
        <w:r w:rsidR="00A73EF7">
          <w:rPr>
            <w:rFonts w:asciiTheme="minorHAnsi" w:hAnsiTheme="minorHAnsi"/>
            <w:noProof/>
          </w:rPr>
          <w:tab/>
        </w:r>
        <w:r w:rsidR="00A73EF7" w:rsidRPr="00426045">
          <w:rPr>
            <w:rStyle w:val="Hyperlink"/>
            <w:noProof/>
            <w:lang w:val="en-AU"/>
          </w:rPr>
          <w:t>Look-up chart of estimated TP</w:t>
        </w:r>
        <w:r w:rsidR="00A73EF7" w:rsidRPr="00426045">
          <w:rPr>
            <w:rStyle w:val="Hyperlink"/>
            <w:noProof/>
            <w:vertAlign w:val="subscript"/>
            <w:lang w:val="en-AU"/>
          </w:rPr>
          <w:t>in-lake</w:t>
        </w:r>
        <w:r w:rsidR="00A73EF7" w:rsidRPr="00426045">
          <w:rPr>
            <w:rStyle w:val="Hyperlink"/>
            <w:noProof/>
            <w:lang w:val="en-AU"/>
          </w:rPr>
          <w:t xml:space="preserve"> concentrations using Eq. 5 (OECD, 1982) for TP</w:t>
        </w:r>
        <w:r w:rsidR="00A73EF7" w:rsidRPr="00426045">
          <w:rPr>
            <w:rStyle w:val="Hyperlink"/>
            <w:noProof/>
            <w:vertAlign w:val="subscript"/>
            <w:lang w:val="en-AU"/>
          </w:rPr>
          <w:t>FMU</w:t>
        </w:r>
        <w:r w:rsidR="00A73EF7" w:rsidRPr="00426045">
          <w:rPr>
            <w:rStyle w:val="Hyperlink"/>
            <w:noProof/>
            <w:lang w:val="en-AU"/>
          </w:rPr>
          <w:t xml:space="preserve"> values of 0-100 mg/m</w:t>
        </w:r>
        <w:r w:rsidR="00A73EF7" w:rsidRPr="00426045">
          <w:rPr>
            <w:rStyle w:val="Hyperlink"/>
            <w:noProof/>
            <w:vertAlign w:val="superscript"/>
            <w:lang w:val="en-AU"/>
          </w:rPr>
          <w:t>3</w:t>
        </w:r>
        <w:r w:rsidR="00A73EF7" w:rsidRPr="00426045">
          <w:rPr>
            <w:rStyle w:val="Hyperlink"/>
            <w:noProof/>
            <w:lang w:val="en-AU"/>
          </w:rPr>
          <w:t xml:space="preserve"> and lake residence times (</w:t>
        </w:r>
        <w:r w:rsidR="00A73EF7" w:rsidRPr="00426045">
          <w:rPr>
            <w:rStyle w:val="Hyperlink"/>
            <w:i/>
            <w:noProof/>
            <w:lang w:val="en-AU"/>
          </w:rPr>
          <w:t>T</w:t>
        </w:r>
        <w:r w:rsidR="00A73EF7" w:rsidRPr="00426045">
          <w:rPr>
            <w:rStyle w:val="Hyperlink"/>
            <w:noProof/>
            <w:lang w:val="en-AU"/>
          </w:rPr>
          <w:t>) of 0-10 years. Solid black line = 1:1 line (TP</w:t>
        </w:r>
        <w:r w:rsidR="00A73EF7" w:rsidRPr="00426045">
          <w:rPr>
            <w:rStyle w:val="Hyperlink"/>
            <w:noProof/>
            <w:vertAlign w:val="subscript"/>
            <w:lang w:val="en-AU"/>
          </w:rPr>
          <w:t xml:space="preserve">FMU </w:t>
        </w:r>
        <w:r w:rsidR="00A73EF7" w:rsidRPr="00426045">
          <w:rPr>
            <w:rStyle w:val="Hyperlink"/>
            <w:noProof/>
            <w:lang w:val="en-AU"/>
          </w:rPr>
          <w:t>= TP</w:t>
        </w:r>
        <w:r w:rsidR="00A73EF7" w:rsidRPr="00426045">
          <w:rPr>
            <w:rStyle w:val="Hyperlink"/>
            <w:noProof/>
            <w:vertAlign w:val="subscript"/>
            <w:lang w:val="en-AU"/>
          </w:rPr>
          <w:t>inlake</w:t>
        </w:r>
        <w:r w:rsidR="00A73EF7" w:rsidRPr="00426045">
          <w:rPr>
            <w:rStyle w:val="Hyperlink"/>
            <w:noProof/>
            <w:lang w:val="en-AU"/>
          </w:rPr>
          <w:t>)</w:t>
        </w:r>
        <w:r w:rsidR="00A73EF7">
          <w:rPr>
            <w:noProof/>
            <w:webHidden/>
          </w:rPr>
          <w:tab/>
        </w:r>
        <w:r w:rsidR="00A73EF7">
          <w:rPr>
            <w:noProof/>
            <w:webHidden/>
          </w:rPr>
          <w:fldChar w:fldCharType="begin"/>
        </w:r>
        <w:r w:rsidR="00A73EF7">
          <w:rPr>
            <w:noProof/>
            <w:webHidden/>
          </w:rPr>
          <w:instrText xml:space="preserve"> PAGEREF _Toc73711489 \h </w:instrText>
        </w:r>
        <w:r w:rsidR="00A73EF7">
          <w:rPr>
            <w:noProof/>
            <w:webHidden/>
          </w:rPr>
        </w:r>
        <w:r w:rsidR="00A73EF7">
          <w:rPr>
            <w:noProof/>
            <w:webHidden/>
          </w:rPr>
          <w:fldChar w:fldCharType="separate"/>
        </w:r>
        <w:r w:rsidR="001A7243">
          <w:rPr>
            <w:noProof/>
            <w:webHidden/>
          </w:rPr>
          <w:t>59</w:t>
        </w:r>
        <w:r w:rsidR="00A73EF7">
          <w:rPr>
            <w:noProof/>
            <w:webHidden/>
          </w:rPr>
          <w:fldChar w:fldCharType="end"/>
        </w:r>
      </w:hyperlink>
    </w:p>
    <w:p w14:paraId="52050F4C" w14:textId="5D3C325F" w:rsidR="00A73EF7" w:rsidRDefault="00000000">
      <w:pPr>
        <w:pStyle w:val="TableofFigures"/>
        <w:tabs>
          <w:tab w:val="right" w:pos="8495"/>
        </w:tabs>
        <w:rPr>
          <w:rFonts w:asciiTheme="minorHAnsi" w:hAnsiTheme="minorHAnsi"/>
          <w:noProof/>
        </w:rPr>
      </w:pPr>
      <w:hyperlink w:anchor="_Toc73711490" w:history="1">
        <w:r w:rsidR="00A73EF7" w:rsidRPr="00426045">
          <w:rPr>
            <w:rStyle w:val="Hyperlink"/>
            <w:noProof/>
            <w:lang w:val="en-AU"/>
          </w:rPr>
          <w:t xml:space="preserve">Figure 17: </w:t>
        </w:r>
        <w:r w:rsidR="00A73EF7">
          <w:rPr>
            <w:rFonts w:asciiTheme="minorHAnsi" w:hAnsiTheme="minorHAnsi"/>
            <w:noProof/>
          </w:rPr>
          <w:tab/>
        </w:r>
        <w:r w:rsidR="00A73EF7" w:rsidRPr="00426045">
          <w:rPr>
            <w:rStyle w:val="Hyperlink"/>
            <w:noProof/>
            <w:lang w:val="en-AU"/>
          </w:rPr>
          <w:t>Look-up chart for estimated TN</w:t>
        </w:r>
        <w:r w:rsidR="00A73EF7" w:rsidRPr="00426045">
          <w:rPr>
            <w:rStyle w:val="Hyperlink"/>
            <w:noProof/>
            <w:vertAlign w:val="subscript"/>
            <w:lang w:val="en-AU"/>
          </w:rPr>
          <w:t xml:space="preserve">in-lake </w:t>
        </w:r>
        <w:r w:rsidR="00A73EF7" w:rsidRPr="00426045">
          <w:rPr>
            <w:rStyle w:val="Hyperlink"/>
            <w:noProof/>
            <w:lang w:val="en-AU"/>
          </w:rPr>
          <w:t>concentrations using Eq. 4 (OECD, 1982) for TN</w:t>
        </w:r>
        <w:r w:rsidR="00A73EF7" w:rsidRPr="00426045">
          <w:rPr>
            <w:rStyle w:val="Hyperlink"/>
            <w:noProof/>
            <w:vertAlign w:val="subscript"/>
            <w:lang w:val="en-AU"/>
          </w:rPr>
          <w:t>FMU</w:t>
        </w:r>
        <w:r w:rsidR="00A73EF7" w:rsidRPr="00426045">
          <w:rPr>
            <w:rStyle w:val="Hyperlink"/>
            <w:noProof/>
            <w:lang w:val="en-AU"/>
          </w:rPr>
          <w:t xml:space="preserve"> values of 0-2000 mg/m</w:t>
        </w:r>
        <w:r w:rsidR="00A73EF7" w:rsidRPr="00426045">
          <w:rPr>
            <w:rStyle w:val="Hyperlink"/>
            <w:noProof/>
            <w:vertAlign w:val="superscript"/>
            <w:lang w:val="en-AU"/>
          </w:rPr>
          <w:t>3</w:t>
        </w:r>
        <w:r w:rsidR="00A73EF7" w:rsidRPr="00426045">
          <w:rPr>
            <w:rStyle w:val="Hyperlink"/>
            <w:noProof/>
            <w:lang w:val="en-AU"/>
          </w:rPr>
          <w:t xml:space="preserve"> and lake residence times (</w:t>
        </w:r>
        <w:r w:rsidR="00A73EF7" w:rsidRPr="00426045">
          <w:rPr>
            <w:rStyle w:val="Hyperlink"/>
            <w:i/>
            <w:noProof/>
            <w:lang w:val="en-AU"/>
          </w:rPr>
          <w:t>T</w:t>
        </w:r>
        <w:r w:rsidR="00A73EF7" w:rsidRPr="00426045">
          <w:rPr>
            <w:rStyle w:val="Hyperlink"/>
            <w:noProof/>
            <w:lang w:val="en-AU"/>
          </w:rPr>
          <w:t>) of 0-10 years. Solid black line = 1:1 line (TN</w:t>
        </w:r>
        <w:r w:rsidR="00A73EF7" w:rsidRPr="00426045">
          <w:rPr>
            <w:rStyle w:val="Hyperlink"/>
            <w:noProof/>
            <w:vertAlign w:val="subscript"/>
            <w:lang w:val="en-AU"/>
          </w:rPr>
          <w:t xml:space="preserve">FMU </w:t>
        </w:r>
        <w:r w:rsidR="00A73EF7" w:rsidRPr="00426045">
          <w:rPr>
            <w:rStyle w:val="Hyperlink"/>
            <w:noProof/>
            <w:lang w:val="en-AU"/>
          </w:rPr>
          <w:t>= TN</w:t>
        </w:r>
        <w:r w:rsidR="00A73EF7" w:rsidRPr="00426045">
          <w:rPr>
            <w:rStyle w:val="Hyperlink"/>
            <w:noProof/>
            <w:vertAlign w:val="subscript"/>
            <w:lang w:val="en-AU"/>
          </w:rPr>
          <w:t>in-lake</w:t>
        </w:r>
        <w:r w:rsidR="00A73EF7" w:rsidRPr="00426045">
          <w:rPr>
            <w:rStyle w:val="Hyperlink"/>
            <w:noProof/>
            <w:lang w:val="en-AU"/>
          </w:rPr>
          <w:t>)</w:t>
        </w:r>
        <w:r w:rsidR="00A73EF7">
          <w:rPr>
            <w:noProof/>
            <w:webHidden/>
          </w:rPr>
          <w:tab/>
        </w:r>
        <w:r w:rsidR="00A73EF7">
          <w:rPr>
            <w:noProof/>
            <w:webHidden/>
          </w:rPr>
          <w:fldChar w:fldCharType="begin"/>
        </w:r>
        <w:r w:rsidR="00A73EF7">
          <w:rPr>
            <w:noProof/>
            <w:webHidden/>
          </w:rPr>
          <w:instrText xml:space="preserve"> PAGEREF _Toc73711490 \h </w:instrText>
        </w:r>
        <w:r w:rsidR="00A73EF7">
          <w:rPr>
            <w:noProof/>
            <w:webHidden/>
          </w:rPr>
        </w:r>
        <w:r w:rsidR="00A73EF7">
          <w:rPr>
            <w:noProof/>
            <w:webHidden/>
          </w:rPr>
          <w:fldChar w:fldCharType="separate"/>
        </w:r>
        <w:r w:rsidR="001A7243">
          <w:rPr>
            <w:noProof/>
            <w:webHidden/>
          </w:rPr>
          <w:t>60</w:t>
        </w:r>
        <w:r w:rsidR="00A73EF7">
          <w:rPr>
            <w:noProof/>
            <w:webHidden/>
          </w:rPr>
          <w:fldChar w:fldCharType="end"/>
        </w:r>
      </w:hyperlink>
    </w:p>
    <w:p w14:paraId="2728CA27" w14:textId="6FD506A9" w:rsidR="00A73EF7" w:rsidRDefault="00000000">
      <w:pPr>
        <w:pStyle w:val="TableofFigures"/>
        <w:tabs>
          <w:tab w:val="right" w:pos="8495"/>
        </w:tabs>
        <w:rPr>
          <w:rFonts w:asciiTheme="minorHAnsi" w:hAnsiTheme="minorHAnsi"/>
          <w:noProof/>
        </w:rPr>
      </w:pPr>
      <w:hyperlink w:anchor="_Toc73711491" w:history="1">
        <w:r w:rsidR="00A73EF7" w:rsidRPr="00426045">
          <w:rPr>
            <w:rStyle w:val="Hyperlink"/>
            <w:noProof/>
          </w:rPr>
          <w:t>Figure 18:</w:t>
        </w:r>
        <w:r w:rsidR="00A73EF7">
          <w:rPr>
            <w:rFonts w:asciiTheme="minorHAnsi" w:hAnsiTheme="minorHAnsi"/>
            <w:noProof/>
          </w:rPr>
          <w:tab/>
        </w:r>
        <w:r w:rsidR="00A73EF7" w:rsidRPr="00426045">
          <w:rPr>
            <w:rStyle w:val="Hyperlink"/>
            <w:noProof/>
          </w:rPr>
          <w:t>A simple, hypothetical scenario of FMU that discharges to a polymictic lake</w:t>
        </w:r>
        <w:r w:rsidR="00A73EF7">
          <w:rPr>
            <w:noProof/>
            <w:webHidden/>
          </w:rPr>
          <w:tab/>
        </w:r>
        <w:r w:rsidR="00A73EF7">
          <w:rPr>
            <w:noProof/>
            <w:webHidden/>
          </w:rPr>
          <w:fldChar w:fldCharType="begin"/>
        </w:r>
        <w:r w:rsidR="00A73EF7">
          <w:rPr>
            <w:noProof/>
            <w:webHidden/>
          </w:rPr>
          <w:instrText xml:space="preserve"> PAGEREF _Toc73711491 \h </w:instrText>
        </w:r>
        <w:r w:rsidR="00A73EF7">
          <w:rPr>
            <w:noProof/>
            <w:webHidden/>
          </w:rPr>
        </w:r>
        <w:r w:rsidR="00A73EF7">
          <w:rPr>
            <w:noProof/>
            <w:webHidden/>
          </w:rPr>
          <w:fldChar w:fldCharType="separate"/>
        </w:r>
        <w:r w:rsidR="001A7243">
          <w:rPr>
            <w:noProof/>
            <w:webHidden/>
          </w:rPr>
          <w:t>61</w:t>
        </w:r>
        <w:r w:rsidR="00A73EF7">
          <w:rPr>
            <w:noProof/>
            <w:webHidden/>
          </w:rPr>
          <w:fldChar w:fldCharType="end"/>
        </w:r>
      </w:hyperlink>
    </w:p>
    <w:p w14:paraId="62DFF117" w14:textId="361FFB9C" w:rsidR="00A73EF7" w:rsidRDefault="00000000">
      <w:pPr>
        <w:pStyle w:val="TableofFigures"/>
        <w:tabs>
          <w:tab w:val="right" w:pos="8495"/>
        </w:tabs>
        <w:rPr>
          <w:rFonts w:asciiTheme="minorHAnsi" w:hAnsiTheme="minorHAnsi"/>
          <w:noProof/>
        </w:rPr>
      </w:pPr>
      <w:hyperlink w:anchor="_Toc73711492" w:history="1">
        <w:r w:rsidR="00A73EF7" w:rsidRPr="00426045">
          <w:rPr>
            <w:rStyle w:val="Hyperlink"/>
            <w:noProof/>
          </w:rPr>
          <w:t>Figure 19:</w:t>
        </w:r>
        <w:r w:rsidR="00A73EF7">
          <w:rPr>
            <w:rFonts w:asciiTheme="minorHAnsi" w:hAnsiTheme="minorHAnsi"/>
            <w:noProof/>
          </w:rPr>
          <w:tab/>
        </w:r>
        <w:r w:rsidR="00A73EF7" w:rsidRPr="00426045">
          <w:rPr>
            <w:rStyle w:val="Hyperlink"/>
            <w:noProof/>
          </w:rPr>
          <w:t>Estimated concentrations of TP</w:t>
        </w:r>
        <w:r w:rsidR="00A73EF7" w:rsidRPr="00426045">
          <w:rPr>
            <w:rStyle w:val="Hyperlink"/>
            <w:noProof/>
            <w:vertAlign w:val="subscript"/>
          </w:rPr>
          <w:t xml:space="preserve">in-lake </w:t>
        </w:r>
        <w:r w:rsidR="00A73EF7" w:rsidRPr="00426045">
          <w:rPr>
            <w:rStyle w:val="Hyperlink"/>
            <w:noProof/>
          </w:rPr>
          <w:t>(a) and TN</w:t>
        </w:r>
        <w:r w:rsidR="00A73EF7" w:rsidRPr="00426045">
          <w:rPr>
            <w:rStyle w:val="Hyperlink"/>
            <w:noProof/>
            <w:vertAlign w:val="subscript"/>
          </w:rPr>
          <w:t xml:space="preserve">in-lake </w:t>
        </w:r>
        <w:r w:rsidR="00A73EF7" w:rsidRPr="00426045">
          <w:rPr>
            <w:rStyle w:val="Hyperlink"/>
            <w:noProof/>
          </w:rPr>
          <w:t>(b) using Eq. 3b and 5b for TP and Eq. 4b for TN using TP</w:t>
        </w:r>
        <w:r w:rsidR="00A73EF7" w:rsidRPr="00426045">
          <w:rPr>
            <w:rStyle w:val="Hyperlink"/>
            <w:noProof/>
            <w:vertAlign w:val="subscript"/>
          </w:rPr>
          <w:t xml:space="preserve">FMU </w:t>
        </w:r>
        <w:r w:rsidR="00A73EF7" w:rsidRPr="00426045">
          <w:rPr>
            <w:rStyle w:val="Hyperlink"/>
            <w:noProof/>
          </w:rPr>
          <w:t>and TN</w:t>
        </w:r>
        <w:r w:rsidR="00A73EF7" w:rsidRPr="00426045">
          <w:rPr>
            <w:rStyle w:val="Hyperlink"/>
            <w:noProof/>
            <w:vertAlign w:val="subscript"/>
          </w:rPr>
          <w:t xml:space="preserve">FMU </w:t>
        </w:r>
        <w:r w:rsidR="00A73EF7" w:rsidRPr="00426045">
          <w:rPr>
            <w:rStyle w:val="Hyperlink"/>
            <w:noProof/>
          </w:rPr>
          <w:t>values of 20 and 500 mg/m</w:t>
        </w:r>
        <w:r w:rsidR="00A73EF7" w:rsidRPr="00426045">
          <w:rPr>
            <w:rStyle w:val="Hyperlink"/>
            <w:noProof/>
            <w:vertAlign w:val="superscript"/>
          </w:rPr>
          <w:t>3</w:t>
        </w:r>
        <w:r w:rsidR="00A73EF7" w:rsidRPr="00426045">
          <w:rPr>
            <w:rStyle w:val="Hyperlink"/>
            <w:noProof/>
          </w:rPr>
          <w:t>, respectively</w:t>
        </w:r>
        <w:r w:rsidR="00A73EF7">
          <w:rPr>
            <w:noProof/>
            <w:webHidden/>
          </w:rPr>
          <w:tab/>
        </w:r>
        <w:r w:rsidR="00A73EF7">
          <w:rPr>
            <w:noProof/>
            <w:webHidden/>
          </w:rPr>
          <w:fldChar w:fldCharType="begin"/>
        </w:r>
        <w:r w:rsidR="00A73EF7">
          <w:rPr>
            <w:noProof/>
            <w:webHidden/>
          </w:rPr>
          <w:instrText xml:space="preserve"> PAGEREF _Toc73711492 \h </w:instrText>
        </w:r>
        <w:r w:rsidR="00A73EF7">
          <w:rPr>
            <w:noProof/>
            <w:webHidden/>
          </w:rPr>
        </w:r>
        <w:r w:rsidR="00A73EF7">
          <w:rPr>
            <w:noProof/>
            <w:webHidden/>
          </w:rPr>
          <w:fldChar w:fldCharType="separate"/>
        </w:r>
        <w:r w:rsidR="001A7243">
          <w:rPr>
            <w:noProof/>
            <w:webHidden/>
          </w:rPr>
          <w:t>62</w:t>
        </w:r>
        <w:r w:rsidR="00A73EF7">
          <w:rPr>
            <w:noProof/>
            <w:webHidden/>
          </w:rPr>
          <w:fldChar w:fldCharType="end"/>
        </w:r>
      </w:hyperlink>
    </w:p>
    <w:p w14:paraId="30BCF2B2" w14:textId="4430DEAA" w:rsidR="008A2FF1" w:rsidRPr="006B77BB" w:rsidRDefault="004943C2" w:rsidP="00D51469">
      <w:pPr>
        <w:pStyle w:val="BodyText"/>
      </w:pPr>
      <w:r w:rsidRPr="006B77BB">
        <w:fldChar w:fldCharType="end"/>
      </w:r>
    </w:p>
    <w:p w14:paraId="5BB7657D" w14:textId="77777777" w:rsidR="00796A6F" w:rsidRPr="00554B30" w:rsidRDefault="00796A6F" w:rsidP="00554B30">
      <w:bookmarkStart w:id="0" w:name="_Toc215561202"/>
      <w:r w:rsidRPr="00554B30">
        <w:br w:type="page"/>
      </w:r>
    </w:p>
    <w:p w14:paraId="25BD498C" w14:textId="77777777" w:rsidR="00C509DA" w:rsidRDefault="00C509DA" w:rsidP="00C509DA">
      <w:pPr>
        <w:pStyle w:val="Heading1"/>
        <w:numPr>
          <w:ilvl w:val="0"/>
          <w:numId w:val="39"/>
        </w:numPr>
        <w:rPr>
          <w:rStyle w:val="Heading1Char"/>
          <w:b/>
        </w:rPr>
      </w:pPr>
      <w:bookmarkStart w:id="1" w:name="_Toc73711445"/>
      <w:bookmarkStart w:id="2" w:name="_Toc345760336"/>
      <w:bookmarkEnd w:id="0"/>
      <w:r>
        <w:rPr>
          <w:rStyle w:val="Heading1Char"/>
          <w:b/>
        </w:rPr>
        <w:lastRenderedPageBreak/>
        <w:t>Introduction</w:t>
      </w:r>
      <w:bookmarkEnd w:id="1"/>
    </w:p>
    <w:p w14:paraId="69BB513B" w14:textId="75B60B2E" w:rsidR="00C509DA" w:rsidRDefault="00C509DA" w:rsidP="00F572CF">
      <w:pPr>
        <w:pStyle w:val="BodyText"/>
      </w:pPr>
      <w:r>
        <w:t>The National Policy Statement for Freshwater Management (NPS-FM) 2020 requires regional</w:t>
      </w:r>
      <w:r w:rsidR="00890F93">
        <w:t> </w:t>
      </w:r>
      <w:r>
        <w:t xml:space="preserve">councils and unitary authorities (referred to </w:t>
      </w:r>
      <w:r w:rsidR="007F6064">
        <w:t xml:space="preserve">in this report </w:t>
      </w:r>
      <w:r>
        <w:t xml:space="preserve">as ‘councils’) to </w:t>
      </w:r>
      <w:r w:rsidR="00927898">
        <w:t xml:space="preserve">manage attributes in rivers </w:t>
      </w:r>
      <w:r w:rsidR="00312A53">
        <w:t>and lakes by setting</w:t>
      </w:r>
      <w:r w:rsidR="0029038C">
        <w:t xml:space="preserve"> </w:t>
      </w:r>
      <w:r w:rsidR="00927898">
        <w:t xml:space="preserve">target </w:t>
      </w:r>
      <w:r w:rsidR="0029038C">
        <w:t xml:space="preserve">attribute </w:t>
      </w:r>
      <w:r w:rsidR="00927898">
        <w:t xml:space="preserve">states to </w:t>
      </w:r>
      <w:r w:rsidR="0029038C">
        <w:t xml:space="preserve">provide for </w:t>
      </w:r>
      <w:r w:rsidR="00927898">
        <w:t xml:space="preserve">the </w:t>
      </w:r>
      <w:r w:rsidR="00312A53">
        <w:t xml:space="preserve">compulsory values, including </w:t>
      </w:r>
      <w:r w:rsidR="00927898">
        <w:t xml:space="preserve">ecosystem health. As a part of achieving the target attribute states for any attribute affected by nutrients, </w:t>
      </w:r>
      <w:r w:rsidR="00C622B9">
        <w:t xml:space="preserve">councils </w:t>
      </w:r>
      <w:r w:rsidR="00927898">
        <w:t xml:space="preserve">must at least </w:t>
      </w:r>
      <w:r>
        <w:t xml:space="preserve">set appropriate instream concentration levels </w:t>
      </w:r>
      <w:r w:rsidR="00927898">
        <w:t xml:space="preserve">and exceedance criteria </w:t>
      </w:r>
      <w:r>
        <w:t xml:space="preserve">for </w:t>
      </w:r>
      <w:r w:rsidR="0092537D">
        <w:t>d</w:t>
      </w:r>
      <w:r w:rsidRPr="00F572CF">
        <w:t>issolved</w:t>
      </w:r>
      <w:r>
        <w:t xml:space="preserve"> </w:t>
      </w:r>
      <w:r w:rsidR="0092537D">
        <w:t>i</w:t>
      </w:r>
      <w:r>
        <w:t xml:space="preserve">norganic </w:t>
      </w:r>
      <w:r w:rsidR="0092537D">
        <w:t>n</w:t>
      </w:r>
      <w:r>
        <w:t xml:space="preserve">itrogen (DIN) and </w:t>
      </w:r>
      <w:r w:rsidR="0092537D">
        <w:t>d</w:t>
      </w:r>
      <w:r>
        <w:t xml:space="preserve">issolved </w:t>
      </w:r>
      <w:r w:rsidR="0092537D">
        <w:t>r</w:t>
      </w:r>
      <w:r>
        <w:t xml:space="preserve">eactive </w:t>
      </w:r>
      <w:r w:rsidR="0092537D">
        <w:t>p</w:t>
      </w:r>
      <w:r>
        <w:t xml:space="preserve">hosphorus (DRP). </w:t>
      </w:r>
    </w:p>
    <w:p w14:paraId="52282850" w14:textId="63D7E915" w:rsidR="004230F8" w:rsidRDefault="004230F8" w:rsidP="00F572CF">
      <w:pPr>
        <w:pStyle w:val="BodyText"/>
        <w:rPr>
          <w:rFonts w:cs="Arial"/>
        </w:rPr>
      </w:pPr>
      <w:r>
        <w:t xml:space="preserve">Nitrogen and phosphorus are nutrients necessary for all plant growth and are present naturally at low levels in freshwater ecosystems. However, </w:t>
      </w:r>
      <w:r>
        <w:rPr>
          <w:rFonts w:cs="Arial"/>
        </w:rPr>
        <w:t>excessive nutrients can:</w:t>
      </w:r>
    </w:p>
    <w:p w14:paraId="699F63C5" w14:textId="77777777" w:rsidR="004230F8" w:rsidRDefault="004230F8" w:rsidP="00F572CF">
      <w:pPr>
        <w:pStyle w:val="Bullet"/>
        <w:rPr>
          <w:rFonts w:eastAsia="Calibri"/>
        </w:rPr>
      </w:pPr>
      <w:r>
        <w:rPr>
          <w:rFonts w:eastAsia="Calibri"/>
        </w:rPr>
        <w:t xml:space="preserve">contribute to problematic growth of periphyton (slime) or macrophytes (rooted plants), affecting ecosystem health and people’s use and enjoyment of the waterbody </w:t>
      </w:r>
    </w:p>
    <w:p w14:paraId="22C36D30" w14:textId="6D15B0C1" w:rsidR="004230F8" w:rsidRDefault="004230F8" w:rsidP="00F572CF">
      <w:pPr>
        <w:pStyle w:val="Bullet"/>
        <w:rPr>
          <w:rFonts w:eastAsia="Calibri"/>
        </w:rPr>
      </w:pPr>
      <w:r>
        <w:rPr>
          <w:rFonts w:eastAsia="Calibri"/>
        </w:rPr>
        <w:t>change the way that microbes and invertebrates break down and recycle organic matter (such as leaf litter) in rivers, which alters the way ecosystems function.</w:t>
      </w:r>
    </w:p>
    <w:p w14:paraId="3E407E23" w14:textId="28E31D50" w:rsidR="004230F8" w:rsidRDefault="004230F8" w:rsidP="00F572CF">
      <w:pPr>
        <w:pStyle w:val="BodyText"/>
      </w:pPr>
      <w:r>
        <w:t>International and New Zealand-based research shows that many complex and interacting factors influenc</w:t>
      </w:r>
      <w:r w:rsidR="00A253A8">
        <w:t>e</w:t>
      </w:r>
      <w:r>
        <w:t xml:space="preserve"> ecosystem health in freshwater systems. Elevated nutrient concentrations change the habitat conditions for macroinvertebrates and fish primarily by promoting plant growth, when other conditions are also suitable (eg, when flows are low and stable), and when the river channel is unshaded. Excessive accumulation of plant biomass causes changes in dissolved oxygen and pH. These effects can interact with other impacts of</w:t>
      </w:r>
      <w:r w:rsidR="00890F93">
        <w:t> </w:t>
      </w:r>
      <w:r>
        <w:t>human activities that can reduce habitat quality and the capacity of the river to support aquatic life.</w:t>
      </w:r>
    </w:p>
    <w:p w14:paraId="4B33EB4B" w14:textId="7881FB3C" w:rsidR="004230F8" w:rsidRDefault="004230F8" w:rsidP="00F572CF">
      <w:pPr>
        <w:pStyle w:val="BodyText"/>
      </w:pPr>
      <w:r>
        <w:t xml:space="preserve">This guidance will help councils </w:t>
      </w:r>
      <w:r w:rsidR="00FD4E0C">
        <w:t xml:space="preserve">to </w:t>
      </w:r>
      <w:r>
        <w:t>deriv</w:t>
      </w:r>
      <w:r w:rsidR="00FD4E0C">
        <w:t>e</w:t>
      </w:r>
      <w:r>
        <w:t xml:space="preserve"> appropriate </w:t>
      </w:r>
      <w:r w:rsidR="00F94820">
        <w:t xml:space="preserve">instream </w:t>
      </w:r>
      <w:r>
        <w:t xml:space="preserve">nutrient </w:t>
      </w:r>
      <w:r w:rsidR="00F94820">
        <w:t>concentrations and</w:t>
      </w:r>
      <w:r w:rsidR="00F572CF">
        <w:t> </w:t>
      </w:r>
      <w:r w:rsidR="00F94820">
        <w:t xml:space="preserve">exceedance </w:t>
      </w:r>
      <w:r>
        <w:t xml:space="preserve">criteria in accordance with the NPS-FM and </w:t>
      </w:r>
      <w:r w:rsidR="00312A53">
        <w:t xml:space="preserve">take a </w:t>
      </w:r>
      <w:r>
        <w:t xml:space="preserve">ki uta ki tai (from the mountains to sea) integrated resource management approach. This approach </w:t>
      </w:r>
      <w:r w:rsidR="00986076">
        <w:t xml:space="preserve">will </w:t>
      </w:r>
      <w:r>
        <w:t xml:space="preserve">ensure water is managed from its original source, over land and out to the sea; and </w:t>
      </w:r>
      <w:r w:rsidR="003C2CC6">
        <w:t xml:space="preserve">all </w:t>
      </w:r>
      <w:r>
        <w:t xml:space="preserve">water bodies along this watershed continuum </w:t>
      </w:r>
      <w:r w:rsidR="003C2CC6">
        <w:t>are considered together</w:t>
      </w:r>
      <w:r>
        <w:t>. This approach is enshrined in Policy</w:t>
      </w:r>
      <w:r w:rsidR="00B40F18">
        <w:t> </w:t>
      </w:r>
      <w:r>
        <w:t>3</w:t>
      </w:r>
      <w:r w:rsidR="009457F8">
        <w:t xml:space="preserve">, </w:t>
      </w:r>
      <w:r w:rsidR="00835231">
        <w:t>c</w:t>
      </w:r>
      <w:r>
        <w:t xml:space="preserve">lause 3.5 </w:t>
      </w:r>
      <w:r w:rsidR="003C2CC6">
        <w:t xml:space="preserve">and clause 3.13(2) </w:t>
      </w:r>
      <w:r>
        <w:t xml:space="preserve">of the NPS-FM. This guidance may also help iwi and hapū, water users, or community members who are participating in a regional freshwater planning process. </w:t>
      </w:r>
    </w:p>
    <w:p w14:paraId="399171C8" w14:textId="7C96D0FB" w:rsidR="0080531E" w:rsidRPr="006B77BB" w:rsidRDefault="004230F8" w:rsidP="009679E2">
      <w:pPr>
        <w:pStyle w:val="Heading2"/>
        <w:numPr>
          <w:ilvl w:val="1"/>
          <w:numId w:val="39"/>
        </w:numPr>
      </w:pPr>
      <w:bookmarkStart w:id="3" w:name="_Toc73711446"/>
      <w:r>
        <w:t xml:space="preserve">Document </w:t>
      </w:r>
      <w:r w:rsidR="00835231">
        <w:t>s</w:t>
      </w:r>
      <w:r>
        <w:t>tructure</w:t>
      </w:r>
      <w:bookmarkEnd w:id="3"/>
    </w:p>
    <w:p w14:paraId="1BC6C6D9" w14:textId="0FE0769D" w:rsidR="004230F8" w:rsidRDefault="004230F8" w:rsidP="003B2871">
      <w:pPr>
        <w:pStyle w:val="BodyText"/>
      </w:pPr>
      <w:r>
        <w:t>Th</w:t>
      </w:r>
      <w:r w:rsidR="005C55D8">
        <w:t>is</w:t>
      </w:r>
      <w:r>
        <w:t xml:space="preserve"> guidance document is structured as follows</w:t>
      </w:r>
      <w:r w:rsidR="005C55D8">
        <w:t>:</w:t>
      </w:r>
      <w:r>
        <w:t xml:space="preserve"> </w:t>
      </w:r>
    </w:p>
    <w:p w14:paraId="33C7275C" w14:textId="120C1693" w:rsidR="004230F8" w:rsidRPr="003B2871" w:rsidRDefault="005C55D8" w:rsidP="003B2871">
      <w:pPr>
        <w:pStyle w:val="Bullet"/>
      </w:pPr>
      <w:r>
        <w:t>s</w:t>
      </w:r>
      <w:r w:rsidR="004230F8">
        <w:t xml:space="preserve">ection 1 </w:t>
      </w:r>
      <w:r w:rsidR="004230F8" w:rsidRPr="003B2871">
        <w:t xml:space="preserve">introduces the guidance and outlines the structure of the document </w:t>
      </w:r>
    </w:p>
    <w:p w14:paraId="7A3DB48F" w14:textId="1EFE2E9B" w:rsidR="004230F8" w:rsidRPr="003B2871" w:rsidRDefault="005C55D8" w:rsidP="003B2871">
      <w:pPr>
        <w:pStyle w:val="Bullet"/>
      </w:pPr>
      <w:r>
        <w:t>s</w:t>
      </w:r>
      <w:r w:rsidR="004230F8" w:rsidRPr="003B2871">
        <w:t>ection 2 explains the policy for setting instream nutrient concentrations</w:t>
      </w:r>
      <w:r w:rsidR="00DD47E9">
        <w:t xml:space="preserve"> </w:t>
      </w:r>
    </w:p>
    <w:p w14:paraId="2C44BE5F" w14:textId="184EA1B0" w:rsidR="004230F8" w:rsidRDefault="005C55D8" w:rsidP="003B2871">
      <w:pPr>
        <w:pStyle w:val="Bullet"/>
      </w:pPr>
      <w:r>
        <w:t>s</w:t>
      </w:r>
      <w:r w:rsidR="004230F8" w:rsidRPr="003B2871">
        <w:t>ection 3 outlines the</w:t>
      </w:r>
      <w:r w:rsidR="004230F8">
        <w:t xml:space="preserve"> process councils should follow when applying the nutrient policies in the NPS-FM</w:t>
      </w:r>
      <w:r w:rsidR="0027072C">
        <w:t>.</w:t>
      </w:r>
      <w:r w:rsidR="004230F8">
        <w:t xml:space="preserve"> </w:t>
      </w:r>
    </w:p>
    <w:p w14:paraId="6448160E" w14:textId="705C6353" w:rsidR="004230F8" w:rsidRDefault="004230F8" w:rsidP="003B2871">
      <w:pPr>
        <w:pStyle w:val="BodyText"/>
      </w:pPr>
      <w:r>
        <w:t>This document guides councils through the process for deriving nutrient criteria in Policy 3.13 and explains the details and methods behind each step with illustrative examples. This guidance does not mandate a single correct or preferred method for deriving instream nutrient</w:t>
      </w:r>
      <w:r w:rsidR="003B2871">
        <w:t> </w:t>
      </w:r>
      <w:r>
        <w:t>criteria. Instead, it provides information to help councils select the most appropriate method for the circumstances specific to their region.</w:t>
      </w:r>
    </w:p>
    <w:p w14:paraId="3C83053B" w14:textId="699FD7B2" w:rsidR="004230F8" w:rsidRPr="009F33EB" w:rsidRDefault="004230F8" w:rsidP="009679E2">
      <w:pPr>
        <w:pStyle w:val="Heading2"/>
        <w:numPr>
          <w:ilvl w:val="1"/>
          <w:numId w:val="39"/>
        </w:numPr>
      </w:pPr>
      <w:bookmarkStart w:id="4" w:name="_Toc73711447"/>
      <w:r w:rsidRPr="009F33EB">
        <w:lastRenderedPageBreak/>
        <w:t>Other guidance for the National Policy Statement</w:t>
      </w:r>
      <w:r w:rsidR="00086EF2">
        <w:t> </w:t>
      </w:r>
      <w:r w:rsidRPr="009F33EB">
        <w:t>for Freshwater Management</w:t>
      </w:r>
      <w:bookmarkEnd w:id="4"/>
    </w:p>
    <w:p w14:paraId="096C82BA" w14:textId="33B78100" w:rsidR="004230F8" w:rsidRDefault="004230F8" w:rsidP="003B2871">
      <w:pPr>
        <w:pStyle w:val="BodyText"/>
      </w:pPr>
      <w:r>
        <w:t xml:space="preserve">To support the </w:t>
      </w:r>
      <w:r w:rsidRPr="003B2871">
        <w:t>implementation</w:t>
      </w:r>
      <w:r>
        <w:t xml:space="preserve"> of the </w:t>
      </w:r>
      <w:r w:rsidR="001A2E1E">
        <w:t xml:space="preserve">2020 </w:t>
      </w:r>
      <w:r w:rsidR="0047410F">
        <w:t>NPS-FM</w:t>
      </w:r>
      <w:r>
        <w:t>, the Ministry has</w:t>
      </w:r>
      <w:r w:rsidR="001A2E1E">
        <w:t xml:space="preserve"> produced</w:t>
      </w:r>
      <w:r>
        <w:t xml:space="preserve"> and is continuing to produce guidance. In cases where guidance specific to the</w:t>
      </w:r>
      <w:r w:rsidR="00B949F6">
        <w:t> </w:t>
      </w:r>
      <w:r>
        <w:t>2020 NPS-FM is not yet available, the existing guidance on the 2014 NPS-FM (and its subsequent 2017 amendment) will continue to be of use.</w:t>
      </w:r>
    </w:p>
    <w:p w14:paraId="22DFC854" w14:textId="357A3CFE" w:rsidR="004230F8" w:rsidRPr="00BC713F" w:rsidRDefault="004230F8" w:rsidP="009679E2">
      <w:pPr>
        <w:pStyle w:val="BodyText"/>
      </w:pPr>
      <w:r>
        <w:t>Factsheets detail</w:t>
      </w:r>
      <w:r w:rsidR="001A2E1E">
        <w:t>ing</w:t>
      </w:r>
      <w:r>
        <w:t xml:space="preserve"> specific aspects of the Essential Freshwater programme can be found on </w:t>
      </w:r>
      <w:hyperlink r:id="rId28" w:history="1">
        <w:r w:rsidR="001F169A" w:rsidRPr="006E2890">
          <w:rPr>
            <w:rStyle w:val="Hyperlink"/>
          </w:rPr>
          <w:t>environment.govt.nz</w:t>
        </w:r>
      </w:hyperlink>
      <w:r w:rsidR="00A51FEE">
        <w:t>.</w:t>
      </w:r>
      <w:r w:rsidR="001F169A">
        <w:t xml:space="preserve"> </w:t>
      </w:r>
    </w:p>
    <w:p w14:paraId="7E14FF2D" w14:textId="77777777" w:rsidR="004230F8" w:rsidRPr="003B2871" w:rsidRDefault="004230F8" w:rsidP="003B2871">
      <w:pPr>
        <w:pStyle w:val="BodyText"/>
      </w:pPr>
      <w:r w:rsidRPr="003B2871">
        <w:br w:type="page"/>
      </w:r>
    </w:p>
    <w:p w14:paraId="068E5830" w14:textId="40A459D6" w:rsidR="004230F8" w:rsidRDefault="004230F8" w:rsidP="009679E2">
      <w:pPr>
        <w:pStyle w:val="Heading1"/>
        <w:numPr>
          <w:ilvl w:val="0"/>
          <w:numId w:val="39"/>
        </w:numPr>
      </w:pPr>
      <w:bookmarkStart w:id="5" w:name="_Toc73711448"/>
      <w:r>
        <w:lastRenderedPageBreak/>
        <w:t xml:space="preserve">About </w:t>
      </w:r>
      <w:r w:rsidR="00785F10">
        <w:t>c</w:t>
      </w:r>
      <w:r>
        <w:t>lause 3.13 special provisions for attributes affected by nutrients</w:t>
      </w:r>
      <w:bookmarkEnd w:id="5"/>
    </w:p>
    <w:p w14:paraId="1DD9E036" w14:textId="3CE07B79" w:rsidR="00732015" w:rsidRDefault="00732015" w:rsidP="004E4E67">
      <w:pPr>
        <w:pStyle w:val="Heading2"/>
        <w:numPr>
          <w:ilvl w:val="1"/>
          <w:numId w:val="39"/>
        </w:numPr>
        <w:spacing w:before="240"/>
      </w:pPr>
      <w:bookmarkStart w:id="6" w:name="_Toc73711449"/>
      <w:r>
        <w:t xml:space="preserve">What is </w:t>
      </w:r>
      <w:r w:rsidR="00785F10">
        <w:t>c</w:t>
      </w:r>
      <w:r>
        <w:t>lause 3.13</w:t>
      </w:r>
      <w:bookmarkEnd w:id="6"/>
      <w:r>
        <w:t xml:space="preserve"> </w:t>
      </w:r>
    </w:p>
    <w:p w14:paraId="0323658A" w14:textId="53A1A4A5" w:rsidR="0060135D" w:rsidRDefault="0085470B" w:rsidP="003B2871">
      <w:pPr>
        <w:pStyle w:val="BodyText"/>
      </w:pPr>
      <w:r>
        <w:t xml:space="preserve">Clause 3.13 </w:t>
      </w:r>
      <w:r w:rsidR="00732015">
        <w:t>is part of the overall process for achieving environmental outcomes under the</w:t>
      </w:r>
      <w:r w:rsidR="004E4E67">
        <w:t> </w:t>
      </w:r>
      <w:r w:rsidR="009457F8">
        <w:t>National Objectives Framework (</w:t>
      </w:r>
      <w:r w:rsidR="00732015">
        <w:t>NOF</w:t>
      </w:r>
      <w:r w:rsidR="009457F8">
        <w:t>)</w:t>
      </w:r>
      <w:r w:rsidR="00732015">
        <w:t xml:space="preserve">. </w:t>
      </w:r>
      <w:r w:rsidR="00CF547F">
        <w:t>It require</w:t>
      </w:r>
      <w:r w:rsidR="0027072C">
        <w:t>s councils</w:t>
      </w:r>
      <w:r w:rsidR="00CF547F">
        <w:t xml:space="preserve"> to set i</w:t>
      </w:r>
      <w:r w:rsidR="00C32D48">
        <w:t>nstream nutrient concentrations</w:t>
      </w:r>
      <w:r w:rsidR="0027072C">
        <w:t xml:space="preserve"> and exceedance criteria that are appropriate</w:t>
      </w:r>
      <w:r w:rsidR="00CF547F">
        <w:t xml:space="preserve"> </w:t>
      </w:r>
      <w:r w:rsidR="005433A7">
        <w:t xml:space="preserve">to achieve </w:t>
      </w:r>
      <w:r w:rsidR="0027072C">
        <w:t xml:space="preserve">the </w:t>
      </w:r>
      <w:r w:rsidR="005433A7">
        <w:t>target attribute</w:t>
      </w:r>
      <w:r w:rsidR="00461805">
        <w:t> </w:t>
      </w:r>
      <w:r w:rsidR="005433A7">
        <w:t xml:space="preserve">states </w:t>
      </w:r>
      <w:r w:rsidR="0027072C">
        <w:t xml:space="preserve">set </w:t>
      </w:r>
      <w:r w:rsidR="005433A7">
        <w:t>for periphyton</w:t>
      </w:r>
      <w:r w:rsidR="000C6C32">
        <w:t>, any other nutrient attribute,</w:t>
      </w:r>
      <w:r w:rsidR="005433A7">
        <w:t xml:space="preserve"> and any other attribute </w:t>
      </w:r>
      <w:r w:rsidR="001F169A">
        <w:t>affected by nutrients</w:t>
      </w:r>
      <w:r w:rsidR="00566BC3">
        <w:t xml:space="preserve"> under clause 3.1</w:t>
      </w:r>
      <w:r w:rsidR="0060135D">
        <w:t>1</w:t>
      </w:r>
      <w:r w:rsidR="005433A7">
        <w:t>,</w:t>
      </w:r>
      <w:r w:rsidR="001F169A">
        <w:t xml:space="preserve"> </w:t>
      </w:r>
      <w:r w:rsidR="005433A7">
        <w:t xml:space="preserve">as well as the outcomes sought for </w:t>
      </w:r>
      <w:r w:rsidR="001F169A">
        <w:t>downstream receiving environments</w:t>
      </w:r>
      <w:r w:rsidR="0037624F">
        <w:t xml:space="preserve">. </w:t>
      </w:r>
    </w:p>
    <w:p w14:paraId="4A7B48FD" w14:textId="7EC23171" w:rsidR="004230F8" w:rsidRPr="009679E2" w:rsidRDefault="005433A7" w:rsidP="003B2871">
      <w:pPr>
        <w:pStyle w:val="BodyText"/>
      </w:pPr>
      <w:r>
        <w:t>Clause 3.13(3)</w:t>
      </w:r>
      <w:r w:rsidR="00732015">
        <w:t xml:space="preserve"> sets out, in three sequential steps, the process councils must follow to derive </w:t>
      </w:r>
      <w:r w:rsidR="00566BC3">
        <w:t xml:space="preserve">those instream concentrations and exceedance </w:t>
      </w:r>
      <w:r w:rsidR="00732015">
        <w:t>criteria in their FMUs.</w:t>
      </w:r>
      <w:r w:rsidR="00DD47E9">
        <w:t xml:space="preserve"> </w:t>
      </w:r>
    </w:p>
    <w:p w14:paraId="76ABF5C9" w14:textId="77777777" w:rsidR="004230F8" w:rsidRDefault="00C52202" w:rsidP="003B2871">
      <w:pPr>
        <w:pStyle w:val="BodyText"/>
      </w:pPr>
      <w:r>
        <w:t>Clause 3.13 states:</w:t>
      </w:r>
      <w:r w:rsidR="004230F8">
        <w:t xml:space="preserve"> </w:t>
      </w:r>
    </w:p>
    <w:p w14:paraId="3E012518" w14:textId="11747D61" w:rsidR="004230F8" w:rsidRPr="009679E2" w:rsidRDefault="00B949F6" w:rsidP="00B949F6">
      <w:pPr>
        <w:pStyle w:val="Quote"/>
        <w:ind w:left="964" w:hanging="397"/>
      </w:pPr>
      <w:r>
        <w:t>1)</w:t>
      </w:r>
      <w:r>
        <w:tab/>
      </w:r>
      <w:r w:rsidR="004230F8" w:rsidRPr="009679E2">
        <w:t>To achieve a target attribute state for periphyton, any other nutrient attribute, and any attribute that is affected by nutrients, every regional council must, at a minimum, set appropriate instream concentrations and exceedance criteria for dissolved inorganic nitrogen (</w:t>
      </w:r>
      <w:r w:rsidR="004230F8" w:rsidRPr="00461805">
        <w:rPr>
          <w:bCs/>
        </w:rPr>
        <w:t>DIN</w:t>
      </w:r>
      <w:r w:rsidR="004230F8" w:rsidRPr="009679E2">
        <w:t>) and dissolved reactive phosphorus (</w:t>
      </w:r>
      <w:r w:rsidR="004230F8" w:rsidRPr="00461805">
        <w:rPr>
          <w:bCs/>
        </w:rPr>
        <w:t>DRP</w:t>
      </w:r>
      <w:r w:rsidR="004230F8" w:rsidRPr="009679E2">
        <w:t xml:space="preserve">). </w:t>
      </w:r>
    </w:p>
    <w:p w14:paraId="4CF8D3F9" w14:textId="5BC34487" w:rsidR="004230F8" w:rsidRPr="009679E2" w:rsidRDefault="00B949F6" w:rsidP="00B949F6">
      <w:pPr>
        <w:pStyle w:val="Quote"/>
        <w:ind w:left="964" w:hanging="397"/>
      </w:pPr>
      <w:r>
        <w:t>2)</w:t>
      </w:r>
      <w:r>
        <w:tab/>
      </w:r>
      <w:r w:rsidR="004230F8" w:rsidRPr="009679E2">
        <w:t xml:space="preserve">Where there are nutrient-sensitive downstream receiving environments, instream concentrations and exceedance criteria for DIN and DRP must be set for the upstream contributing water bodies to achieve the environmental outcomes sought for the downstream receiving environments. </w:t>
      </w:r>
    </w:p>
    <w:p w14:paraId="00E8D186" w14:textId="06B2ED2D" w:rsidR="004230F8" w:rsidRPr="009679E2" w:rsidRDefault="00B949F6" w:rsidP="00B949F6">
      <w:pPr>
        <w:pStyle w:val="Quote"/>
        <w:ind w:left="964" w:hanging="397"/>
      </w:pPr>
      <w:r>
        <w:t>3)</w:t>
      </w:r>
      <w:r>
        <w:tab/>
      </w:r>
      <w:r w:rsidR="004230F8" w:rsidRPr="009679E2">
        <w:t xml:space="preserve">In order to determine instream concentrations and exceedance criteria for DIN and DRP, for upstream contributing water bodies, every regional council must apply the following process, in the order given: </w:t>
      </w:r>
    </w:p>
    <w:p w14:paraId="7EBAC1E4" w14:textId="50080596" w:rsidR="004230F8" w:rsidRPr="009679E2" w:rsidRDefault="00B949F6" w:rsidP="00393383">
      <w:pPr>
        <w:pStyle w:val="Quote"/>
        <w:ind w:left="1361" w:hanging="397"/>
      </w:pPr>
      <w:r>
        <w:t>a.</w:t>
      </w:r>
      <w:r>
        <w:tab/>
      </w:r>
      <w:r w:rsidR="004230F8" w:rsidRPr="009679E2">
        <w:t xml:space="preserve">either: </w:t>
      </w:r>
    </w:p>
    <w:p w14:paraId="5DAD3B38" w14:textId="6A5E55C5" w:rsidR="004230F8" w:rsidRPr="009679E2" w:rsidRDefault="00B949F6" w:rsidP="00C41401">
      <w:pPr>
        <w:pStyle w:val="Quote"/>
        <w:ind w:left="1758" w:hanging="397"/>
      </w:pPr>
      <w:r>
        <w:t>i.</w:t>
      </w:r>
      <w:r>
        <w:tab/>
      </w:r>
      <w:r w:rsidR="004230F8" w:rsidRPr="009679E2">
        <w:t>if the FMU or part of an FMU supports, or could support, conspicuous periphyton, derive instream concentrations and exceedance criteria for DIN</w:t>
      </w:r>
      <w:r w:rsidR="00461805">
        <w:t> </w:t>
      </w:r>
      <w:r w:rsidR="004230F8" w:rsidRPr="009679E2">
        <w:t xml:space="preserve">and DRP to achieve the periphyton target attribute state; or </w:t>
      </w:r>
    </w:p>
    <w:p w14:paraId="59C5AE3B" w14:textId="1889953C" w:rsidR="004230F8" w:rsidRPr="009679E2" w:rsidRDefault="00B949F6" w:rsidP="00C41401">
      <w:pPr>
        <w:pStyle w:val="Quote"/>
        <w:ind w:left="1758" w:hanging="397"/>
      </w:pPr>
      <w:r>
        <w:t>ii.</w:t>
      </w:r>
      <w:r>
        <w:tab/>
      </w:r>
      <w:r w:rsidR="004230F8" w:rsidRPr="009679E2">
        <w:t xml:space="preserve">if the FMU or part of an FMU does not support, or could not support, conspicuous periphyton, consider the instream concentrations (or instream loads) and exceedance criteria for nitrogen and phosphorus needed to achieve any other target attribute state </w:t>
      </w:r>
    </w:p>
    <w:p w14:paraId="0FB9F3F0" w14:textId="5C113B1A" w:rsidR="004230F8" w:rsidRPr="009679E2" w:rsidRDefault="00B949F6" w:rsidP="00C41401">
      <w:pPr>
        <w:pStyle w:val="Quote"/>
        <w:ind w:left="1361" w:hanging="397"/>
      </w:pPr>
      <w:r>
        <w:t>b.</w:t>
      </w:r>
      <w:r>
        <w:tab/>
      </w:r>
      <w:r w:rsidR="004230F8" w:rsidRPr="009679E2">
        <w:t xml:space="preserve">if there are nutrient-sensitive receiving environments, derive the relevant instream concentrations (instream loads) and exceedance criteria for nitrogen and phosphorus needed to achieve the environmental outcomes sought for those receiving environments </w:t>
      </w:r>
    </w:p>
    <w:p w14:paraId="6BD0043E" w14:textId="37A9B8DC" w:rsidR="004230F8" w:rsidRPr="009679E2" w:rsidRDefault="00C41401" w:rsidP="00C41401">
      <w:pPr>
        <w:pStyle w:val="Quote"/>
        <w:ind w:left="1361" w:hanging="397"/>
      </w:pPr>
      <w:r>
        <w:t>c.</w:t>
      </w:r>
      <w:r>
        <w:tab/>
      </w:r>
      <w:r w:rsidR="004230F8" w:rsidRPr="009679E2">
        <w:t xml:space="preserve">compare instream concentrations and exceedance criteria for nitrogen and phosphorus derived in steps (a) and (b) and adopt those necessary to achieve the relevant target attribute state and the environmental outcomes sought for the nutrient-sensitive receiving environments as instream concentrations and exceedance criteria for DIN and DRP for the upstream contributing water bodies. </w:t>
      </w:r>
    </w:p>
    <w:p w14:paraId="263FB85C" w14:textId="5C3DC287" w:rsidR="004230F8" w:rsidRPr="009679E2" w:rsidRDefault="00C41401" w:rsidP="00C41401">
      <w:pPr>
        <w:pStyle w:val="Quote"/>
        <w:ind w:left="964" w:hanging="397"/>
        <w:rPr>
          <w:rFonts w:asciiTheme="minorHAnsi" w:hAnsiTheme="minorHAnsi"/>
        </w:rPr>
      </w:pPr>
      <w:r>
        <w:rPr>
          <w:rFonts w:asciiTheme="minorHAnsi" w:hAnsiTheme="minorHAnsi"/>
        </w:rPr>
        <w:lastRenderedPageBreak/>
        <w:t>4)</w:t>
      </w:r>
      <w:r>
        <w:rPr>
          <w:rFonts w:asciiTheme="minorHAnsi" w:hAnsiTheme="minorHAnsi"/>
        </w:rPr>
        <w:tab/>
      </w:r>
      <w:r w:rsidR="004230F8" w:rsidRPr="009679E2">
        <w:rPr>
          <w:rFonts w:asciiTheme="minorHAnsi" w:hAnsiTheme="minorHAnsi"/>
        </w:rPr>
        <w:t>Examples of attributes affected by nutrients include dissolved oxygen (Appendix 2A, Table 7 and Appendix 2B, Tables 17, 18, and 19), submerged plants (invasive species) (Appendix 2B, Table 12), fish (rivers) (Appendix 2B, Table 13), macroinvertebrates (Appendix 2B, Tables 14 and 15), and ecosystem metabolism (Appendix 2B, Table 21).</w:t>
      </w:r>
      <w:r w:rsidR="00DD47E9">
        <w:rPr>
          <w:rFonts w:asciiTheme="minorHAnsi" w:hAnsiTheme="minorHAnsi"/>
        </w:rPr>
        <w:t xml:space="preserve"> </w:t>
      </w:r>
    </w:p>
    <w:p w14:paraId="75906262" w14:textId="66123488" w:rsidR="00552375" w:rsidRDefault="00F8757D" w:rsidP="000D034F">
      <w:pPr>
        <w:pStyle w:val="Heading2"/>
        <w:numPr>
          <w:ilvl w:val="1"/>
          <w:numId w:val="39"/>
        </w:numPr>
      </w:pPr>
      <w:bookmarkStart w:id="7" w:name="_Toc73711450"/>
      <w:r>
        <w:t>P</w:t>
      </w:r>
      <w:r w:rsidR="00552375">
        <w:t>urpose of</w:t>
      </w:r>
      <w:r w:rsidR="00732015">
        <w:t xml:space="preserve"> </w:t>
      </w:r>
      <w:r>
        <w:t>c</w:t>
      </w:r>
      <w:r w:rsidR="00552375">
        <w:t>lause 3.13 in the NPS-FM</w:t>
      </w:r>
      <w:bookmarkEnd w:id="7"/>
    </w:p>
    <w:p w14:paraId="3F1B35F3" w14:textId="6EAB0BA0" w:rsidR="005F1B05" w:rsidRPr="00C41401" w:rsidRDefault="00552375" w:rsidP="00C41401">
      <w:pPr>
        <w:pStyle w:val="BodyText"/>
      </w:pPr>
      <w:r w:rsidRPr="00C41401">
        <w:t xml:space="preserve">Clause 3.13 clarifies the existing policy intent that regional councils </w:t>
      </w:r>
      <w:r w:rsidR="00566BC3" w:rsidRPr="00C41401">
        <w:t xml:space="preserve">must </w:t>
      </w:r>
      <w:r w:rsidRPr="00C41401">
        <w:t>manage</w:t>
      </w:r>
      <w:r w:rsidR="001950EF" w:rsidRPr="00C41401">
        <w:t xml:space="preserve"> and set limits on</w:t>
      </w:r>
      <w:r w:rsidRPr="00C41401">
        <w:t xml:space="preserve"> nutrients in rivers</w:t>
      </w:r>
      <w:r w:rsidR="008D2B6E" w:rsidRPr="00C41401">
        <w:t xml:space="preserve"> </w:t>
      </w:r>
      <w:r w:rsidR="00566BC3" w:rsidRPr="00C41401">
        <w:t xml:space="preserve">to provide for </w:t>
      </w:r>
      <w:r w:rsidR="000C4648" w:rsidRPr="00C41401">
        <w:t>values</w:t>
      </w:r>
      <w:r w:rsidR="00D04B79" w:rsidRPr="00C41401">
        <w:t xml:space="preserve"> and long</w:t>
      </w:r>
      <w:r w:rsidR="000B43E1">
        <w:t>-</w:t>
      </w:r>
      <w:r w:rsidR="00D04B79" w:rsidRPr="00C41401">
        <w:t>term visions. T</w:t>
      </w:r>
      <w:r w:rsidR="00910E82" w:rsidRPr="00C41401">
        <w:t>h</w:t>
      </w:r>
      <w:r w:rsidR="00D04B79" w:rsidRPr="00C41401">
        <w:t>is</w:t>
      </w:r>
      <w:r w:rsidR="00566BC3" w:rsidRPr="00C41401">
        <w:t xml:space="preserve"> require</w:t>
      </w:r>
      <w:r w:rsidR="00A34EA8" w:rsidRPr="00C41401">
        <w:t>s</w:t>
      </w:r>
      <w:r w:rsidR="00566BC3" w:rsidRPr="00C41401">
        <w:t xml:space="preserve"> </w:t>
      </w:r>
      <w:r w:rsidR="008D2B6E" w:rsidRPr="00C41401">
        <w:t xml:space="preserve">more than </w:t>
      </w:r>
      <w:r w:rsidR="00566BC3" w:rsidRPr="00C41401">
        <w:t xml:space="preserve">achieving the target attribute states for </w:t>
      </w:r>
      <w:r w:rsidR="000B43E1">
        <w:t>n</w:t>
      </w:r>
      <w:r w:rsidR="00566BC3" w:rsidRPr="00C41401">
        <w:t xml:space="preserve">itrate and </w:t>
      </w:r>
      <w:r w:rsidR="000B43E1">
        <w:t>a</w:t>
      </w:r>
      <w:r w:rsidR="00566BC3" w:rsidRPr="00C41401">
        <w:t>mmonia (</w:t>
      </w:r>
      <w:r w:rsidR="008D2B6E" w:rsidRPr="00C41401">
        <w:t>toxicity</w:t>
      </w:r>
      <w:r w:rsidR="00566BC3" w:rsidRPr="00C41401">
        <w:t>)</w:t>
      </w:r>
      <w:r w:rsidR="009C32BE" w:rsidRPr="00C41401">
        <w:t>.</w:t>
      </w:r>
      <w:r w:rsidR="008D2B6E" w:rsidRPr="00C41401">
        <w:t xml:space="preserve"> </w:t>
      </w:r>
      <w:r w:rsidR="00FB304A" w:rsidRPr="00C41401">
        <w:t xml:space="preserve">Setting instream nutrient concentrations for DRP under this clause will also </w:t>
      </w:r>
      <w:r w:rsidR="004B12EC" w:rsidRPr="00C41401">
        <w:t xml:space="preserve">help councils determine </w:t>
      </w:r>
      <w:r w:rsidR="00FB304A" w:rsidRPr="00C41401">
        <w:t>appropriate target attribute states for DRP</w:t>
      </w:r>
      <w:r w:rsidR="00C41401">
        <w:t>.</w:t>
      </w:r>
      <w:r w:rsidR="00FB304A" w:rsidRPr="00C41401">
        <w:rPr>
          <w:rStyle w:val="FootnoteReference"/>
          <w:color w:val="auto"/>
        </w:rPr>
        <w:footnoteReference w:id="2"/>
      </w:r>
      <w:r w:rsidR="005433A7" w:rsidRPr="00C41401">
        <w:t xml:space="preserve"> </w:t>
      </w:r>
    </w:p>
    <w:p w14:paraId="11F177EF" w14:textId="3903DFCA" w:rsidR="00552375" w:rsidRPr="00C41401" w:rsidRDefault="00552375" w:rsidP="00C41401">
      <w:pPr>
        <w:pStyle w:val="BodyText"/>
      </w:pPr>
      <w:r w:rsidRPr="00C41401">
        <w:t>The NPS-FM includes NOF attributes for nitrate and ammonia</w:t>
      </w:r>
      <w:r w:rsidR="00D2183E">
        <w:t>,</w:t>
      </w:r>
      <w:r w:rsidRPr="00C41401">
        <w:t xml:space="preserve"> to avoid toxicity effects in rivers</w:t>
      </w:r>
      <w:r w:rsidR="00D2183E">
        <w:t>,</w:t>
      </w:r>
      <w:r w:rsidRPr="00C41401">
        <w:t xml:space="preserve"> but these should not be applied to ecosystem health issues associated with trophic state (anthropogenic eutrophication)</w:t>
      </w:r>
      <w:r w:rsidR="00244760">
        <w:t>,</w:t>
      </w:r>
      <w:r w:rsidRPr="00C41401">
        <w:t xml:space="preserve"> which </w:t>
      </w:r>
      <w:r w:rsidR="00B54B23">
        <w:t>are</w:t>
      </w:r>
      <w:r w:rsidRPr="00C41401">
        <w:t xml:space="preserve"> covered by the NOF attributes for periphyton</w:t>
      </w:r>
      <w:r w:rsidR="006902AF" w:rsidRPr="00C41401">
        <w:t xml:space="preserve">, </w:t>
      </w:r>
      <w:r w:rsidR="00C622B9">
        <w:t>macroinvertebrate community index (</w:t>
      </w:r>
      <w:r w:rsidR="006902AF" w:rsidRPr="00C41401">
        <w:t>MCI</w:t>
      </w:r>
      <w:r w:rsidR="00C622B9">
        <w:t>)</w:t>
      </w:r>
      <w:r w:rsidR="006902AF" w:rsidRPr="00C41401">
        <w:t>, submerged plants, fish</w:t>
      </w:r>
      <w:r w:rsidR="00514366">
        <w:t xml:space="preserve"> and so on</w:t>
      </w:r>
      <w:r w:rsidR="006902AF" w:rsidRPr="00C41401">
        <w:t xml:space="preserve"> </w:t>
      </w:r>
      <w:r w:rsidRPr="00C41401">
        <w:t xml:space="preserve">in rivers. This is because nutrient criteria to manage trophic state </w:t>
      </w:r>
      <w:r w:rsidR="00231F7C">
        <w:t>are</w:t>
      </w:r>
      <w:r w:rsidR="00231F7C" w:rsidRPr="00C41401">
        <w:t xml:space="preserve"> </w:t>
      </w:r>
      <w:r w:rsidRPr="00C41401">
        <w:t xml:space="preserve">more stringent than those to manage toxicity. </w:t>
      </w:r>
    </w:p>
    <w:p w14:paraId="6064662F" w14:textId="5629C1A4" w:rsidR="001950EF" w:rsidRPr="00C41401" w:rsidRDefault="008D2B6E" w:rsidP="00C41401">
      <w:pPr>
        <w:pStyle w:val="BodyText"/>
      </w:pPr>
      <w:r w:rsidRPr="00C41401">
        <w:t>Clause 3.13 originated as the periphyton attribute note</w:t>
      </w:r>
      <w:r w:rsidR="00EC177C" w:rsidRPr="00C41401">
        <w:t xml:space="preserve"> </w:t>
      </w:r>
      <w:r w:rsidR="00CF547F" w:rsidRPr="00C41401">
        <w:t xml:space="preserve">in the </w:t>
      </w:r>
      <w:r w:rsidRPr="00C41401">
        <w:t>NPS-FM 2017</w:t>
      </w:r>
      <w:r w:rsidR="00EC177C" w:rsidRPr="00C41401">
        <w:t xml:space="preserve">. </w:t>
      </w:r>
      <w:r w:rsidR="00CF547F" w:rsidRPr="00C41401">
        <w:t xml:space="preserve">It </w:t>
      </w:r>
      <w:r w:rsidR="00EC177C" w:rsidRPr="00C41401">
        <w:t xml:space="preserve">clarified that achieving </w:t>
      </w:r>
      <w:r w:rsidR="009C32BE" w:rsidRPr="00C41401">
        <w:t xml:space="preserve">the target attribute state for </w:t>
      </w:r>
      <w:r w:rsidR="00EC177C" w:rsidRPr="00C41401">
        <w:t>peri</w:t>
      </w:r>
      <w:r w:rsidR="009423B4" w:rsidRPr="00C41401">
        <w:t xml:space="preserve">phyton </w:t>
      </w:r>
      <w:r w:rsidR="00CF547F" w:rsidRPr="00C41401">
        <w:t>required</w:t>
      </w:r>
      <w:r w:rsidR="00EC177C" w:rsidRPr="00C41401">
        <w:t xml:space="preserve"> the management of nutrient (nitrogen and phosphorus) concentrations.</w:t>
      </w:r>
      <w:r w:rsidR="00CF547F" w:rsidRPr="00C41401">
        <w:t xml:space="preserve"> </w:t>
      </w:r>
      <w:r w:rsidR="00396524">
        <w:t>Claus</w:t>
      </w:r>
      <w:r w:rsidR="00CE5A4A">
        <w:t>e</w:t>
      </w:r>
      <w:r w:rsidR="00396524">
        <w:t xml:space="preserve"> </w:t>
      </w:r>
      <w:r w:rsidR="009679E2" w:rsidRPr="00C41401">
        <w:t xml:space="preserve">3.13(3)(a)(i) </w:t>
      </w:r>
      <w:r w:rsidR="001950EF" w:rsidRPr="00C41401">
        <w:t xml:space="preserve">requires councils </w:t>
      </w:r>
      <w:r w:rsidR="00552375" w:rsidRPr="00C41401">
        <w:t xml:space="preserve">to derive instream nutrient concentrations </w:t>
      </w:r>
      <w:r w:rsidR="007F1870" w:rsidRPr="00C41401">
        <w:t>and exceedance criteria for DIN and DRP</w:t>
      </w:r>
      <w:r w:rsidR="0083778D">
        <w:t>.</w:t>
      </w:r>
      <w:r w:rsidR="007F1870" w:rsidRPr="00C41401">
        <w:t xml:space="preserve"> </w:t>
      </w:r>
      <w:r w:rsidR="00CB0A4E">
        <w:t>These criteria must</w:t>
      </w:r>
      <w:r w:rsidR="00B40F18">
        <w:t> </w:t>
      </w:r>
      <w:r w:rsidR="00CB0A4E">
        <w:t>be</w:t>
      </w:r>
      <w:r w:rsidR="007F1870" w:rsidRPr="00C41401">
        <w:t xml:space="preserve"> appropriate (ie, set at</w:t>
      </w:r>
      <w:r w:rsidR="000F1B2A">
        <w:t> </w:t>
      </w:r>
      <w:r w:rsidR="007F1870" w:rsidRPr="00C41401">
        <w:t xml:space="preserve">a sufficient level) </w:t>
      </w:r>
      <w:r w:rsidR="00552375" w:rsidRPr="00C41401">
        <w:t xml:space="preserve">to achieve </w:t>
      </w:r>
      <w:r w:rsidR="009C32BE" w:rsidRPr="00C41401">
        <w:t xml:space="preserve">the </w:t>
      </w:r>
      <w:r w:rsidR="00552375" w:rsidRPr="00C41401">
        <w:t xml:space="preserve">periphyton </w:t>
      </w:r>
      <w:r w:rsidR="009C32BE" w:rsidRPr="00C41401">
        <w:t xml:space="preserve">target attribute state </w:t>
      </w:r>
      <w:r w:rsidR="00CE5A4A">
        <w:t>that</w:t>
      </w:r>
      <w:r w:rsidR="00CE5A4A" w:rsidRPr="00C41401">
        <w:t xml:space="preserve"> </w:t>
      </w:r>
      <w:r w:rsidR="00DC6C01">
        <w:t>councils</w:t>
      </w:r>
      <w:r w:rsidR="00DC6C01" w:rsidRPr="00C41401">
        <w:t xml:space="preserve"> </w:t>
      </w:r>
      <w:r w:rsidR="009C32BE" w:rsidRPr="00C41401">
        <w:t xml:space="preserve">set </w:t>
      </w:r>
      <w:r w:rsidR="00552375" w:rsidRPr="00C41401">
        <w:t>for the freshwater management unit (FMU)</w:t>
      </w:r>
      <w:r w:rsidR="007F1870" w:rsidRPr="00C41401">
        <w:t xml:space="preserve"> under clause 3.12, if that FMU supports, or could support, conspicuous periphyton</w:t>
      </w:r>
      <w:r w:rsidR="00552375" w:rsidRPr="00C41401">
        <w:t xml:space="preserve">. </w:t>
      </w:r>
      <w:r w:rsidR="001950EF" w:rsidRPr="00C41401">
        <w:t>Clause 3.14(3) then requires councils</w:t>
      </w:r>
      <w:r w:rsidR="00B40F18">
        <w:t> </w:t>
      </w:r>
      <w:r w:rsidR="00DC6C01">
        <w:t xml:space="preserve">to </w:t>
      </w:r>
      <w:r w:rsidR="001950EF" w:rsidRPr="00C41401">
        <w:t xml:space="preserve">set limits on resource use </w:t>
      </w:r>
      <w:r w:rsidR="00DC6C01">
        <w:t>that</w:t>
      </w:r>
      <w:r w:rsidR="00DC6C01" w:rsidRPr="00C41401">
        <w:t xml:space="preserve"> </w:t>
      </w:r>
      <w:r w:rsidR="001950EF" w:rsidRPr="00C41401">
        <w:t>ensure those concentrations and exceedance criteria</w:t>
      </w:r>
      <w:r w:rsidR="00B40F18">
        <w:t> </w:t>
      </w:r>
      <w:r w:rsidR="001950EF" w:rsidRPr="00C41401">
        <w:t>are achieved.</w:t>
      </w:r>
    </w:p>
    <w:p w14:paraId="52B66AAC" w14:textId="73C4093B" w:rsidR="00552375" w:rsidRDefault="00552375" w:rsidP="00C41401">
      <w:pPr>
        <w:pStyle w:val="BodyText"/>
      </w:pPr>
      <w:r w:rsidRPr="00C41401">
        <w:t>The inten</w:t>
      </w:r>
      <w:r>
        <w:t xml:space="preserve">t is to </w:t>
      </w:r>
      <w:r w:rsidR="001950EF">
        <w:t xml:space="preserve">ensure </w:t>
      </w:r>
      <w:r>
        <w:t xml:space="preserve">nutrient concentrations </w:t>
      </w:r>
      <w:r w:rsidR="001950EF">
        <w:t xml:space="preserve">are always managed as a part of achieving </w:t>
      </w:r>
      <w:r>
        <w:t>the</w:t>
      </w:r>
      <w:r w:rsidR="00C41401">
        <w:t> </w:t>
      </w:r>
      <w:r>
        <w:t xml:space="preserve">periphyton </w:t>
      </w:r>
      <w:r w:rsidR="001950EF">
        <w:t>target attribute state</w:t>
      </w:r>
      <w:r>
        <w:t xml:space="preserve">. </w:t>
      </w:r>
      <w:r w:rsidR="005433A7">
        <w:t xml:space="preserve">Councils can use </w:t>
      </w:r>
      <w:r w:rsidR="00E55ED7">
        <w:t xml:space="preserve">Ministry for the Environment </w:t>
      </w:r>
      <w:r w:rsidR="005433A7">
        <w:t>guidance and the tools outlined in</w:t>
      </w:r>
      <w:r w:rsidR="000F1B2A">
        <w:t> </w:t>
      </w:r>
      <w:r w:rsidR="005433A7">
        <w:t>the rest of this guide to derive the appropriate instream nutrient criteria for periphyton in</w:t>
      </w:r>
      <w:r w:rsidR="00461805">
        <w:t> </w:t>
      </w:r>
      <w:r w:rsidR="005433A7">
        <w:t>their</w:t>
      </w:r>
      <w:r w:rsidR="00C41401">
        <w:t> </w:t>
      </w:r>
      <w:r w:rsidR="005433A7">
        <w:t xml:space="preserve">areas. </w:t>
      </w:r>
    </w:p>
    <w:p w14:paraId="3B272193" w14:textId="58E39FAC" w:rsidR="003C03D0" w:rsidRDefault="00F46FDB" w:rsidP="00984D09">
      <w:pPr>
        <w:pStyle w:val="Heading4"/>
      </w:pPr>
      <w:r>
        <w:t>Clause 3.13 and other nutrient</w:t>
      </w:r>
      <w:r w:rsidR="005725C1">
        <w:t>-</w:t>
      </w:r>
      <w:r>
        <w:t xml:space="preserve">affected </w:t>
      </w:r>
      <w:r w:rsidRPr="00C41401">
        <w:t>attributes</w:t>
      </w:r>
    </w:p>
    <w:p w14:paraId="17A100E4" w14:textId="0BB20F80" w:rsidR="000C1D4D" w:rsidRDefault="005725C1" w:rsidP="00C41401">
      <w:pPr>
        <w:pStyle w:val="BodyText"/>
      </w:pPr>
      <w:r>
        <w:t xml:space="preserve">Clause </w:t>
      </w:r>
      <w:r w:rsidR="003C03D0">
        <w:t>3.13</w:t>
      </w:r>
      <w:r>
        <w:t>, however,</w:t>
      </w:r>
      <w:r w:rsidR="003C03D0">
        <w:t xml:space="preserve"> is</w:t>
      </w:r>
      <w:r>
        <w:t xml:space="preserve"> </w:t>
      </w:r>
      <w:r w:rsidR="003C03D0">
        <w:t>n</w:t>
      </w:r>
      <w:r>
        <w:t>o</w:t>
      </w:r>
      <w:r w:rsidR="003C03D0">
        <w:t>t only about achieving</w:t>
      </w:r>
      <w:r w:rsidR="007F1870">
        <w:t xml:space="preserve"> the target attribute state for</w:t>
      </w:r>
      <w:r w:rsidR="003C03D0">
        <w:t xml:space="preserve"> periphyton. </w:t>
      </w:r>
      <w:r w:rsidR="00E17A81">
        <w:t>W</w:t>
      </w:r>
      <w:r w:rsidR="005E2DA3">
        <w:t>here a</w:t>
      </w:r>
      <w:r w:rsidR="000C7222">
        <w:t>n</w:t>
      </w:r>
      <w:r w:rsidR="00C41401">
        <w:t> </w:t>
      </w:r>
      <w:r w:rsidR="000C7222">
        <w:t>FMU</w:t>
      </w:r>
      <w:r w:rsidR="005E2DA3">
        <w:t xml:space="preserve"> does not or could not support conspicuous periphyton</w:t>
      </w:r>
      <w:r w:rsidR="00EA5FAC">
        <w:t>,</w:t>
      </w:r>
      <w:r w:rsidR="005E2DA3">
        <w:t xml:space="preserve"> </w:t>
      </w:r>
      <w:r w:rsidR="00C67B70">
        <w:t xml:space="preserve">clause </w:t>
      </w:r>
      <w:r w:rsidR="001F169A">
        <w:t>3.13(</w:t>
      </w:r>
      <w:r w:rsidR="005E2DA3">
        <w:t>3</w:t>
      </w:r>
      <w:r w:rsidR="001F169A">
        <w:t>)(</w:t>
      </w:r>
      <w:r w:rsidR="005E2DA3">
        <w:t>a</w:t>
      </w:r>
      <w:r w:rsidR="001F169A">
        <w:t>)(</w:t>
      </w:r>
      <w:r w:rsidR="005E2DA3">
        <w:t>ii</w:t>
      </w:r>
      <w:r w:rsidR="001F169A">
        <w:t>)</w:t>
      </w:r>
      <w:r w:rsidR="005E2DA3">
        <w:t xml:space="preserve"> requires </w:t>
      </w:r>
      <w:r w:rsidR="004D2BF0">
        <w:t>councils to</w:t>
      </w:r>
      <w:r w:rsidR="005E2DA3">
        <w:t xml:space="preserve"> “</w:t>
      </w:r>
      <w:r w:rsidR="004D2BF0">
        <w:t>consider the instream concentrations</w:t>
      </w:r>
      <w:r w:rsidR="001950EF">
        <w:t xml:space="preserve"> and exceedance criteria</w:t>
      </w:r>
      <w:r w:rsidR="004D2BF0">
        <w:t xml:space="preserve"> needed to achieve </w:t>
      </w:r>
      <w:r w:rsidR="001950EF">
        <w:t>any other target attribute state”</w:t>
      </w:r>
      <w:r w:rsidR="00EA5FAC">
        <w:t>,</w:t>
      </w:r>
      <w:r w:rsidR="00461805">
        <w:t xml:space="preserve"> </w:t>
      </w:r>
      <w:r w:rsidR="003C03D0">
        <w:t>which includes</w:t>
      </w:r>
      <w:r w:rsidR="000C1D4D">
        <w:t xml:space="preserve"> (but is not limited</w:t>
      </w:r>
      <w:r w:rsidR="00C41401">
        <w:t> </w:t>
      </w:r>
      <w:r w:rsidR="000C1D4D">
        <w:t>to)</w:t>
      </w:r>
      <w:r w:rsidR="003C03D0">
        <w:t xml:space="preserve"> the attributes outlined in </w:t>
      </w:r>
      <w:r w:rsidR="00EA5FAC">
        <w:t xml:space="preserve">clause </w:t>
      </w:r>
      <w:r w:rsidR="003C03D0">
        <w:t>3.13(4)</w:t>
      </w:r>
      <w:r w:rsidR="004D2BF0">
        <w:t xml:space="preserve">. </w:t>
      </w:r>
    </w:p>
    <w:p w14:paraId="673FDD1E" w14:textId="57122EEC" w:rsidR="00F46FDB" w:rsidRDefault="00020FBD" w:rsidP="00C41401">
      <w:pPr>
        <w:pStyle w:val="BodyText"/>
      </w:pPr>
      <w:r>
        <w:t>Along with</w:t>
      </w:r>
      <w:r w:rsidR="00910E82">
        <w:t xml:space="preserve"> achieving periphyton target attribute </w:t>
      </w:r>
      <w:r w:rsidR="00910E82" w:rsidRPr="00C41401">
        <w:t>states</w:t>
      </w:r>
      <w:r w:rsidR="000C1D4D">
        <w:t>, councils must, at a minimum, set appropriate instream concentrations and exceedance criteria to achieve the target attribute states for any</w:t>
      </w:r>
      <w:r w:rsidR="00910E82">
        <w:t xml:space="preserve"> other nutrient attribute and any other</w:t>
      </w:r>
      <w:r w:rsidR="000C1D4D">
        <w:t xml:space="preserve"> attribute that is affected by nutrients</w:t>
      </w:r>
      <w:r w:rsidR="00910E82">
        <w:t xml:space="preserve">, </w:t>
      </w:r>
      <w:r w:rsidR="00167146">
        <w:t>according to </w:t>
      </w:r>
      <w:r w:rsidR="001F2A43">
        <w:t>c</w:t>
      </w:r>
      <w:r w:rsidR="00910E82">
        <w:t>lause 3.13(1)</w:t>
      </w:r>
      <w:r w:rsidR="000C1D4D">
        <w:t xml:space="preserve">. Therefore, </w:t>
      </w:r>
      <w:r w:rsidR="00F700DB">
        <w:t xml:space="preserve">councils </w:t>
      </w:r>
      <w:r w:rsidR="000C1D4D" w:rsidRPr="000C1D4D">
        <w:t>must effectively undertake the same process</w:t>
      </w:r>
      <w:r w:rsidR="000D034F">
        <w:t> </w:t>
      </w:r>
      <w:r w:rsidR="005433A7">
        <w:t xml:space="preserve">outlined for periphyton, using the best available information (whether through </w:t>
      </w:r>
      <w:r w:rsidR="005433A7">
        <w:lastRenderedPageBreak/>
        <w:t>case</w:t>
      </w:r>
      <w:r w:rsidR="000D034F">
        <w:t> </w:t>
      </w:r>
      <w:r w:rsidR="005433A7">
        <w:t>studies, modelling or other means the councils</w:t>
      </w:r>
      <w:r w:rsidR="00F700DB">
        <w:t>’</w:t>
      </w:r>
      <w:r w:rsidR="005433A7">
        <w:t xml:space="preserve"> deems appropriate)</w:t>
      </w:r>
      <w:r w:rsidR="00B33A95">
        <w:t>,</w:t>
      </w:r>
      <w:r w:rsidR="005433A7">
        <w:t xml:space="preserve"> to derive </w:t>
      </w:r>
      <w:r w:rsidR="000C1D4D">
        <w:t>instream concentrations and exceedance criteria</w:t>
      </w:r>
      <w:r w:rsidR="005433A7">
        <w:t xml:space="preserve"> that will achieve the </w:t>
      </w:r>
      <w:r w:rsidR="000C1D4D">
        <w:t xml:space="preserve">target attribute states set </w:t>
      </w:r>
      <w:r w:rsidR="005433A7">
        <w:t>for the</w:t>
      </w:r>
      <w:r w:rsidR="000D034F">
        <w:t> </w:t>
      </w:r>
      <w:r w:rsidR="005433A7">
        <w:t xml:space="preserve">relevant </w:t>
      </w:r>
      <w:r w:rsidR="00910E82">
        <w:t>attributes</w:t>
      </w:r>
      <w:r w:rsidR="005433A7">
        <w:t>.</w:t>
      </w:r>
      <w:r w:rsidR="00DD47E9">
        <w:t xml:space="preserve"> </w:t>
      </w:r>
    </w:p>
    <w:p w14:paraId="40B5ECF2" w14:textId="733622D5" w:rsidR="00871D78" w:rsidRDefault="00F46FDB" w:rsidP="009679E2">
      <w:pPr>
        <w:pStyle w:val="BodyText"/>
      </w:pPr>
      <w:r>
        <w:t xml:space="preserve">Regardless of whether </w:t>
      </w:r>
      <w:r w:rsidR="003E1241">
        <w:t>a</w:t>
      </w:r>
      <w:r>
        <w:t xml:space="preserve"> specific nutrient</w:t>
      </w:r>
      <w:r w:rsidR="00182850">
        <w:t>-</w:t>
      </w:r>
      <w:r>
        <w:t xml:space="preserve">affected attribute </w:t>
      </w:r>
      <w:r w:rsidR="003E1241">
        <w:t>requires</w:t>
      </w:r>
      <w:r>
        <w:t xml:space="preserve"> limits to be set (eg, </w:t>
      </w:r>
      <w:r w:rsidR="00182850">
        <w:t>a</w:t>
      </w:r>
      <w:r>
        <w:t xml:space="preserve">ppendix 2A; periphyton, dissolved oxygen) or for action plans to be published (eg, </w:t>
      </w:r>
      <w:r w:rsidR="00182850">
        <w:t>a</w:t>
      </w:r>
      <w:r>
        <w:t>ppendix 2B; submerged plants, macroinvertebrates)</w:t>
      </w:r>
      <w:r w:rsidR="003E1241">
        <w:t>,</w:t>
      </w:r>
      <w:r>
        <w:t xml:space="preserve"> </w:t>
      </w:r>
      <w:r w:rsidR="00182850">
        <w:t>c</w:t>
      </w:r>
      <w:r>
        <w:t>lause 3.</w:t>
      </w:r>
      <w:r w:rsidR="000C1D4D">
        <w:t>14(3)</w:t>
      </w:r>
      <w:r>
        <w:t xml:space="preserve"> requires </w:t>
      </w:r>
      <w:r w:rsidR="000C1D4D">
        <w:t>limits on resource use</w:t>
      </w:r>
      <w:r w:rsidR="005735E3">
        <w:t>,</w:t>
      </w:r>
      <w:r w:rsidR="000C1D4D">
        <w:t xml:space="preserve"> </w:t>
      </w:r>
      <w:r w:rsidR="00F94820">
        <w:t>to</w:t>
      </w:r>
      <w:r w:rsidR="000C1D4D">
        <w:t xml:space="preserve"> ensure the instream concentrations and exceedance criteria for DIN and DRP determined under clause 3.13 are achieved</w:t>
      </w:r>
      <w:r w:rsidR="003E1241">
        <w:t>.</w:t>
      </w:r>
      <w:r w:rsidR="000C1D4D">
        <w:t xml:space="preserve"> </w:t>
      </w:r>
    </w:p>
    <w:p w14:paraId="1812A423" w14:textId="1C947D9E" w:rsidR="003E1241" w:rsidRDefault="000C1D4D" w:rsidP="009679E2">
      <w:pPr>
        <w:pStyle w:val="BodyText"/>
      </w:pPr>
      <w:r>
        <w:t xml:space="preserve">This </w:t>
      </w:r>
      <w:r w:rsidR="00871D78">
        <w:t xml:space="preserve">will provide an important part of </w:t>
      </w:r>
      <w:r>
        <w:t>councils’ consideration of how to achieve target attribute states and environmental outcomes under clause 3.12</w:t>
      </w:r>
      <w:r w:rsidR="00871D78">
        <w:t>(1)(a) and 3.12(2)(b), although it cannot be assumed it will fully satisfy the requirements of those clauses.</w:t>
      </w:r>
      <w:r w:rsidR="003E1241">
        <w:t xml:space="preserve"> Councils should set limits on resource use that ensure identified instream nutrient concentrations are achieved.</w:t>
      </w:r>
      <w:r w:rsidR="00ED5FCF">
        <w:t xml:space="preserve"> </w:t>
      </w:r>
    </w:p>
    <w:p w14:paraId="1E2F9D32" w14:textId="7949D00C" w:rsidR="00CF547F" w:rsidRDefault="003E1241" w:rsidP="00984D09">
      <w:pPr>
        <w:pStyle w:val="Heading4"/>
      </w:pPr>
      <w:r>
        <w:t>Clause 3.13</w:t>
      </w:r>
      <w:r w:rsidR="007438FC">
        <w:t>(3)(B)</w:t>
      </w:r>
      <w:r>
        <w:t xml:space="preserve"> and downstream receiving environments </w:t>
      </w:r>
    </w:p>
    <w:p w14:paraId="23AE4FC6" w14:textId="5003C0D8" w:rsidR="00552375" w:rsidRDefault="00552375" w:rsidP="009679E2">
      <w:pPr>
        <w:pStyle w:val="BodyText"/>
      </w:pPr>
      <w:r>
        <w:t xml:space="preserve">The NPS-FM also requires councils to manage the effects of fresh water on </w:t>
      </w:r>
      <w:r w:rsidR="007438FC">
        <w:t>nutrient-sensitive receiving environments</w:t>
      </w:r>
      <w:r w:rsidR="00B0353A">
        <w:t>,</w:t>
      </w:r>
      <w:r w:rsidR="007438FC">
        <w:t xml:space="preserve"> including </w:t>
      </w:r>
      <w:r>
        <w:t>the coastal environment. The</w:t>
      </w:r>
      <w:r w:rsidR="00B0353A">
        <w:t xml:space="preserve"> </w:t>
      </w:r>
      <w:r>
        <w:t xml:space="preserve">risk </w:t>
      </w:r>
      <w:r w:rsidR="00B0353A">
        <w:t xml:space="preserve">is </w:t>
      </w:r>
      <w:r>
        <w:t xml:space="preserve">that objectives and instream nutrient concentrations set for </w:t>
      </w:r>
      <w:r w:rsidR="008D2B6E">
        <w:t>attributes upstream</w:t>
      </w:r>
      <w:r>
        <w:t xml:space="preserve">, while good enough to protect some river waters, may not sufficiently protect nutrient sensitive downstream environments, such as lakes and some estuaries. </w:t>
      </w:r>
      <w:r w:rsidR="008D2B6E">
        <w:t>Clause 3.13</w:t>
      </w:r>
      <w:r>
        <w:t xml:space="preserve"> makes it clear that setting instream nutrient concentrations in rivers must </w:t>
      </w:r>
      <w:r w:rsidR="007438FC">
        <w:t xml:space="preserve">be stringent enough to </w:t>
      </w:r>
      <w:r>
        <w:t xml:space="preserve">account for the effects of these concentrations on nutrient sensitive downstream receiving environments. </w:t>
      </w:r>
    </w:p>
    <w:p w14:paraId="4F8F8DA6" w14:textId="223F6BB3" w:rsidR="005433A7" w:rsidRDefault="00ED5FCF" w:rsidP="009679E2">
      <w:pPr>
        <w:pStyle w:val="BodyText"/>
      </w:pPr>
      <w:r>
        <w:t xml:space="preserve">Once the instream nutrient concentrations for achieving the desired attribute states are derived, councils must adopt the final nutrient concentrations and exceedance criteria required to achieve all target attribute states. </w:t>
      </w:r>
      <w:r w:rsidR="007438FC">
        <w:t xml:space="preserve">This will be the most stringent </w:t>
      </w:r>
      <w:r w:rsidR="0060135D">
        <w:t xml:space="preserve">or constraining of the nutrient concentrations. </w:t>
      </w:r>
      <w:r>
        <w:t xml:space="preserve">Achieving </w:t>
      </w:r>
      <w:r w:rsidR="0060135D">
        <w:t>the nutrient concentration is done through the</w:t>
      </w:r>
      <w:r>
        <w:t xml:space="preserve"> require</w:t>
      </w:r>
      <w:r w:rsidR="0060135D">
        <w:t>ment</w:t>
      </w:r>
      <w:r w:rsidR="00DD47E9">
        <w:t xml:space="preserve"> </w:t>
      </w:r>
      <w:r>
        <w:t>to set limits on resource use (</w:t>
      </w:r>
      <w:r w:rsidR="00E25D27">
        <w:t>c</w:t>
      </w:r>
      <w:r>
        <w:t>lause 3.14).</w:t>
      </w:r>
      <w:r w:rsidR="00DD47E9">
        <w:t xml:space="preserve"> </w:t>
      </w:r>
    </w:p>
    <w:p w14:paraId="713712C7" w14:textId="1B811FCE" w:rsidR="004230F8" w:rsidRPr="009679E2" w:rsidRDefault="00552375" w:rsidP="009679E2">
      <w:pPr>
        <w:pStyle w:val="BodyText"/>
      </w:pPr>
      <w:r>
        <w:t>The relationships between periphyton and nutrients are complex and spatially variable</w:t>
      </w:r>
      <w:r w:rsidR="00E25D27">
        <w:t>.</w:t>
      </w:r>
      <w:r>
        <w:t xml:space="preserve"> </w:t>
      </w:r>
      <w:r w:rsidR="00E25D27">
        <w:t>T</w:t>
      </w:r>
      <w:r>
        <w:t>o date</w:t>
      </w:r>
      <w:r w:rsidR="00E25D27">
        <w:t>,</w:t>
      </w:r>
      <w:r>
        <w:t xml:space="preserve"> it has not been possible to validate nationally derived threshold concentrations for DIN and DRP to manage periphyton in accordance with the NOF attribute bands.</w:t>
      </w:r>
      <w:r w:rsidR="00ED5FCF">
        <w:t xml:space="preserve"> This holds true for</w:t>
      </w:r>
      <w:r w:rsidR="000F1B2A">
        <w:t> </w:t>
      </w:r>
      <w:r w:rsidR="00ED5FCF">
        <w:t>other nutrient</w:t>
      </w:r>
      <w:r w:rsidR="003A3F69">
        <w:t>-</w:t>
      </w:r>
      <w:r w:rsidR="00ED5FCF">
        <w:t>affected attributes as well.</w:t>
      </w:r>
      <w:r>
        <w:t xml:space="preserve"> The process in this guidance will help councils manage nitrogen (N) and phosphorus (P) to achieve periphyton objectives at the regional level and ensure this issue is addressed appropriately in each FMU.</w:t>
      </w:r>
    </w:p>
    <w:p w14:paraId="4DA0DA0F" w14:textId="734BA156" w:rsidR="005E2DA3" w:rsidRPr="005D2A1F" w:rsidRDefault="005E2DA3" w:rsidP="00F66B7B">
      <w:pPr>
        <w:pStyle w:val="Heading2"/>
        <w:numPr>
          <w:ilvl w:val="1"/>
          <w:numId w:val="39"/>
        </w:numPr>
      </w:pPr>
      <w:bookmarkStart w:id="8" w:name="_Toc520810798"/>
      <w:bookmarkStart w:id="9" w:name="_Toc73711451"/>
      <w:r w:rsidRPr="005D2A1F">
        <w:t xml:space="preserve">Requirements of </w:t>
      </w:r>
      <w:bookmarkEnd w:id="8"/>
      <w:r w:rsidR="003A3F69">
        <w:t>c</w:t>
      </w:r>
      <w:r>
        <w:t>lause 3.13</w:t>
      </w:r>
      <w:bookmarkEnd w:id="9"/>
    </w:p>
    <w:p w14:paraId="2EDA4884" w14:textId="37FC0F31" w:rsidR="005E2DA3" w:rsidRPr="00140961" w:rsidRDefault="005E2DA3" w:rsidP="000F1B2A">
      <w:pPr>
        <w:pStyle w:val="BodyText"/>
      </w:pPr>
      <w:r>
        <w:t xml:space="preserve">Regional councils must follow the steps outlined in </w:t>
      </w:r>
      <w:r w:rsidR="003A3F69">
        <w:t xml:space="preserve">clause </w:t>
      </w:r>
      <w:r>
        <w:t xml:space="preserve">3.13(3), in the order specified, to determine instream </w:t>
      </w:r>
      <w:r w:rsidR="00E17A81">
        <w:t xml:space="preserve">DIN and DRP concentrations </w:t>
      </w:r>
      <w:r>
        <w:t>for their FMUs. They must do this while applying the direction contained in subclauses (1), (2) and (4). Figure 1 summarises the process to be followed.</w:t>
      </w:r>
    </w:p>
    <w:p w14:paraId="071CCC58" w14:textId="58E69A2E" w:rsidR="005E2DA3" w:rsidRPr="00A67511" w:rsidRDefault="005E2DA3" w:rsidP="001A566C">
      <w:pPr>
        <w:pStyle w:val="Figureheading"/>
        <w:rPr>
          <w:rFonts w:cs="Calibri"/>
        </w:rPr>
      </w:pPr>
      <w:bookmarkStart w:id="10" w:name="_Toc73711474"/>
      <w:r>
        <w:lastRenderedPageBreak/>
        <w:t>F</w:t>
      </w:r>
      <w:bookmarkStart w:id="11" w:name="_Toc521487709"/>
      <w:r w:rsidRPr="00A67511">
        <w:t xml:space="preserve">igure </w:t>
      </w:r>
      <w:fldSimple w:instr=" SEQ Figure \* ARABIC ">
        <w:r w:rsidR="001A7243">
          <w:rPr>
            <w:noProof/>
          </w:rPr>
          <w:t>1</w:t>
        </w:r>
      </w:fldSimple>
      <w:r w:rsidRPr="00A67511">
        <w:t xml:space="preserve">: </w:t>
      </w:r>
      <w:r>
        <w:tab/>
      </w:r>
      <w:r w:rsidRPr="00A67511">
        <w:t xml:space="preserve">Flow diagram of the process outlined </w:t>
      </w:r>
      <w:r w:rsidRPr="001A566C">
        <w:t>by</w:t>
      </w:r>
      <w:r w:rsidRPr="00A67511">
        <w:t xml:space="preserve"> </w:t>
      </w:r>
      <w:bookmarkEnd w:id="11"/>
      <w:r w:rsidR="00724D1A">
        <w:t>c</w:t>
      </w:r>
      <w:r>
        <w:t>lause 3.13</w:t>
      </w:r>
      <w:r w:rsidR="00E17A81">
        <w:t>(3)</w:t>
      </w:r>
      <w:bookmarkEnd w:id="10"/>
    </w:p>
    <w:p w14:paraId="04287632" w14:textId="77777777" w:rsidR="001A566C" w:rsidRPr="001A566C" w:rsidRDefault="005E2DA3" w:rsidP="001A566C">
      <w:pPr>
        <w:pStyle w:val="BodyText"/>
        <w:jc w:val="center"/>
      </w:pPr>
      <w:r w:rsidRPr="00A14EBE">
        <w:rPr>
          <w:noProof/>
        </w:rPr>
        <w:drawing>
          <wp:inline distT="0" distB="0" distL="0" distR="0" wp14:anchorId="021BFE3A" wp14:editId="596A06BA">
            <wp:extent cx="4211582" cy="5192201"/>
            <wp:effectExtent l="0" t="0" r="0" b="8890"/>
            <wp:docPr id="21" name="Picture 21" descr="O:\MFE18203\Working\Final draft\Note 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FE18203\Working\Final draft\Note flow ch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1557" cy="5204498"/>
                    </a:xfrm>
                    <a:prstGeom prst="rect">
                      <a:avLst/>
                    </a:prstGeom>
                    <a:noFill/>
                    <a:ln>
                      <a:noFill/>
                    </a:ln>
                  </pic:spPr>
                </pic:pic>
              </a:graphicData>
            </a:graphic>
          </wp:inline>
        </w:drawing>
      </w:r>
    </w:p>
    <w:p w14:paraId="1FEE3DDF" w14:textId="77777777" w:rsidR="001A566C" w:rsidRPr="001A566C" w:rsidRDefault="001A566C" w:rsidP="001A566C">
      <w:pPr>
        <w:pStyle w:val="BodyText"/>
      </w:pPr>
    </w:p>
    <w:p w14:paraId="76D7FE05" w14:textId="1F4B1EED" w:rsidR="00552375" w:rsidRPr="001A566C" w:rsidRDefault="00552375" w:rsidP="001A566C">
      <w:pPr>
        <w:pStyle w:val="BodyText"/>
      </w:pPr>
      <w:r w:rsidRPr="001A566C">
        <w:br w:type="page"/>
      </w:r>
    </w:p>
    <w:p w14:paraId="5738EC8B" w14:textId="7133F31A" w:rsidR="00552375" w:rsidRPr="005D2A1F" w:rsidRDefault="00552375" w:rsidP="00552375">
      <w:pPr>
        <w:pStyle w:val="Heading1"/>
      </w:pPr>
      <w:bookmarkStart w:id="12" w:name="_Toc520810799"/>
      <w:bookmarkStart w:id="13" w:name="_Toc73711452"/>
      <w:r w:rsidRPr="005D2A1F">
        <w:lastRenderedPageBreak/>
        <w:t xml:space="preserve">3. </w:t>
      </w:r>
      <w:r w:rsidR="00C62EFE">
        <w:tab/>
      </w:r>
      <w:r w:rsidRPr="005D2A1F">
        <w:t xml:space="preserve">Applying </w:t>
      </w:r>
      <w:r w:rsidR="001A6565">
        <w:t>c</w:t>
      </w:r>
      <w:r>
        <w:t>lause 3.13</w:t>
      </w:r>
      <w:bookmarkEnd w:id="12"/>
      <w:bookmarkEnd w:id="13"/>
    </w:p>
    <w:p w14:paraId="0C4534D9" w14:textId="1A6E5EFB" w:rsidR="00552375" w:rsidRDefault="00552375" w:rsidP="00234F6A">
      <w:pPr>
        <w:pStyle w:val="Heading2"/>
      </w:pPr>
      <w:bookmarkStart w:id="14" w:name="_Toc520810800"/>
      <w:bookmarkStart w:id="15" w:name="_Toc73711453"/>
      <w:r w:rsidRPr="005D2A1F">
        <w:t>3.1</w:t>
      </w:r>
      <w:r w:rsidR="00234F6A">
        <w:tab/>
      </w:r>
      <w:r w:rsidR="00401B12">
        <w:t>Clause 3.13</w:t>
      </w:r>
      <w:r>
        <w:t>(3)(</w:t>
      </w:r>
      <w:r w:rsidRPr="005D2A1F">
        <w:t>a</w:t>
      </w:r>
      <w:r>
        <w:t>)</w:t>
      </w:r>
      <w:r w:rsidRPr="005D2A1F">
        <w:t xml:space="preserve">: Determining if the FMU supports, or could support, conspicuous periphyton and deriving appropriate </w:t>
      </w:r>
      <w:r w:rsidR="009457F8">
        <w:t xml:space="preserve">instream </w:t>
      </w:r>
      <w:r w:rsidRPr="005D2A1F">
        <w:t xml:space="preserve">nutrient </w:t>
      </w:r>
      <w:r w:rsidR="009457F8">
        <w:t xml:space="preserve">concentrations and exceedance </w:t>
      </w:r>
      <w:r w:rsidRPr="005D2A1F">
        <w:t>criteria</w:t>
      </w:r>
      <w:bookmarkEnd w:id="14"/>
      <w:bookmarkEnd w:id="15"/>
    </w:p>
    <w:p w14:paraId="6B27E060" w14:textId="539CBFC4" w:rsidR="00587FE9" w:rsidRDefault="00587FE9" w:rsidP="00587FE9">
      <w:pPr>
        <w:pStyle w:val="BodyText"/>
        <w:spacing w:after="0"/>
      </w:pPr>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143164" w:rsidRPr="006B77BB" w14:paraId="142FAE0A" w14:textId="77777777" w:rsidTr="001E53B7">
        <w:tc>
          <w:tcPr>
            <w:tcW w:w="8505" w:type="dxa"/>
            <w:shd w:val="clear" w:color="auto" w:fill="CFE5E5"/>
          </w:tcPr>
          <w:p w14:paraId="4ACF698D" w14:textId="77777777" w:rsidR="00AA6265" w:rsidRPr="00587FE9" w:rsidRDefault="00AA6265" w:rsidP="00AA6265">
            <w:pPr>
              <w:pStyle w:val="Greenheading-casestudytables"/>
              <w:spacing w:after="120"/>
            </w:pPr>
            <w:r w:rsidRPr="00587FE9">
              <w:t>Key points</w:t>
            </w:r>
          </w:p>
          <w:p w14:paraId="12111234" w14:textId="77777777" w:rsidR="00AA6265" w:rsidRDefault="00AA6265" w:rsidP="00AA6265">
            <w:pPr>
              <w:pStyle w:val="Greenbullet-casestudytables"/>
            </w:pPr>
            <w:r>
              <w:t>Clause 3.133(a)(i) applies to hard-bottom streams and rivers while step (a)(ii) applies to soft-bottom streams and rivers.</w:t>
            </w:r>
          </w:p>
          <w:p w14:paraId="33F40F69" w14:textId="77777777" w:rsidR="00AA6265" w:rsidRDefault="00AA6265" w:rsidP="00AA6265">
            <w:pPr>
              <w:pStyle w:val="Greenbullet-casestudytables"/>
            </w:pPr>
            <w:r>
              <w:t xml:space="preserve">For clause 3.133(a)(i) nutrient criteria must be derived for hard-bottom streams and rivers to manage periphyton consistent with the NPS-FM periphyton attribute. </w:t>
            </w:r>
          </w:p>
          <w:p w14:paraId="350003AA" w14:textId="77777777" w:rsidR="00AA6265" w:rsidRDefault="00AA6265" w:rsidP="00AA6265">
            <w:pPr>
              <w:pStyle w:val="Greenbullet-casestudytables"/>
            </w:pPr>
            <w:r>
              <w:t xml:space="preserve">Hard-bottom streams and rivers with didymo and benthic cyanobacteria should have nutrient criteria set for them, but these forms of periphyton may not respond to nutrient management, especially phosphorus, in the same way as other periphyton. </w:t>
            </w:r>
          </w:p>
          <w:p w14:paraId="5C996666" w14:textId="77777777" w:rsidR="00AA6265" w:rsidRDefault="00AA6265" w:rsidP="00AA6265">
            <w:pPr>
              <w:pStyle w:val="Greenbullet-casestudytables"/>
            </w:pPr>
            <w:r>
              <w:t>Key factors other than nutrients that control periphyton biomass and reflect the unique characteristics of a region or FMU need to be considered in deriving nutrient criteria</w:t>
            </w:r>
          </w:p>
          <w:p w14:paraId="775BB4B0" w14:textId="03FA4880" w:rsidR="00143164" w:rsidRPr="00C15722" w:rsidRDefault="00AA6265" w:rsidP="00AA6265">
            <w:pPr>
              <w:pStyle w:val="Greenbullet-casestudytables"/>
              <w:spacing w:after="240"/>
            </w:pPr>
            <w:r>
              <w:t>Many existing guidelines and models could be used to derive nutrient criteria, if satisfactorily validated or used as an interim measure, while a more robust regional model is developed.</w:t>
            </w:r>
          </w:p>
        </w:tc>
      </w:tr>
    </w:tbl>
    <w:p w14:paraId="7BF47125" w14:textId="3B008EDA" w:rsidR="00552375" w:rsidRPr="005D2A1F" w:rsidRDefault="00552375" w:rsidP="00587FE9">
      <w:pPr>
        <w:pStyle w:val="BodyText"/>
        <w:spacing w:before="360"/>
      </w:pPr>
      <w:bookmarkStart w:id="16" w:name="_Hlk515271515"/>
      <w:r w:rsidRPr="00747A2F">
        <w:t xml:space="preserve">For </w:t>
      </w:r>
      <w:r w:rsidR="00401B12">
        <w:t>clause 3.13(3)(a)(ii)</w:t>
      </w:r>
      <w:r w:rsidRPr="00747A2F">
        <w:t xml:space="preserve"> consider the nutrient criteria required to achieve other freshwater objectives.</w:t>
      </w:r>
      <w:r w:rsidR="00DD47E9">
        <w:t xml:space="preserve"> </w:t>
      </w:r>
      <w:r w:rsidRPr="00747A2F">
        <w:t>These</w:t>
      </w:r>
      <w:r w:rsidRPr="005D2A1F">
        <w:t xml:space="preserve"> </w:t>
      </w:r>
      <w:r w:rsidR="00401B12">
        <w:t xml:space="preserve">nutrient criteria </w:t>
      </w:r>
      <w:r w:rsidRPr="005D2A1F">
        <w:t xml:space="preserve">should </w:t>
      </w:r>
      <w:r w:rsidR="00401B12">
        <w:t xml:space="preserve">be set for </w:t>
      </w:r>
      <w:r w:rsidRPr="005D2A1F">
        <w:t xml:space="preserve">other relevant NPS-FM attributes </w:t>
      </w:r>
      <w:r w:rsidR="00401B12">
        <w:t>such as those defined 3.13(4) (</w:t>
      </w:r>
      <w:r w:rsidR="00303360">
        <w:t>macroinvertebrates</w:t>
      </w:r>
      <w:r w:rsidR="00401B12">
        <w:t>, submerged plants, etc.)</w:t>
      </w:r>
      <w:r w:rsidR="00587FE9">
        <w:t xml:space="preserve"> </w:t>
      </w:r>
      <w:r w:rsidRPr="005D2A1F">
        <w:t xml:space="preserve">and any regionally-defined attributes. The latter could include attributes </w:t>
      </w:r>
      <w:r>
        <w:t xml:space="preserve">additional to the attributes talked stated in 3.13 (4) </w:t>
      </w:r>
      <w:r w:rsidR="00401B12">
        <w:t xml:space="preserve">such as macrophytes, epiphyton and phytoplankton. </w:t>
      </w:r>
      <w:bookmarkEnd w:id="16"/>
    </w:p>
    <w:p w14:paraId="6BA5822A" w14:textId="77777777" w:rsidR="00552375" w:rsidRPr="00284C46" w:rsidRDefault="00552375" w:rsidP="00984D09">
      <w:pPr>
        <w:pStyle w:val="Heading4"/>
      </w:pPr>
      <w:r w:rsidRPr="003B3BDC">
        <w:t xml:space="preserve">Why </w:t>
      </w:r>
      <w:r w:rsidRPr="00284C46">
        <w:t xml:space="preserve">address hard-bottom and soft-bottom </w:t>
      </w:r>
      <w:r>
        <w:t xml:space="preserve">rivers </w:t>
      </w:r>
      <w:r w:rsidRPr="00284C46">
        <w:t>separately?</w:t>
      </w:r>
    </w:p>
    <w:p w14:paraId="477F6A7C" w14:textId="0838D4CF" w:rsidR="00552375" w:rsidRPr="005D2A1F" w:rsidRDefault="00552375" w:rsidP="00552375">
      <w:pPr>
        <w:pStyle w:val="BodyText"/>
      </w:pPr>
      <w:r w:rsidRPr="005D2A1F">
        <w:t xml:space="preserve">The NPS-FM periphyton attribute was developed using scientific information derived exclusively from hard-bottom streams and rivers. These are streams and rivers that currently have </w:t>
      </w:r>
      <w:r>
        <w:t xml:space="preserve">mainly </w:t>
      </w:r>
      <w:r w:rsidRPr="005D2A1F">
        <w:t xml:space="preserve">boulder, cobble or gravel substrates (see box below). </w:t>
      </w:r>
      <w:r w:rsidR="00401B12">
        <w:t>Clause 3.13(3)(a)(i)</w:t>
      </w:r>
      <w:r w:rsidRPr="005D2A1F">
        <w:t xml:space="preserve"> applies to</w:t>
      </w:r>
      <w:r w:rsidR="00587FE9">
        <w:t> </w:t>
      </w:r>
      <w:r w:rsidRPr="005D2A1F">
        <w:t xml:space="preserve">hard-bottom streams and rivers. Section 3.1.1 discusses the various methods for deriving nutrient criteria for hard-bottomed streams and rivers. </w:t>
      </w:r>
    </w:p>
    <w:p w14:paraId="7E25002B" w14:textId="1DB91053" w:rsidR="00552375" w:rsidRDefault="00552375" w:rsidP="00552375">
      <w:pPr>
        <w:pStyle w:val="BodyText"/>
      </w:pPr>
      <w:r w:rsidRPr="005D2A1F">
        <w:t xml:space="preserve">Soft-bottom rivers are those with mainly sand, silt or clay substrates. These rivers can sometimes support conspicuous growths of periphyton; for example, on sand or silt deposits following long periods of stable river flow, or adhering to macrophytes or other instream debris. Step </w:t>
      </w:r>
      <w:r>
        <w:t>(</w:t>
      </w:r>
      <w:r w:rsidRPr="005D2A1F">
        <w:t>a</w:t>
      </w:r>
      <w:r>
        <w:t>)</w:t>
      </w:r>
      <w:r w:rsidRPr="005D2A1F">
        <w:t>(ii) applies to soft-bottom streams and rivers. However, the ecosystem health effects of such periphyton growths are less well studied and understood and are not addressed in this document. Section 3.1.2 summarises relevant information available for macrophytes, epiphyton and phytoplankton.</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22160" w14:paraId="3DAAB0DD" w14:textId="77777777" w:rsidTr="00422160">
        <w:tc>
          <w:tcPr>
            <w:tcW w:w="0" w:type="auto"/>
            <w:shd w:val="clear" w:color="auto" w:fill="D2DDE2"/>
          </w:tcPr>
          <w:p w14:paraId="75DBD626" w14:textId="77777777" w:rsidR="00422160" w:rsidRPr="006B77BB" w:rsidRDefault="00422160" w:rsidP="00422160">
            <w:pPr>
              <w:pStyle w:val="Blueboxheading"/>
            </w:pPr>
            <w:r w:rsidRPr="008155A8">
              <w:lastRenderedPageBreak/>
              <w:t>What</w:t>
            </w:r>
            <w:r>
              <w:t xml:space="preserve"> is a hard-bottom stream or river?</w:t>
            </w:r>
          </w:p>
          <w:p w14:paraId="0E85CA33" w14:textId="0DB355C9" w:rsidR="00422160" w:rsidRPr="00345928" w:rsidRDefault="00422160" w:rsidP="00422160">
            <w:pPr>
              <w:pStyle w:val="Blueboxtext"/>
              <w:spacing w:after="240"/>
            </w:pPr>
            <w:r>
              <w:t xml:space="preserve">In their protocols for sampling macroinvertebrates in wadeable streams, Stark </w:t>
            </w:r>
            <w:r w:rsidRPr="005A7A49">
              <w:rPr>
                <w:iCs/>
              </w:rPr>
              <w:t>et al.</w:t>
            </w:r>
            <w:r>
              <w:t xml:space="preserve"> (2001) define a hard-bottom river as one where the river bed is dominated by particles of gravel size or greater (ie, &lt;50% of the bed is made up of sand/silt). The New Zealand In-stream Sediment Assessment Methods also use this definition (Clapcott </w:t>
            </w:r>
            <w:r w:rsidRPr="005A7A49">
              <w:rPr>
                <w:iCs/>
              </w:rPr>
              <w:t>et al.,</w:t>
            </w:r>
            <w:r>
              <w:t xml:space="preserve"> 2011). Most streams and rivers in New Zealand are hard-bottom. Currently around 80% of river length is classified as hard-bottom according to Freshwater Environments of New Zealand (FENZ; Leathwick </w:t>
            </w:r>
            <w:r w:rsidRPr="005A7A49">
              <w:rPr>
                <w:iCs/>
              </w:rPr>
              <w:t>et al.,</w:t>
            </w:r>
            <w:r>
              <w:t xml:space="preserve"> 2011).</w:t>
            </w:r>
          </w:p>
        </w:tc>
      </w:tr>
    </w:tbl>
    <w:p w14:paraId="7905F136" w14:textId="08BF299B" w:rsidR="00552375" w:rsidRPr="00864D4B" w:rsidRDefault="00552375" w:rsidP="00984D09">
      <w:pPr>
        <w:pStyle w:val="Heading3"/>
      </w:pPr>
      <w:r w:rsidRPr="00864D4B" w:rsidDel="0045145E">
        <w:t>3.1.1</w:t>
      </w:r>
      <w:r w:rsidR="005E4118">
        <w:tab/>
      </w:r>
      <w:r w:rsidR="00182398">
        <w:t>C</w:t>
      </w:r>
      <w:r w:rsidR="00401B12">
        <w:t>lause 3.13(3)(a)(i)</w:t>
      </w:r>
      <w:r w:rsidRPr="00864D4B">
        <w:t xml:space="preserve"> Hard-bottom streams and rivers </w:t>
      </w:r>
    </w:p>
    <w:p w14:paraId="74039FF2" w14:textId="335520AA" w:rsidR="00552375" w:rsidRDefault="00401B12" w:rsidP="005E4118">
      <w:pPr>
        <w:pStyle w:val="BodyText"/>
        <w:spacing w:after="240"/>
      </w:pPr>
      <w:r>
        <w:t>Clause 3.13(3)(a)(i)</w:t>
      </w:r>
      <w:r w:rsidR="00552375" w:rsidRPr="005D2A1F">
        <w:t xml:space="preserve"> applies to hard-bottom streams or rivers, including those with shade due</w:t>
      </w:r>
      <w:r w:rsidR="000D034F">
        <w:t> </w:t>
      </w:r>
      <w:r w:rsidR="00552375" w:rsidRPr="005D2A1F">
        <w:t>to</w:t>
      </w:r>
      <w:r w:rsidR="00182398">
        <w:t> </w:t>
      </w:r>
      <w:r w:rsidR="00552375" w:rsidRPr="005D2A1F">
        <w:t>vegetated riparian margins. These streams and rivers may not presently support conspicuous periphyton, but this status could change if the riparian vegetation was altered and</w:t>
      </w:r>
      <w:r w:rsidR="000D034F">
        <w:t> </w:t>
      </w:r>
      <w:r w:rsidR="00552375" w:rsidRPr="005D2A1F">
        <w:t xml:space="preserve">shading reduced (see box below). As such, the recommended approach is these sites should be considered under </w:t>
      </w:r>
      <w:r>
        <w:t>clause 3.13(3)(a)(i)</w:t>
      </w:r>
      <w:r w:rsidR="00552375" w:rsidRPr="005D2A1F">
        <w:t xml:space="preserve"> using a model that incorporates the influences of current</w:t>
      </w:r>
      <w:r w:rsidR="00182398">
        <w:t> </w:t>
      </w:r>
      <w:r w:rsidR="00552375" w:rsidRPr="005D2A1F">
        <w:t>and potential future levels of shading.</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5426"/>
        <w:gridCol w:w="3079"/>
      </w:tblGrid>
      <w:tr w:rsidR="00DD47E9" w14:paraId="53D2E552" w14:textId="6A0036D7" w:rsidTr="00D66263">
        <w:tc>
          <w:tcPr>
            <w:tcW w:w="5426" w:type="dxa"/>
            <w:tcBorders>
              <w:right w:val="single" w:sz="4" w:space="0" w:color="D2DDE2"/>
            </w:tcBorders>
            <w:shd w:val="clear" w:color="auto" w:fill="D2DDE2"/>
          </w:tcPr>
          <w:p w14:paraId="3C4D6C5B" w14:textId="5D94110B" w:rsidR="00DD47E9" w:rsidRDefault="00DD47E9" w:rsidP="00DD47E9">
            <w:pPr>
              <w:pStyle w:val="Blueboxheading"/>
            </w:pPr>
            <w:r>
              <w:t>Shading</w:t>
            </w:r>
          </w:p>
          <w:p w14:paraId="0C06C4D8" w14:textId="27F042D3" w:rsidR="00DD47E9" w:rsidRPr="00DD47E9" w:rsidRDefault="00DD47E9" w:rsidP="00DD47E9">
            <w:pPr>
              <w:pStyle w:val="Blueboxtext"/>
              <w:ind w:right="0"/>
            </w:pPr>
            <w:r w:rsidRPr="00DD47E9">
              <w:t>Shading of waterways can constrain the growth of aquatic plants, including periphyton, which require light for photosynthesis. Research indicates that nuisance proliferations of periphyton can be controlled if average reach shading exceeds 60-65% of that in the open (Quinn et</w:t>
            </w:r>
            <w:r w:rsidR="00182398">
              <w:t> </w:t>
            </w:r>
            <w:r w:rsidRPr="00DD47E9">
              <w:t xml:space="preserve">al., 1997; Biggs, 2000; Matheson et al., 2017). </w:t>
            </w:r>
          </w:p>
          <w:p w14:paraId="4C6B84CF" w14:textId="32B2F1FE" w:rsidR="00DD47E9" w:rsidRPr="00345928" w:rsidRDefault="00DD47E9" w:rsidP="00DD47E9">
            <w:pPr>
              <w:pStyle w:val="Blueboxtext"/>
              <w:spacing w:after="240"/>
              <w:ind w:right="0"/>
            </w:pPr>
            <w:r w:rsidRPr="00DD47E9">
              <w:t>Shading exceeding 60-65% is most likely achieved in small streams with tall and dense riparian vegetation. For example, for stream widths of around 3, 7 and 14 m, the maximum amount of predicted shade from mature native riparian vegetation is &gt;99%, &gt;95% and c. 70%, respectively (Davies-Colley et al., 2009).</w:t>
            </w:r>
          </w:p>
        </w:tc>
        <w:tc>
          <w:tcPr>
            <w:tcW w:w="3079" w:type="dxa"/>
            <w:tcBorders>
              <w:top w:val="single" w:sz="4" w:space="0" w:color="D2DDE2"/>
              <w:left w:val="single" w:sz="4" w:space="0" w:color="D2DDE2"/>
              <w:bottom w:val="single" w:sz="4" w:space="0" w:color="D2DDE2"/>
            </w:tcBorders>
            <w:shd w:val="clear" w:color="auto" w:fill="D2DDE2"/>
            <w:vAlign w:val="center"/>
          </w:tcPr>
          <w:p w14:paraId="2544C8E6" w14:textId="750EDF15" w:rsidR="00DD47E9" w:rsidRPr="00345928" w:rsidRDefault="00DD47E9" w:rsidP="00DD47E9">
            <w:pPr>
              <w:pStyle w:val="Blueboxtext"/>
              <w:spacing w:before="240"/>
              <w:ind w:left="0" w:right="0"/>
            </w:pPr>
            <w:r>
              <w:rPr>
                <w:noProof/>
              </w:rPr>
              <w:drawing>
                <wp:inline distT="0" distB="0" distL="0" distR="0" wp14:anchorId="2EDCFB1B" wp14:editId="47F5B465">
                  <wp:extent cx="1748332" cy="1815246"/>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860" cy="1828253"/>
                          </a:xfrm>
                          <a:prstGeom prst="rect">
                            <a:avLst/>
                          </a:prstGeom>
                          <a:noFill/>
                        </pic:spPr>
                      </pic:pic>
                    </a:graphicData>
                  </a:graphic>
                </wp:inline>
              </w:drawing>
            </w:r>
          </w:p>
        </w:tc>
      </w:tr>
    </w:tbl>
    <w:p w14:paraId="79958BEF" w14:textId="77777777" w:rsidR="00552375" w:rsidRDefault="00552375" w:rsidP="00984D09">
      <w:pPr>
        <w:pStyle w:val="Heading4"/>
      </w:pPr>
      <w:r>
        <w:t>Periphyton and nutrients</w:t>
      </w:r>
    </w:p>
    <w:p w14:paraId="12214C6D" w14:textId="710A5044" w:rsidR="00552375" w:rsidRPr="005D2A1F" w:rsidRDefault="00552375" w:rsidP="00DD47E9">
      <w:pPr>
        <w:pStyle w:val="BodyText"/>
      </w:pPr>
      <w:r w:rsidRPr="005D2A1F">
        <w:t>Periphyton growth response to nutrients in rivers involves nutrient uptake into the periphyton biomass (and internal stores of P) that can lower the dissolved nutrient concentration in the water and alter the downstream nutrient concentrations (see box below).</w:t>
      </w:r>
      <w:r w:rsidR="00DD47E9">
        <w:t xml:space="preserve"> </w:t>
      </w:r>
      <w:r w:rsidRPr="005D2A1F">
        <w:t xml:space="preserve">This has two key implications: </w:t>
      </w:r>
    </w:p>
    <w:p w14:paraId="227D9BA2" w14:textId="77777777" w:rsidR="00552375" w:rsidRDefault="00552375" w:rsidP="00DD47E9">
      <w:pPr>
        <w:pStyle w:val="Numberedparagraph"/>
      </w:pPr>
      <w:r>
        <w:t>the relationships between instantaneous nutrient concentrations and periphyton biomass are usually weak, and hence relationships between median (or geometric mean or mean) nutrient concentrations and periphyton biomass are often used in predictive modelling</w:t>
      </w:r>
    </w:p>
    <w:p w14:paraId="47C86BDE" w14:textId="09EC9B4B" w:rsidR="00552375" w:rsidRDefault="00552375" w:rsidP="00DD47E9">
      <w:pPr>
        <w:pStyle w:val="Numberedparagraph"/>
      </w:pPr>
      <w:r>
        <w:t>it is useful to consider the downstream spatial extent of nutrient input effects on periphyton biomass.</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716"/>
      </w:tblGrid>
      <w:tr w:rsidR="00422160" w14:paraId="5A5DD04C" w14:textId="77777777" w:rsidTr="00422160">
        <w:tc>
          <w:tcPr>
            <w:tcW w:w="0" w:type="auto"/>
            <w:shd w:val="clear" w:color="auto" w:fill="D2DDE2"/>
          </w:tcPr>
          <w:p w14:paraId="7778339B" w14:textId="77777777" w:rsidR="00422160" w:rsidRDefault="00422160" w:rsidP="00422160">
            <w:pPr>
              <w:pStyle w:val="Blueboxheading"/>
            </w:pPr>
            <w:bookmarkStart w:id="17" w:name="temporal"/>
            <w:r>
              <w:lastRenderedPageBreak/>
              <w:t>Temporal and downstream extent of nutrient impacts on periphyton biomass</w:t>
            </w:r>
            <w:bookmarkEnd w:id="17"/>
          </w:p>
          <w:p w14:paraId="5960B0BA" w14:textId="77777777" w:rsidR="00422160" w:rsidRDefault="00422160" w:rsidP="00422160">
            <w:pPr>
              <w:pStyle w:val="Blueboxtext"/>
              <w:rPr>
                <w:noProof/>
              </w:rPr>
            </w:pPr>
            <w:r>
              <w:t>Below is a conceptual diagram of how dissolved inorganic nutrients and periphyton biomass can vary downstream of a source of enrichment (eg, upwelling enriched groundwater and/or sewage treatment plant input) at three times during a flow recession.</w:t>
            </w:r>
            <w:r w:rsidRPr="002B04FE">
              <w:rPr>
                <w:noProof/>
              </w:rPr>
              <w:t xml:space="preserve"> </w:t>
            </w:r>
            <w:r>
              <w:rPr>
                <w:noProof/>
              </w:rPr>
              <w:t xml:space="preserve">The diagram is based on Tukituki River observations </w:t>
            </w:r>
            <w:r w:rsidRPr="00182398">
              <w:t>(Quinn et al., 2018) and the model of Chapra et al. (2014</w:t>
            </w:r>
            <w:r>
              <w:rPr>
                <w:noProof/>
              </w:rPr>
              <w:t>).</w:t>
            </w:r>
          </w:p>
          <w:p w14:paraId="6D68AD4E" w14:textId="77777777" w:rsidR="00422160" w:rsidRDefault="00422160" w:rsidP="00422160">
            <w:pPr>
              <w:pStyle w:val="Blueboxtext"/>
            </w:pPr>
            <w:r w:rsidRPr="00603B7E">
              <w:rPr>
                <w:noProof/>
              </w:rPr>
              <w:drawing>
                <wp:inline distT="0" distB="0" distL="0" distR="0" wp14:anchorId="7DC86F63" wp14:editId="0D661ED5">
                  <wp:extent cx="5036820" cy="1339116"/>
                  <wp:effectExtent l="0" t="0" r="0" b="0"/>
                  <wp:docPr id="11" name="Picture 11" descr="O:\MFE18203\Working\Final draft\Spatial extent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FE18203\Working\Final draft\Spatial extent figur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2580" cy="1345965"/>
                          </a:xfrm>
                          <a:prstGeom prst="rect">
                            <a:avLst/>
                          </a:prstGeom>
                          <a:noFill/>
                          <a:ln>
                            <a:noFill/>
                          </a:ln>
                        </pic:spPr>
                      </pic:pic>
                    </a:graphicData>
                  </a:graphic>
                </wp:inline>
              </w:drawing>
            </w:r>
          </w:p>
          <w:p w14:paraId="63CD6C17" w14:textId="77777777" w:rsidR="00422160" w:rsidRDefault="00422160" w:rsidP="00422160">
            <w:pPr>
              <w:pStyle w:val="Blueboxtext"/>
            </w:pPr>
            <w:r>
              <w:t>At T1 the flow (Q) is moderate and travel time along the reach is short, resulting in lower initial nutrient concentrations that decline slowly downstream in response to early growth of periphyton that is not limited by concentrations along the whole river reach length.</w:t>
            </w:r>
          </w:p>
          <w:p w14:paraId="5AB897C7" w14:textId="77777777" w:rsidR="00422160" w:rsidRDefault="00422160" w:rsidP="00422160">
            <w:pPr>
              <w:pStyle w:val="Blueboxtext"/>
            </w:pPr>
            <w:r>
              <w:t>At T2 the flow is low-moderate, resulting in less dilution of inputs (giving higher upstream concentrations) and dissolved DIN and DRP decline more rapidly due to higher uptake by higher periphyton biomass that has accrued over time and longer travel times enabling more time for uptake. Periphyton biomass begins to decline at the downstream end of the reach where nutrients are low but remain moderate due to earlier growth.</w:t>
            </w:r>
          </w:p>
          <w:p w14:paraId="0BB28325" w14:textId="0E1D9FBC" w:rsidR="00422160" w:rsidRPr="00345928" w:rsidRDefault="00422160" w:rsidP="00422160">
            <w:pPr>
              <w:pStyle w:val="Blueboxtext"/>
              <w:spacing w:after="240"/>
            </w:pPr>
            <w:r>
              <w:t>At T3 at low-flow, high nutrient concentrations occur near the upstream end of the reach (low dilution of inputs) where high biomass has accrued with continued rapid growth in response to maintained high nutrients. Dissolved inorganic nutrients decrease rapidly with distance downstream due to the combined effects of high uptake, long travel times and shallower depth (ie, greater bed surface area to volume ratio than at higher flows). Consequently, nutrients drop below levels that limit periphyton growth and biomass declines downstream as losses from grazing and self-sloughing are not replaced by new growth.</w:t>
            </w:r>
          </w:p>
        </w:tc>
      </w:tr>
    </w:tbl>
    <w:p w14:paraId="65CD4187" w14:textId="1E3CE0BD" w:rsidR="00552375" w:rsidRDefault="00552375" w:rsidP="00077749">
      <w:pPr>
        <w:pStyle w:val="Heading4"/>
        <w:spacing w:before="360"/>
      </w:pPr>
      <w:r>
        <w:t>Didymo and benthic cyanobacteria</w:t>
      </w:r>
    </w:p>
    <w:p w14:paraId="0E57C405" w14:textId="61343F6C" w:rsidR="001F169A" w:rsidRDefault="00552375" w:rsidP="00143434">
      <w:pPr>
        <w:pStyle w:val="BodyText"/>
        <w:spacing w:after="240"/>
      </w:pPr>
      <w:r>
        <w:t xml:space="preserve">Hard-bottom rivers with periphyton communities that have </w:t>
      </w:r>
      <w:r w:rsidRPr="00677685">
        <w:t>didymo</w:t>
      </w:r>
      <w:r>
        <w:t xml:space="preserve"> </w:t>
      </w:r>
      <w:r w:rsidRPr="00677685">
        <w:t xml:space="preserve">benthic cyanobacteria </w:t>
      </w:r>
      <w:r>
        <w:t xml:space="preserve">require special consideration. This is because these forms of periphyton </w:t>
      </w:r>
      <w:r w:rsidRPr="00422160">
        <w:t>respond</w:t>
      </w:r>
      <w:r>
        <w:t xml:space="preserve"> differently to</w:t>
      </w:r>
      <w:r w:rsidR="00422160">
        <w:t> </w:t>
      </w:r>
      <w:r>
        <w:t>nutrients than other types of periphyton (see boxes below). In general, it is likely reductions in DIN will reduce the likelihood of didymo and benthic cyanobacteria blooms but reductions in</w:t>
      </w:r>
      <w:r w:rsidR="00422160">
        <w:t> </w:t>
      </w:r>
      <w:r>
        <w:t xml:space="preserve">DRP may be ineffectual. </w:t>
      </w:r>
      <w:r w:rsidRPr="00284C46">
        <w:t>Nutrient criteria to manage periphyton must still be derived for rivers with didymo and benthic cyanobacteria.</w:t>
      </w:r>
      <w:r>
        <w:t xml:space="preserve"> </w:t>
      </w:r>
      <w:r w:rsidRPr="00B63E1C">
        <w:t>It is</w:t>
      </w:r>
      <w:r>
        <w:t xml:space="preserve"> best</w:t>
      </w:r>
      <w:r w:rsidRPr="00B63E1C">
        <w:t xml:space="preserve"> to </w:t>
      </w:r>
      <w:r>
        <w:t xml:space="preserve">avoid </w:t>
      </w:r>
      <w:r w:rsidRPr="00B63E1C">
        <w:t>includ</w:t>
      </w:r>
      <w:r>
        <w:t>ing</w:t>
      </w:r>
      <w:r w:rsidRPr="00B63E1C">
        <w:t xml:space="preserve"> didymo (especially if abundant) in periphyton biomass sampling to assess compliance with the periphyton attribute because it responds quite differently to nutrients than other periphyton.</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A3FC8" w14:paraId="549A460B" w14:textId="77777777" w:rsidTr="00143434">
        <w:tc>
          <w:tcPr>
            <w:tcW w:w="0" w:type="auto"/>
            <w:shd w:val="clear" w:color="auto" w:fill="D2DDE2"/>
          </w:tcPr>
          <w:p w14:paraId="5AA5F80E" w14:textId="7E549EBE" w:rsidR="00143434" w:rsidRDefault="00143434" w:rsidP="00143434">
            <w:pPr>
              <w:pStyle w:val="Blueboxheading"/>
            </w:pPr>
            <w:r>
              <w:lastRenderedPageBreak/>
              <w:t>Didymo</w:t>
            </w:r>
          </w:p>
          <w:p w14:paraId="2E94C17D" w14:textId="5744580C" w:rsidR="00143434" w:rsidRDefault="00143434" w:rsidP="00182398">
            <w:pPr>
              <w:pStyle w:val="Blueboxtext"/>
            </w:pPr>
            <w:r w:rsidRPr="00022A09">
              <w:rPr>
                <w:noProof/>
              </w:rPr>
              <w:drawing>
                <wp:anchor distT="0" distB="0" distL="114300" distR="114300" simplePos="0" relativeHeight="251658241" behindDoc="0" locked="0" layoutInCell="1" allowOverlap="1" wp14:anchorId="05B4A3F1" wp14:editId="4BFF1C7E">
                  <wp:simplePos x="0" y="0"/>
                  <wp:positionH relativeFrom="column">
                    <wp:posOffset>3487648</wp:posOffset>
                  </wp:positionH>
                  <wp:positionV relativeFrom="paragraph">
                    <wp:posOffset>82550</wp:posOffset>
                  </wp:positionV>
                  <wp:extent cx="1612900" cy="1211580"/>
                  <wp:effectExtent l="0" t="0" r="6350" b="7620"/>
                  <wp:wrapSquare wrapText="bothSides"/>
                  <wp:docPr id="35" name="Picture 35" descr="C:\Users\matheson\Desktop\Didy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heson\Desktop\Didym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290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t>The invasive freshwater diatom didymo is a special case of periphyton because it does not respond to some environmental</w:t>
            </w:r>
            <w:r w:rsidR="00335CA2">
              <w:t xml:space="preserve"> </w:t>
            </w:r>
            <w:r>
              <w:t>drivers in the same way as other common periphyton species. Didymo biomass accumulation is higher at lower water</w:t>
            </w:r>
            <w:r w:rsidR="00335CA2">
              <w:t xml:space="preserve"> </w:t>
            </w:r>
            <w:r>
              <w:t>temperatures (</w:t>
            </w:r>
            <w:r w:rsidRPr="00182398">
              <w:t>Kilroy et al., 2006; C. Kilroy pers. comm.). It appears to prefer large seasonal temperature differences and it is tolerant of a broad range of hydraulic conditions (Kilroy et al., 2006, 2</w:t>
            </w:r>
            <w:r>
              <w:t xml:space="preserve">007). </w:t>
            </w:r>
          </w:p>
          <w:p w14:paraId="7A66CB82" w14:textId="22184538" w:rsidR="00DA3FC8" w:rsidRPr="00345928" w:rsidRDefault="00143434" w:rsidP="00335CA2">
            <w:pPr>
              <w:pStyle w:val="Blueboxtext"/>
              <w:spacing w:before="0" w:after="240"/>
            </w:pPr>
            <w:r>
              <w:t xml:space="preserve">Predictive modelling indicates a preference for stable, hard substrates and low flow variability, long time intervals between floods and sites with a high lake influence (Kilroy </w:t>
            </w:r>
            <w:r w:rsidRPr="00182398">
              <w:t>et al., 2007).</w:t>
            </w:r>
            <w:r>
              <w:t xml:space="preserve"> In terms of nutrients, it is now known that </w:t>
            </w:r>
            <w:r w:rsidRPr="00086D29">
              <w:rPr>
                <w:i/>
              </w:rPr>
              <w:t>Didymo</w:t>
            </w:r>
            <w:r>
              <w:t xml:space="preserve"> requires low DRP </w:t>
            </w:r>
            <w:r w:rsidRPr="00475699">
              <w:t>concentrations</w:t>
            </w:r>
            <w:r>
              <w:t xml:space="preserve"> (less than 2</w:t>
            </w:r>
            <w:r w:rsidR="00D66263">
              <w:t> </w:t>
            </w:r>
            <w:r w:rsidRPr="007715FF">
              <w:rPr>
                <w:rFonts w:asciiTheme="minorHAnsi" w:hAnsiTheme="minorHAnsi"/>
              </w:rPr>
              <w:t>mg/m</w:t>
            </w:r>
            <w:r w:rsidRPr="007715FF">
              <w:rPr>
                <w:rFonts w:asciiTheme="minorHAnsi" w:hAnsiTheme="minorHAnsi"/>
                <w:vertAlign w:val="superscript"/>
              </w:rPr>
              <w:t>3</w:t>
            </w:r>
            <w:r>
              <w:t xml:space="preserve"> on average) to produce stalks and bloom. This may explain why it has not been detected in North Island rivers as these typically have higher concentrations of DRP (C. Kilroy pers. comm.).</w:t>
            </w:r>
          </w:p>
        </w:tc>
      </w:tr>
    </w:tbl>
    <w:p w14:paraId="3D7DEBBD" w14:textId="77777777" w:rsidR="00DA3FC8" w:rsidRDefault="00DA3FC8" w:rsidP="007823D6">
      <w:pPr>
        <w:pStyle w:val="BodyText"/>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35CA2" w:rsidRPr="00335CA2" w14:paraId="478FB007" w14:textId="77777777" w:rsidTr="00335CA2">
        <w:tc>
          <w:tcPr>
            <w:tcW w:w="0" w:type="auto"/>
            <w:shd w:val="clear" w:color="auto" w:fill="D2DDE2"/>
          </w:tcPr>
          <w:p w14:paraId="2A449881" w14:textId="7182841B" w:rsidR="00335CA2" w:rsidRPr="00335CA2" w:rsidRDefault="00335CA2" w:rsidP="00335CA2">
            <w:pPr>
              <w:pStyle w:val="Blueboxheading"/>
              <w:rPr>
                <w:rFonts w:cs="Calibri"/>
              </w:rPr>
            </w:pPr>
            <w:r w:rsidRPr="00335CA2">
              <w:rPr>
                <w:rFonts w:cs="Calibri"/>
              </w:rPr>
              <w:t>Benthic cyanobacteria</w:t>
            </w:r>
          </w:p>
          <w:p w14:paraId="4564870E" w14:textId="77A54E84" w:rsidR="00335CA2" w:rsidRPr="00335CA2" w:rsidRDefault="00335CA2" w:rsidP="00335CA2">
            <w:pPr>
              <w:pStyle w:val="Blueboxtext"/>
              <w:rPr>
                <w:rFonts w:cs="Calibri"/>
              </w:rPr>
            </w:pPr>
            <w:r w:rsidRPr="00335CA2">
              <w:rPr>
                <w:rFonts w:cs="Calibri"/>
                <w:noProof/>
              </w:rPr>
              <w:drawing>
                <wp:anchor distT="0" distB="0" distL="114300" distR="114300" simplePos="0" relativeHeight="251658242" behindDoc="0" locked="0" layoutInCell="1" allowOverlap="1" wp14:anchorId="1B516561" wp14:editId="0C17D597">
                  <wp:simplePos x="0" y="0"/>
                  <wp:positionH relativeFrom="column">
                    <wp:posOffset>3617621</wp:posOffset>
                  </wp:positionH>
                  <wp:positionV relativeFrom="paragraph">
                    <wp:posOffset>99390</wp:posOffset>
                  </wp:positionV>
                  <wp:extent cx="1487066" cy="1272845"/>
                  <wp:effectExtent l="0" t="0" r="0" b="3810"/>
                  <wp:wrapSquare wrapText="bothSides"/>
                  <wp:docPr id="37" name="Picture 37" descr="C:\Users\matheson\Desktop\Phormi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eson\Desktop\Phormidiu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066" cy="12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A2">
              <w:rPr>
                <w:rFonts w:cs="Calibri"/>
              </w:rPr>
              <w:t xml:space="preserve">Benthic, mat-forming cyanobacteria are widespread through New Zealand rivers and are found many water quality conditions, including oligotrophic waters (Biggs and Kilroy, 2000). The most common genus is regarded as </w:t>
            </w:r>
            <w:r w:rsidRPr="00335CA2">
              <w:rPr>
                <w:rFonts w:cs="Calibri"/>
                <w:i/>
              </w:rPr>
              <w:t>Phormidium</w:t>
            </w:r>
            <w:r w:rsidRPr="00335CA2">
              <w:rPr>
                <w:rFonts w:cs="Calibri"/>
              </w:rPr>
              <w:t xml:space="preserve">, which forms expansive, leathery, dark brown/black mats (Ministry for the Environment (MfE) and Ministry of Health (MoH), 2009). </w:t>
            </w:r>
          </w:p>
          <w:p w14:paraId="4C933CC8" w14:textId="3FEDFE90" w:rsidR="00335CA2" w:rsidRPr="00335CA2" w:rsidRDefault="00335CA2" w:rsidP="00335CA2">
            <w:pPr>
              <w:pStyle w:val="Blueboxtext"/>
              <w:spacing w:after="240"/>
              <w:rPr>
                <w:rFonts w:cs="Calibri"/>
              </w:rPr>
            </w:pPr>
            <w:r w:rsidRPr="00335CA2">
              <w:rPr>
                <w:rFonts w:cs="Calibri"/>
              </w:rPr>
              <w:t>Factors related to human land uses and activities can cause cyanobacterial mats to form, or to exacerbate their natural development, including flow alteration, shade reduction and nutrient input (MfE and MoH, 2009). NZ interim guidelines (MfE and MoH, 2009) recommend taking action once cover of potentially toxic cyanobacteria exceeds 50%. Alert status should be triggered by cover in the range of 20-50%. The guidelines suggest that the risk of a cyanobacterial mat bloom is greatest where: 1) water temperature is</w:t>
            </w:r>
            <w:r w:rsidR="00D66263">
              <w:rPr>
                <w:rFonts w:cs="Calibri"/>
              </w:rPr>
              <w:t> </w:t>
            </w:r>
            <w:r w:rsidRPr="00335CA2">
              <w:rPr>
                <w:rFonts w:cs="Calibri"/>
              </w:rPr>
              <w:t xml:space="preserve">&gt;15°C; 2) no flushing flows have occurred for at least fourteen days; 3) stream bed substrate is hard-bottom; and 4) river or stream bed is unshaded. Recent reviews of </w:t>
            </w:r>
            <w:r w:rsidRPr="00335CA2">
              <w:rPr>
                <w:rFonts w:cs="Calibri"/>
                <w:i/>
              </w:rPr>
              <w:t>Phormidium</w:t>
            </w:r>
            <w:r w:rsidRPr="00335CA2">
              <w:rPr>
                <w:rFonts w:cs="Calibri"/>
              </w:rPr>
              <w:t xml:space="preserve"> proliferations in New Zealand suggests that these are most likely to occur where there is some enrichment with dissolved inorganic nitrogen, but when dissolved reactive phosphorus concentrations are less than 10 mg/m</w:t>
            </w:r>
            <w:r w:rsidRPr="00335CA2">
              <w:rPr>
                <w:rFonts w:cs="Calibri"/>
                <w:vertAlign w:val="superscript"/>
              </w:rPr>
              <w:t>3</w:t>
            </w:r>
            <w:r w:rsidRPr="00335CA2">
              <w:rPr>
                <w:rFonts w:cs="Calibri"/>
              </w:rPr>
              <w:t xml:space="preserve"> (Wood </w:t>
            </w:r>
            <w:r w:rsidRPr="00182398">
              <w:t>et al,. 2015; McAllister et al., 2016).</w:t>
            </w:r>
          </w:p>
        </w:tc>
      </w:tr>
    </w:tbl>
    <w:p w14:paraId="5FE04A6C" w14:textId="77777777" w:rsidR="00552375" w:rsidRDefault="00552375" w:rsidP="00077749">
      <w:pPr>
        <w:pStyle w:val="Heading4"/>
        <w:spacing w:before="360"/>
      </w:pPr>
      <w:r>
        <w:t>How to derive nutrient criteria</w:t>
      </w:r>
    </w:p>
    <w:p w14:paraId="3A93FB09" w14:textId="71F8F0DB" w:rsidR="00552375" w:rsidRDefault="00552375" w:rsidP="00335CA2">
      <w:pPr>
        <w:pStyle w:val="BodyText"/>
      </w:pPr>
      <w:r>
        <w:t>Nitrogen and phosphorus as nutrients in fresh water that enhance the growth of plants are</w:t>
      </w:r>
      <w:r w:rsidR="00D66263">
        <w:t> </w:t>
      </w:r>
      <w:r>
        <w:t xml:space="preserve">usually expressed in the form </w:t>
      </w:r>
      <w:r w:rsidRPr="00335CA2">
        <w:t>of</w:t>
      </w:r>
      <w:r>
        <w:t xml:space="preserve"> dissolved inorganic nitrogen (DIN) (the sum of the nitrate,</w:t>
      </w:r>
      <w:r w:rsidR="00D66263">
        <w:t> </w:t>
      </w:r>
      <w:r>
        <w:t>nitrite and ammonium concentrations) and dissolved reactive phosphorus (DRP). We</w:t>
      </w:r>
      <w:r w:rsidR="00D66263">
        <w:t> </w:t>
      </w:r>
      <w:r>
        <w:t>recommend the following process to derive instream concentrations and exceedance criteria for DIN and DRP to achieve a periphyton objective in hard-bottom rivers.</w:t>
      </w:r>
    </w:p>
    <w:p w14:paraId="5A124E07" w14:textId="04944182" w:rsidR="00552375" w:rsidRDefault="00552375" w:rsidP="00552375">
      <w:pPr>
        <w:pStyle w:val="BodyText"/>
      </w:pPr>
      <w:r>
        <w:t xml:space="preserve">For hard-bottom stream and river sites and segments across the FMU where the periphyton objective is currently being achieved (ie, periphyton state = periphyton objective), a reasonable approach would be to set instream nutrient criteria at current concentrations, provided these concentrations also ensure other freshwater objectives for compulsory or </w:t>
      </w:r>
      <w:r>
        <w:lastRenderedPageBreak/>
        <w:t>regionally-defined attributes are met. We recommend using annual median or geometric mean concentrations of</w:t>
      </w:r>
      <w:r w:rsidR="00182398">
        <w:t> </w:t>
      </w:r>
      <w:r>
        <w:t>DIN and DRP as the nutrient criteria.</w:t>
      </w:r>
      <w:r>
        <w:rPr>
          <w:rStyle w:val="FootnoteReference"/>
        </w:rPr>
        <w:footnoteReference w:id="3"/>
      </w:r>
    </w:p>
    <w:p w14:paraId="0B484082" w14:textId="4F690C64" w:rsidR="00552375" w:rsidRDefault="00552375" w:rsidP="00552375">
      <w:pPr>
        <w:pStyle w:val="BodyText"/>
      </w:pPr>
      <w:r>
        <w:t xml:space="preserve">For hard-bottom stream and river sites and segments across the FMU where the periphyton objective is not currently being achieved (ie, periphyton state </w:t>
      </w:r>
      <w:r>
        <w:rPr>
          <w:rFonts w:ascii="Times New Roman" w:hAnsi="Times New Roman"/>
        </w:rPr>
        <w:t>&lt;</w:t>
      </w:r>
      <w:r>
        <w:t xml:space="preserve"> periphyton objective),</w:t>
      </w:r>
      <w:r w:rsidR="00DD47E9">
        <w:t xml:space="preserve"> </w:t>
      </w:r>
      <w:r>
        <w:t>instream nutrient concentrations need to be set to achieve the periphyton objective. This requires an ability to predict periphyton biomass from nutrient concentrations, while also accounting for other factors known to control periphyton biomass. These factors include those contributing to biomass accrual, such as light availability and temperature, and those that result in biomass removal such as hydrological disturbances and grazing (Biggs, 1996, 2000).</w:t>
      </w:r>
      <w:r w:rsidR="00DD47E9">
        <w:t xml:space="preserve"> </w:t>
      </w:r>
    </w:p>
    <w:p w14:paraId="6DDF6628" w14:textId="2BBD5293" w:rsidR="00552375" w:rsidRPr="00182398" w:rsidRDefault="00552375" w:rsidP="00552375">
      <w:pPr>
        <w:pStyle w:val="BodyText"/>
      </w:pPr>
      <w:r>
        <w:t>Guidelines and models have been developed in New Zealand that link periphyton biomass (or</w:t>
      </w:r>
      <w:r w:rsidR="00335CA2">
        <w:t> </w:t>
      </w:r>
      <w:r>
        <w:t xml:space="preserve">cover) to nutrient </w:t>
      </w:r>
      <w:r w:rsidRPr="00182398">
        <w:t>concentrations, and that include, or account for, one or more other controlling factors. There are four existing guideline documents (MfE, 1992; Biggs, 2000; Matheson et al., 2012; Matheson et al., 2016), three of which base recommended nutrient criteria on broad-scale regression model results. Other models have also been developed. The</w:t>
      </w:r>
      <w:r w:rsidR="00335CA2" w:rsidRPr="00182398">
        <w:t> </w:t>
      </w:r>
      <w:r w:rsidRPr="00182398">
        <w:t>models developed include linear regression models (Biggs, 2000; Larned et al., 2015; Elliott</w:t>
      </w:r>
      <w:r w:rsidR="00335CA2" w:rsidRPr="00182398">
        <w:t> </w:t>
      </w:r>
      <w:r w:rsidRPr="00182398">
        <w:t xml:space="preserve">et al., 2016; Kilroy et al., 2017; Kilroy et al., 2018), non-linear quantile regression models (Matheson et al. 2016), Bayesian network models (Matheson et al., 2012; Storey et al., 2017) and a dynamic, process-based model (Rutherford 2011, 2012, 2013a, 2013b). Four of the models have been developed using national (or multi-region) datasets (ie, Biggs, 2000; Matheson et al., 2012; Matheson et al., 2016; Larned et al., 2015; Elliott et al., 2016). Other models are regional (ie, Canterbury, Kilroy et al., 2017; and Horizons, Kilroy et al., 2018) or for specific catchments (ie, Tukituki, Rutherford et al., 2011; and Ruamahanga, Storey et al., 2017). </w:t>
      </w:r>
    </w:p>
    <w:p w14:paraId="2E5F0FCF" w14:textId="55925CFB" w:rsidR="00552375" w:rsidRDefault="00552375" w:rsidP="00552375">
      <w:pPr>
        <w:pStyle w:val="BodyText"/>
        <w:rPr>
          <w:sz w:val="20"/>
          <w:szCs w:val="20"/>
        </w:rPr>
      </w:pPr>
      <w:r>
        <w:t xml:space="preserve">The above guidelines and models provide many existing options that could be adopted or modified to derive instream nutrient criteria. </w:t>
      </w:r>
      <w:r>
        <w:rPr>
          <w:rFonts w:asciiTheme="minorHAnsi" w:hAnsiTheme="minorHAnsi" w:cs="Calibri,Bold"/>
          <w:bCs/>
        </w:rPr>
        <w:t xml:space="preserve">Some of them could also provide a basis for an interim approach to setting nutrient criteria while a more comprehensive model is developed (see </w:t>
      </w:r>
      <w:hyperlink w:anchor="casestudy1" w:history="1">
        <w:r w:rsidRPr="00F81EB2">
          <w:rPr>
            <w:rStyle w:val="Hyperlink"/>
            <w:rFonts w:asciiTheme="minorHAnsi" w:hAnsiTheme="minorHAnsi" w:cs="Calibri,Bold"/>
            <w:bCs/>
          </w:rPr>
          <w:t>Case study – Deriving nutrient targets for the Horizons One Plan</w:t>
        </w:r>
      </w:hyperlink>
      <w:r>
        <w:rPr>
          <w:rFonts w:asciiTheme="minorHAnsi" w:hAnsiTheme="minorHAnsi" w:cs="Calibri,Bold"/>
          <w:bCs/>
        </w:rPr>
        <w:t xml:space="preserve">). </w:t>
      </w:r>
      <w:r>
        <w:t>The models vary in complexity and data requirements (see discussion of each below). Ideally the model used to derive nutrient criteria should be able to predict current state at sites or segments within an</w:t>
      </w:r>
      <w:r w:rsidR="00007CF4">
        <w:t> </w:t>
      </w:r>
      <w:r>
        <w:t>FMU with a high level of certainty. However, the degree of certainty required will likely depend</w:t>
      </w:r>
      <w:r w:rsidR="00897081">
        <w:t> </w:t>
      </w:r>
      <w:r>
        <w:t>on the scale and significance of the problem to be addressed. For example, a high degree of certainty in predictions is likely to be needed if many sites or segments within the FMU do not meet periphyton objectives and the cost to the community to implement nutrient mitigation strategies to meet those objectives is likely to be high. For further guidance on this</w:t>
      </w:r>
      <w:r w:rsidR="00007CF4">
        <w:t> </w:t>
      </w:r>
      <w:r>
        <w:t xml:space="preserve">point see </w:t>
      </w:r>
      <w:r w:rsidRPr="002D1C37">
        <w:rPr>
          <w:i/>
        </w:rPr>
        <w:t xml:space="preserve">A </w:t>
      </w:r>
      <w:r w:rsidRPr="002D1C37">
        <w:rPr>
          <w:rFonts w:asciiTheme="minorHAnsi" w:hAnsiTheme="minorHAnsi" w:cs="Calibri,Bold"/>
          <w:bCs/>
          <w:i/>
        </w:rPr>
        <w:t>Draft Guide to Communicating and Managing Uncertainty when Implementing the NPS-FM</w:t>
      </w:r>
      <w:r w:rsidRPr="002D1C37">
        <w:rPr>
          <w:rFonts w:asciiTheme="minorHAnsi" w:hAnsiTheme="minorHAnsi" w:cs="Calibri,Bold"/>
          <w:bCs/>
        </w:rPr>
        <w:t xml:space="preserve"> </w:t>
      </w:r>
      <w:r>
        <w:rPr>
          <w:rFonts w:asciiTheme="minorHAnsi" w:hAnsiTheme="minorHAnsi" w:cs="Calibri,Bold"/>
          <w:bCs/>
        </w:rPr>
        <w:t xml:space="preserve">(MfE, 2016a). The recommended use of existing guidelines and models is summarised in </w:t>
      </w:r>
      <w:r w:rsidRPr="0087675D">
        <w:rPr>
          <w:rFonts w:asciiTheme="minorHAnsi" w:hAnsiTheme="minorHAnsi" w:cs="Calibri,Bold"/>
          <w:bCs/>
        </w:rPr>
        <w:fldChar w:fldCharType="begin"/>
      </w:r>
      <w:r w:rsidRPr="0087675D">
        <w:rPr>
          <w:rFonts w:asciiTheme="minorHAnsi" w:hAnsiTheme="minorHAnsi" w:cs="Calibri,Bold"/>
          <w:bCs/>
        </w:rPr>
        <w:instrText xml:space="preserve"> REF _Ref518174515 \h </w:instrText>
      </w:r>
      <w:r>
        <w:rPr>
          <w:rFonts w:asciiTheme="minorHAnsi" w:hAnsiTheme="minorHAnsi" w:cs="Calibri,Bold"/>
          <w:bCs/>
        </w:rPr>
        <w:instrText xml:space="preserve"> \* MERGEFORMAT </w:instrText>
      </w:r>
      <w:r w:rsidRPr="0087675D">
        <w:rPr>
          <w:rFonts w:asciiTheme="minorHAnsi" w:hAnsiTheme="minorHAnsi" w:cs="Calibri,Bold"/>
          <w:bCs/>
        </w:rPr>
      </w:r>
      <w:r w:rsidRPr="0087675D">
        <w:rPr>
          <w:rFonts w:asciiTheme="minorHAnsi" w:hAnsiTheme="minorHAnsi" w:cs="Calibri,Bold"/>
          <w:bCs/>
        </w:rPr>
        <w:fldChar w:fldCharType="separate"/>
      </w:r>
      <w:r w:rsidR="001A7243" w:rsidRPr="007A5029">
        <w:t xml:space="preserve">Table </w:t>
      </w:r>
      <w:r w:rsidR="001A7243">
        <w:rPr>
          <w:noProof/>
        </w:rPr>
        <w:t>1</w:t>
      </w:r>
      <w:r w:rsidRPr="0087675D">
        <w:rPr>
          <w:rFonts w:asciiTheme="minorHAnsi" w:hAnsiTheme="minorHAnsi" w:cs="Calibri,Bold"/>
          <w:bCs/>
        </w:rPr>
        <w:fldChar w:fldCharType="end"/>
      </w:r>
      <w:r>
        <w:rPr>
          <w:rFonts w:asciiTheme="minorHAnsi" w:hAnsiTheme="minorHAnsi" w:cs="Calibri,Bold"/>
          <w:bCs/>
        </w:rPr>
        <w:t>.</w:t>
      </w:r>
      <w:r w:rsidDel="00235B29">
        <w:rPr>
          <w:rFonts w:asciiTheme="minorHAnsi" w:hAnsiTheme="minorHAnsi" w:cs="Calibri,Bold"/>
          <w:bCs/>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552375" w:rsidRPr="006B77BB" w:rsidDel="00D5390D" w14:paraId="40674E00" w14:textId="77777777" w:rsidTr="00897081">
        <w:trPr>
          <w:tblHeader/>
        </w:trPr>
        <w:tc>
          <w:tcPr>
            <w:tcW w:w="9072" w:type="dxa"/>
            <w:tcBorders>
              <w:top w:val="single" w:sz="4" w:space="0" w:color="1C556C"/>
              <w:left w:val="single" w:sz="4" w:space="0" w:color="1C556C"/>
              <w:bottom w:val="nil"/>
              <w:right w:val="single" w:sz="4" w:space="0" w:color="1C556C"/>
            </w:tcBorders>
            <w:shd w:val="clear" w:color="auto" w:fill="1C556C"/>
            <w:vAlign w:val="center"/>
          </w:tcPr>
          <w:p w14:paraId="0FEE34AB" w14:textId="741AA3CF" w:rsidR="00552375" w:rsidRPr="006B77BB" w:rsidDel="00D5390D" w:rsidRDefault="00552375" w:rsidP="00552375">
            <w:pPr>
              <w:pStyle w:val="Casestudyheading"/>
            </w:pPr>
            <w:bookmarkStart w:id="18" w:name="casestudy1"/>
            <w:r>
              <w:lastRenderedPageBreak/>
              <w:t xml:space="preserve">case study </w:t>
            </w:r>
            <w:r w:rsidR="00897081">
              <w:t>–</w:t>
            </w:r>
            <w:r>
              <w:t xml:space="preserve"> Deriving nutrient targets for the HORIZONS one plan</w:t>
            </w:r>
            <w:bookmarkEnd w:id="18"/>
          </w:p>
        </w:tc>
      </w:tr>
      <w:tr w:rsidR="00552375" w:rsidRPr="005831A7" w14:paraId="729224AD" w14:textId="77777777" w:rsidTr="00897081">
        <w:trPr>
          <w:tblHeader/>
        </w:trPr>
        <w:tc>
          <w:tcPr>
            <w:tcW w:w="9072" w:type="dxa"/>
            <w:tcBorders>
              <w:top w:val="nil"/>
              <w:left w:val="single" w:sz="4" w:space="0" w:color="D2DDE2"/>
              <w:bottom w:val="single" w:sz="4" w:space="0" w:color="D2DDE2"/>
              <w:right w:val="single" w:sz="4" w:space="0" w:color="D2DDE2"/>
            </w:tcBorders>
            <w:shd w:val="clear" w:color="auto" w:fill="D2DDE2"/>
          </w:tcPr>
          <w:p w14:paraId="56283396" w14:textId="77777777" w:rsidR="00552375" w:rsidRDefault="00552375" w:rsidP="00897081">
            <w:pPr>
              <w:pStyle w:val="Blueboxtext"/>
            </w:pPr>
            <w:r>
              <w:t xml:space="preserve">The nutrient targets in the Horizons </w:t>
            </w:r>
            <w:r w:rsidRPr="009A4F13">
              <w:t>Regional</w:t>
            </w:r>
            <w:r>
              <w:t xml:space="preserve"> Council One Plan (Horizons Regional Council, 2014) were largely based on the potential stimulation of nuisance periphyton growth by dissolved inorganic nitrogen (DIN) and phosphorus (DRP). Periphyton proliferations were regarded as a primary symptom of excessive nutrient input to streams and rivers and to have deleterious effects on ecological, cultural and socio-economic values.</w:t>
            </w:r>
          </w:p>
          <w:p w14:paraId="5F4FD64F" w14:textId="48855DBD" w:rsidR="00552375" w:rsidRDefault="00552375" w:rsidP="00897081">
            <w:pPr>
              <w:pStyle w:val="Blueboxtext"/>
            </w:pPr>
            <w:r>
              <w:t xml:space="preserve">The threshold values set for maximum periphyton biomass (chlorophyll </w:t>
            </w:r>
            <w:r w:rsidRPr="00A46736">
              <w:rPr>
                <w:i/>
              </w:rPr>
              <w:t>a</w:t>
            </w:r>
            <w:r>
              <w:t>) in the One Plan were 50 mg/m</w:t>
            </w:r>
            <w:r w:rsidRPr="002D503D">
              <w:rPr>
                <w:vertAlign w:val="superscript"/>
              </w:rPr>
              <w:t>2</w:t>
            </w:r>
            <w:r>
              <w:t xml:space="preserve"> for upland areas with currently low nutrient levels and high potential for benthic biodiversity; 120 mg/m</w:t>
            </w:r>
            <w:r w:rsidRPr="002D503D">
              <w:rPr>
                <w:vertAlign w:val="superscript"/>
              </w:rPr>
              <w:t>2</w:t>
            </w:r>
            <w:r>
              <w:t xml:space="preserve"> for hill country areas with moderate nutrient levels that are currently agriculturally productive and potentially high trout fishery values; and 200 mg/m</w:t>
            </w:r>
            <w:r w:rsidRPr="002D503D">
              <w:rPr>
                <w:vertAlign w:val="superscript"/>
              </w:rPr>
              <w:t>2</w:t>
            </w:r>
            <w:r>
              <w:t xml:space="preserve"> for</w:t>
            </w:r>
            <w:r w:rsidR="001D649C">
              <w:t> </w:t>
            </w:r>
            <w:r>
              <w:t>lowland areas, naturally P-enriched catchments and soft-sediment geology.</w:t>
            </w:r>
          </w:p>
          <w:p w14:paraId="14DD8638" w14:textId="77777777" w:rsidR="00552375" w:rsidRPr="006B77BB" w:rsidRDefault="00552375" w:rsidP="00897081">
            <w:pPr>
              <w:pStyle w:val="Blueboxtext"/>
              <w:spacing w:after="80"/>
            </w:pPr>
            <w:r>
              <w:t>The corresponding nutrient targets were based on consideration of:</w:t>
            </w:r>
          </w:p>
          <w:p w14:paraId="1172CCF1" w14:textId="609FAE4A" w:rsidR="00552375" w:rsidRPr="002D503D" w:rsidRDefault="00552375" w:rsidP="00897081">
            <w:pPr>
              <w:pStyle w:val="Blue-boxbullet"/>
              <w:spacing w:after="80"/>
              <w:rPr>
                <w:bCs/>
                <w:iCs/>
                <w:color w:val="595959"/>
              </w:rPr>
            </w:pPr>
            <w:r>
              <w:t>model predictions of concentrations that cause periphyton proliferations (from Biggs,</w:t>
            </w:r>
            <w:r w:rsidR="001D649C">
              <w:t> </w:t>
            </w:r>
            <w:r>
              <w:t>2000)</w:t>
            </w:r>
          </w:p>
          <w:p w14:paraId="7C2CEEAC" w14:textId="77777777" w:rsidR="00552375" w:rsidRPr="002D503D" w:rsidRDefault="00552375" w:rsidP="00897081">
            <w:pPr>
              <w:pStyle w:val="Blue-boxbullet"/>
              <w:spacing w:after="80"/>
              <w:rPr>
                <w:bCs/>
                <w:iCs/>
                <w:color w:val="595959"/>
              </w:rPr>
            </w:pPr>
            <w:r>
              <w:t>expert opinion</w:t>
            </w:r>
            <w:r w:rsidRPr="00FC65D9">
              <w:rPr>
                <w:rFonts w:asciiTheme="minorHAnsi" w:hAnsiTheme="minorHAnsi" w:cs="Arial"/>
              </w:rPr>
              <w:t xml:space="preserve"> </w:t>
            </w:r>
            <w:r>
              <w:rPr>
                <w:rFonts w:asciiTheme="minorHAnsi" w:hAnsiTheme="minorHAnsi" w:cs="Arial"/>
              </w:rPr>
              <w:t>(</w:t>
            </w:r>
            <w:r w:rsidRPr="00FC65D9">
              <w:rPr>
                <w:rFonts w:asciiTheme="minorHAnsi" w:hAnsiTheme="minorHAnsi" w:cs="Arial"/>
              </w:rPr>
              <w:t>primarily for subzones in which the</w:t>
            </w:r>
            <w:r>
              <w:rPr>
                <w:rFonts w:asciiTheme="minorHAnsi" w:hAnsiTheme="minorHAnsi" w:cs="Arial"/>
              </w:rPr>
              <w:t xml:space="preserve"> </w:t>
            </w:r>
            <w:r w:rsidRPr="00FC65D9">
              <w:rPr>
                <w:rFonts w:asciiTheme="minorHAnsi" w:hAnsiTheme="minorHAnsi" w:cs="Arial"/>
              </w:rPr>
              <w:t>model did not apply)</w:t>
            </w:r>
          </w:p>
          <w:p w14:paraId="62CD345E" w14:textId="77777777" w:rsidR="00552375" w:rsidRDefault="00552375" w:rsidP="00897081">
            <w:pPr>
              <w:pStyle w:val="Blue-boxbullet"/>
              <w:spacing w:after="80"/>
              <w:rPr>
                <w:rFonts w:asciiTheme="minorHAnsi" w:hAnsiTheme="minorHAnsi" w:cs="Arial"/>
              </w:rPr>
            </w:pPr>
            <w:r>
              <w:rPr>
                <w:rFonts w:asciiTheme="minorHAnsi" w:hAnsiTheme="minorHAnsi" w:cs="Arial"/>
              </w:rPr>
              <w:t>o</w:t>
            </w:r>
            <w:r w:rsidRPr="00FC65D9">
              <w:rPr>
                <w:rFonts w:asciiTheme="minorHAnsi" w:hAnsiTheme="minorHAnsi" w:cs="Arial"/>
              </w:rPr>
              <w:t>bserved mean monthl</w:t>
            </w:r>
            <w:r>
              <w:rPr>
                <w:rFonts w:asciiTheme="minorHAnsi" w:hAnsiTheme="minorHAnsi" w:cs="Arial"/>
              </w:rPr>
              <w:t>y concentrations in summer (October–</w:t>
            </w:r>
            <w:r w:rsidRPr="00FC65D9">
              <w:rPr>
                <w:rFonts w:asciiTheme="minorHAnsi" w:hAnsiTheme="minorHAnsi" w:cs="Arial"/>
              </w:rPr>
              <w:t>April)</w:t>
            </w:r>
            <w:r>
              <w:rPr>
                <w:rFonts w:asciiTheme="minorHAnsi" w:hAnsiTheme="minorHAnsi" w:cs="Arial"/>
              </w:rPr>
              <w:t xml:space="preserve"> (where available)</w:t>
            </w:r>
          </w:p>
          <w:p w14:paraId="755EEBF6" w14:textId="77777777" w:rsidR="00552375" w:rsidRPr="002D503D" w:rsidRDefault="00552375" w:rsidP="00897081">
            <w:pPr>
              <w:pStyle w:val="Blue-boxbullet"/>
              <w:spacing w:after="80"/>
              <w:rPr>
                <w:rFonts w:asciiTheme="minorHAnsi" w:hAnsiTheme="minorHAnsi" w:cs="Arial"/>
              </w:rPr>
            </w:pPr>
            <w:r>
              <w:rPr>
                <w:rFonts w:asciiTheme="minorHAnsi" w:hAnsiTheme="minorHAnsi" w:cs="Arial"/>
              </w:rPr>
              <w:t>y</w:t>
            </w:r>
            <w:r w:rsidRPr="002D503D">
              <w:rPr>
                <w:rFonts w:asciiTheme="minorHAnsi" w:hAnsiTheme="minorHAnsi" w:cs="Arial"/>
              </w:rPr>
              <w:t>ear-round mean concentrations (where available)</w:t>
            </w:r>
            <w:r>
              <w:rPr>
                <w:rFonts w:asciiTheme="minorHAnsi" w:hAnsiTheme="minorHAnsi" w:cs="Arial"/>
              </w:rPr>
              <w:t>.</w:t>
            </w:r>
          </w:p>
          <w:p w14:paraId="558F3932" w14:textId="77777777" w:rsidR="00552375" w:rsidRPr="005831A7" w:rsidRDefault="00552375" w:rsidP="00897081">
            <w:pPr>
              <w:pStyle w:val="Blueboxtext"/>
              <w:spacing w:after="240"/>
            </w:pPr>
            <w:r w:rsidRPr="002D503D">
              <w:rPr>
                <w:bCs/>
                <w:iCs/>
              </w:rPr>
              <w:t xml:space="preserve">In addition, </w:t>
            </w:r>
            <w:r w:rsidRPr="002D503D">
              <w:t>a region</w:t>
            </w:r>
            <w:r>
              <w:t>-</w:t>
            </w:r>
            <w:r w:rsidRPr="002D503D">
              <w:t xml:space="preserve">wide </w:t>
            </w:r>
            <w:r w:rsidRPr="00FC65D9">
              <w:t xml:space="preserve">rule was applied that downstream </w:t>
            </w:r>
            <w:r>
              <w:t>target</w:t>
            </w:r>
            <w:r w:rsidRPr="00FC65D9">
              <w:t xml:space="preserve">s </w:t>
            </w:r>
            <w:r>
              <w:t xml:space="preserve">were to </w:t>
            </w:r>
            <w:r w:rsidRPr="00FC65D9">
              <w:t xml:space="preserve">take precedence over upstream </w:t>
            </w:r>
            <w:r>
              <w:t>targets</w:t>
            </w:r>
            <w:r w:rsidRPr="00FC65D9">
              <w:t xml:space="preserve"> (i</w:t>
            </w:r>
            <w:r>
              <w:t>e,</w:t>
            </w:r>
            <w:r w:rsidRPr="00FC65D9">
              <w:t xml:space="preserve"> a tributary must have the same or more stringent standard than </w:t>
            </w:r>
            <w:r>
              <w:t xml:space="preserve">the </w:t>
            </w:r>
            <w:r w:rsidRPr="00FC65D9">
              <w:t xml:space="preserve">mainstem it feeds) and </w:t>
            </w:r>
            <w:r>
              <w:t>targets</w:t>
            </w:r>
            <w:r w:rsidRPr="00FC65D9">
              <w:t xml:space="preserve"> were relaxed at some sites where there was a clear</w:t>
            </w:r>
            <w:r>
              <w:t xml:space="preserve"> </w:t>
            </w:r>
            <w:r w:rsidRPr="00FC65D9">
              <w:t>indication that one nutrient was likely to be more frequently limiting periphyton growth</w:t>
            </w:r>
            <w:r>
              <w:t xml:space="preserve">. </w:t>
            </w:r>
            <w:r w:rsidRPr="00FC0B6D">
              <w:t xml:space="preserve">The DIN </w:t>
            </w:r>
            <w:r>
              <w:t>targets</w:t>
            </w:r>
            <w:r w:rsidRPr="00FC0B6D">
              <w:t xml:space="preserve"> adopte</w:t>
            </w:r>
            <w:r w:rsidRPr="00D05610">
              <w:t>d were one of the following: 70, 110, 167 or 444 mg/m</w:t>
            </w:r>
            <w:r w:rsidRPr="00D05610">
              <w:rPr>
                <w:vertAlign w:val="superscript"/>
              </w:rPr>
              <w:t>3</w:t>
            </w:r>
            <w:r w:rsidRPr="00D05610">
              <w:t xml:space="preserve">. The DRP </w:t>
            </w:r>
            <w:r>
              <w:t>targets</w:t>
            </w:r>
            <w:r w:rsidRPr="00D05610">
              <w:t xml:space="preserve"> adopted were one of the following: 6, 10 or 15 mg/m</w:t>
            </w:r>
            <w:r w:rsidRPr="00D05610">
              <w:rPr>
                <w:vertAlign w:val="superscript"/>
              </w:rPr>
              <w:t>3</w:t>
            </w:r>
            <w:r>
              <w:t xml:space="preserve">. </w:t>
            </w:r>
            <w:r w:rsidRPr="00FC0B6D">
              <w:t xml:space="preserve">The </w:t>
            </w:r>
            <w:r>
              <w:t>targets</w:t>
            </w:r>
            <w:r w:rsidRPr="00FC0B6D">
              <w:t xml:space="preserve"> refer to the annual average concentration of DIN or DRP when the river flow is at or below </w:t>
            </w:r>
            <w:r w:rsidRPr="00182398">
              <w:t>the 20th flow</w:t>
            </w:r>
            <w:r>
              <w:t xml:space="preserve"> percentile</w:t>
            </w:r>
            <w:r w:rsidRPr="00FC0B6D">
              <w:t xml:space="preserve">, unless natural levels already exceed this </w:t>
            </w:r>
            <w:r>
              <w:t>target</w:t>
            </w:r>
            <w:r w:rsidRPr="00FC0B6D">
              <w:t>.</w:t>
            </w:r>
            <w:r>
              <w:t xml:space="preserve"> For further information on how the nutrient targets were derived see Ausseil and Clark (2007).</w:t>
            </w:r>
          </w:p>
        </w:tc>
      </w:tr>
    </w:tbl>
    <w:p w14:paraId="6B96082A" w14:textId="6673C2F6" w:rsidR="00552375" w:rsidRPr="007A5029" w:rsidRDefault="00552375" w:rsidP="001D649C">
      <w:pPr>
        <w:pStyle w:val="Tableheading"/>
        <w:spacing w:before="360"/>
      </w:pPr>
      <w:bookmarkStart w:id="19" w:name="_Ref518174515"/>
      <w:bookmarkStart w:id="20" w:name="_Toc519683018"/>
      <w:bookmarkStart w:id="21" w:name="_Toc520810473"/>
      <w:bookmarkStart w:id="22" w:name="_Toc520810677"/>
      <w:bookmarkStart w:id="23" w:name="_Toc520898750"/>
      <w:bookmarkStart w:id="24" w:name="_Toc73713297"/>
      <w:r w:rsidRPr="007A5029">
        <w:t xml:space="preserve">Table </w:t>
      </w:r>
      <w:fldSimple w:instr=" SEQ Table \* ARABIC ">
        <w:r w:rsidR="001A7243">
          <w:rPr>
            <w:noProof/>
          </w:rPr>
          <w:t>1</w:t>
        </w:r>
      </w:fldSimple>
      <w:bookmarkEnd w:id="19"/>
      <w:r w:rsidRPr="007A5029">
        <w:t>:</w:t>
      </w:r>
      <w:r>
        <w:t xml:space="preserve"> </w:t>
      </w:r>
      <w:r>
        <w:tab/>
        <w:t>Recommended approach to use of existing guidelines and models for setting</w:t>
      </w:r>
      <w:r w:rsidR="00897081">
        <w:t> </w:t>
      </w:r>
      <w:r>
        <w:t>nutrient</w:t>
      </w:r>
      <w:r w:rsidR="00897081">
        <w:t> </w:t>
      </w:r>
      <w:r>
        <w:t>criteria</w:t>
      </w:r>
      <w:bookmarkEnd w:id="20"/>
      <w:bookmarkEnd w:id="21"/>
      <w:bookmarkEnd w:id="22"/>
      <w:bookmarkEnd w:id="23"/>
      <w:bookmarkEnd w:id="24"/>
    </w:p>
    <w:tbl>
      <w:tblPr>
        <w:tblStyle w:val="TableGrid"/>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808"/>
        <w:gridCol w:w="5754"/>
      </w:tblGrid>
      <w:tr w:rsidR="00552375" w:rsidRPr="00397EE8" w14:paraId="3085DFD8" w14:textId="77777777" w:rsidTr="00897081">
        <w:trPr>
          <w:tblHeader/>
        </w:trPr>
        <w:tc>
          <w:tcPr>
            <w:tcW w:w="1640" w:type="pct"/>
            <w:shd w:val="clear" w:color="auto" w:fill="1C556C" w:themeFill="accent1"/>
          </w:tcPr>
          <w:p w14:paraId="75C43541" w14:textId="77777777" w:rsidR="00552375" w:rsidRPr="00397EE8" w:rsidRDefault="00552375" w:rsidP="00552375">
            <w:pPr>
              <w:pStyle w:val="TableText"/>
              <w:rPr>
                <w:b/>
                <w:color w:val="FFFFFF" w:themeColor="background1"/>
              </w:rPr>
            </w:pPr>
            <w:r w:rsidRPr="00397EE8">
              <w:rPr>
                <w:b/>
                <w:color w:val="FFFFFF" w:themeColor="background1"/>
              </w:rPr>
              <w:t>Existing guideline or model</w:t>
            </w:r>
          </w:p>
        </w:tc>
        <w:tc>
          <w:tcPr>
            <w:tcW w:w="3360" w:type="pct"/>
            <w:shd w:val="clear" w:color="auto" w:fill="1C556C" w:themeFill="accent1"/>
          </w:tcPr>
          <w:p w14:paraId="033C0484" w14:textId="77777777" w:rsidR="00552375" w:rsidRPr="00397EE8" w:rsidRDefault="00552375" w:rsidP="00552375">
            <w:pPr>
              <w:pStyle w:val="TableText"/>
              <w:rPr>
                <w:b/>
                <w:color w:val="FFFFFF" w:themeColor="background1"/>
              </w:rPr>
            </w:pPr>
            <w:r w:rsidRPr="00397EE8">
              <w:rPr>
                <w:b/>
                <w:color w:val="FFFFFF" w:themeColor="background1"/>
              </w:rPr>
              <w:t>Recommended approach</w:t>
            </w:r>
          </w:p>
        </w:tc>
      </w:tr>
      <w:tr w:rsidR="00552375" w:rsidRPr="006B4810" w14:paraId="40F426DF" w14:textId="77777777" w:rsidTr="00897081">
        <w:tc>
          <w:tcPr>
            <w:tcW w:w="1640" w:type="pct"/>
            <w:shd w:val="clear" w:color="auto" w:fill="auto"/>
          </w:tcPr>
          <w:p w14:paraId="1AE93B8A" w14:textId="77777777" w:rsidR="00552375" w:rsidRPr="006B4810" w:rsidRDefault="00552375" w:rsidP="00552375">
            <w:pPr>
              <w:pStyle w:val="TableText"/>
            </w:pPr>
            <w:r>
              <w:t>Ministry for the Environment (1992)</w:t>
            </w:r>
          </w:p>
        </w:tc>
        <w:tc>
          <w:tcPr>
            <w:tcW w:w="3360" w:type="pct"/>
          </w:tcPr>
          <w:p w14:paraId="009DCDFE" w14:textId="6727408A" w:rsidR="00552375" w:rsidRPr="006B4810" w:rsidRDefault="00552375" w:rsidP="00552375">
            <w:pPr>
              <w:pStyle w:val="TableText"/>
            </w:pPr>
            <w:r>
              <w:t>This guideline’s focus was on dissolved organic material management to</w:t>
            </w:r>
            <w:r w:rsidR="0065432A">
              <w:t> </w:t>
            </w:r>
            <w:r>
              <w:t>control sewage fungus, but provides a general indication of nutrient concentrations required to limit periphyton biomass. The latter have been</w:t>
            </w:r>
            <w:r w:rsidR="0065432A">
              <w:t> </w:t>
            </w:r>
            <w:r>
              <w:t xml:space="preserve">superseded by more recent work. </w:t>
            </w:r>
          </w:p>
        </w:tc>
      </w:tr>
      <w:tr w:rsidR="00552375" w:rsidRPr="006B4810" w14:paraId="3B54BC82" w14:textId="77777777" w:rsidTr="00897081">
        <w:tc>
          <w:tcPr>
            <w:tcW w:w="1640" w:type="pct"/>
            <w:shd w:val="clear" w:color="auto" w:fill="auto"/>
          </w:tcPr>
          <w:p w14:paraId="7184092F" w14:textId="77777777" w:rsidR="00552375" w:rsidRPr="006B4810" w:rsidRDefault="00552375" w:rsidP="00552375">
            <w:pPr>
              <w:pStyle w:val="TableText"/>
            </w:pPr>
            <w:r>
              <w:t>Biggs (2000)</w:t>
            </w:r>
          </w:p>
        </w:tc>
        <w:tc>
          <w:tcPr>
            <w:tcW w:w="3360" w:type="pct"/>
          </w:tcPr>
          <w:p w14:paraId="71614303" w14:textId="3F72D6B4" w:rsidR="00552375" w:rsidRPr="00182398" w:rsidRDefault="00552375" w:rsidP="00182398">
            <w:pPr>
              <w:pStyle w:val="TableText"/>
            </w:pPr>
            <w:r w:rsidRPr="00182398">
              <w:t>This guideline is based on two linear regression models derived from 30</w:t>
            </w:r>
            <w:r w:rsidR="0065432A">
              <w:t> </w:t>
            </w:r>
            <w:r w:rsidRPr="00182398">
              <w:t>hill-fed, cobble-bed N</w:t>
            </w:r>
            <w:r w:rsidR="004378AD">
              <w:t xml:space="preserve">ew </w:t>
            </w:r>
            <w:r w:rsidRPr="00182398">
              <w:t>Z</w:t>
            </w:r>
            <w:r w:rsidR="004378AD">
              <w:t>ealand</w:t>
            </w:r>
            <w:r w:rsidRPr="00182398">
              <w:t xml:space="preserve"> rivers. The models have been used to inform interim nutrient criteria for periphyton management (see case study). The</w:t>
            </w:r>
            <w:r w:rsidR="0065432A">
              <w:t> </w:t>
            </w:r>
            <w:r w:rsidRPr="00182398">
              <w:t>basic form of these models can be used and modified to include other variables if necessary to develop region-specific models (see Kilroy et al., 2017, 2018)</w:t>
            </w:r>
            <w:r w:rsidR="00DD47E9" w:rsidRPr="00182398">
              <w:t xml:space="preserve"> </w:t>
            </w:r>
          </w:p>
        </w:tc>
      </w:tr>
      <w:tr w:rsidR="00552375" w:rsidRPr="006B4810" w14:paraId="0C1D8BA6" w14:textId="77777777" w:rsidTr="00897081">
        <w:tc>
          <w:tcPr>
            <w:tcW w:w="1640" w:type="pct"/>
            <w:shd w:val="clear" w:color="auto" w:fill="auto"/>
          </w:tcPr>
          <w:p w14:paraId="3CD088CA" w14:textId="77777777" w:rsidR="00552375" w:rsidRPr="006B4810" w:rsidRDefault="00552375" w:rsidP="00552375">
            <w:pPr>
              <w:pStyle w:val="TableText"/>
            </w:pPr>
            <w:r>
              <w:t>Rutherford (2011, 2012, 2013a, 2013b)</w:t>
            </w:r>
          </w:p>
        </w:tc>
        <w:tc>
          <w:tcPr>
            <w:tcW w:w="3360" w:type="pct"/>
          </w:tcPr>
          <w:p w14:paraId="271C84C0" w14:textId="77777777" w:rsidR="00552375" w:rsidRPr="00182398" w:rsidRDefault="00552375" w:rsidP="00182398">
            <w:pPr>
              <w:pStyle w:val="TableText"/>
            </w:pPr>
            <w:r w:rsidRPr="00182398">
              <w:t>The process-based TRIM model has been developed for the Tukituki River to predict changes in dissolved nutrient concentrations associated with land and wastewater management scenarios and resultant effects on periphyton biomass. The model could be applied in other river systems subject to satisfactory testing and validation.</w:t>
            </w:r>
          </w:p>
        </w:tc>
      </w:tr>
      <w:tr w:rsidR="00552375" w:rsidRPr="006B4810" w14:paraId="09EAE00F" w14:textId="77777777" w:rsidTr="00897081">
        <w:trPr>
          <w:trHeight w:val="1240"/>
        </w:trPr>
        <w:tc>
          <w:tcPr>
            <w:tcW w:w="1640" w:type="pct"/>
            <w:shd w:val="clear" w:color="auto" w:fill="auto"/>
          </w:tcPr>
          <w:p w14:paraId="6483273C" w14:textId="77777777" w:rsidR="00552375" w:rsidRPr="00F55844" w:rsidRDefault="00552375" w:rsidP="00F55844">
            <w:pPr>
              <w:pStyle w:val="TableText"/>
            </w:pPr>
            <w:r w:rsidRPr="00F55844">
              <w:lastRenderedPageBreak/>
              <w:t>Matheson et al. (2012)</w:t>
            </w:r>
          </w:p>
        </w:tc>
        <w:tc>
          <w:tcPr>
            <w:tcW w:w="3360" w:type="pct"/>
          </w:tcPr>
          <w:p w14:paraId="16851106" w14:textId="37B9E584" w:rsidR="00552375" w:rsidRPr="006B4810" w:rsidRDefault="00552375" w:rsidP="00897081">
            <w:pPr>
              <w:pStyle w:val="TableText"/>
            </w:pPr>
            <w:r>
              <w:t>This guideline contains a</w:t>
            </w:r>
            <w:r w:rsidRPr="00857C0E">
              <w:t xml:space="preserve"> Bayesian Network model</w:t>
            </w:r>
            <w:r w:rsidR="00697E90">
              <w:t>,</w:t>
            </w:r>
            <w:r w:rsidRPr="00857C0E">
              <w:t xml:space="preserve"> </w:t>
            </w:r>
            <w:r>
              <w:t>which gives</w:t>
            </w:r>
            <w:r w:rsidRPr="00857C0E">
              <w:t xml:space="preserve"> a general indication of </w:t>
            </w:r>
            <w:r w:rsidR="009B0E7B" w:rsidRPr="009679E2">
              <w:rPr>
                <w:rFonts w:asciiTheme="minorHAnsi" w:hAnsiTheme="minorHAnsi"/>
              </w:rPr>
              <w:t xml:space="preserve">dissolved inorganic nitrogen </w:t>
            </w:r>
            <w:r w:rsidR="009B0E7B">
              <w:rPr>
                <w:rFonts w:asciiTheme="minorHAnsi" w:hAnsiTheme="minorHAnsi"/>
              </w:rPr>
              <w:t>(</w:t>
            </w:r>
            <w:r w:rsidRPr="00857C0E">
              <w:t>DIN</w:t>
            </w:r>
            <w:r w:rsidR="009B0E7B">
              <w:t>)</w:t>
            </w:r>
            <w:r w:rsidRPr="00857C0E">
              <w:t xml:space="preserve"> and </w:t>
            </w:r>
            <w:r w:rsidR="002A3B4F" w:rsidRPr="009679E2">
              <w:rPr>
                <w:rFonts w:asciiTheme="minorHAnsi" w:hAnsiTheme="minorHAnsi"/>
              </w:rPr>
              <w:t xml:space="preserve">dissolved reactive phosphorus </w:t>
            </w:r>
            <w:r w:rsidR="002A3B4F">
              <w:rPr>
                <w:rFonts w:asciiTheme="minorHAnsi" w:hAnsiTheme="minorHAnsi"/>
              </w:rPr>
              <w:t>(</w:t>
            </w:r>
            <w:r w:rsidRPr="00857C0E">
              <w:t>DRP</w:t>
            </w:r>
            <w:r w:rsidR="002A3B4F">
              <w:t>)</w:t>
            </w:r>
            <w:r w:rsidRPr="00857C0E">
              <w:t xml:space="preserve"> concentrations likely to align approximately with NPS</w:t>
            </w:r>
            <w:r w:rsidR="002A3B4F">
              <w:noBreakHyphen/>
            </w:r>
            <w:r w:rsidRPr="00857C0E">
              <w:t>FM periphyton attribute bands A</w:t>
            </w:r>
            <w:r w:rsidR="00697E90">
              <w:t>–</w:t>
            </w:r>
            <w:r w:rsidRPr="00857C0E">
              <w:t>D</w:t>
            </w:r>
            <w:r>
              <w:t xml:space="preserve"> (the model is based on periphyton cover not biomass)</w:t>
            </w:r>
            <w:r w:rsidRPr="00857C0E">
              <w:t>.</w:t>
            </w:r>
            <w:r w:rsidR="00DD47E9">
              <w:t xml:space="preserve"> </w:t>
            </w:r>
            <w:r w:rsidRPr="00857C0E">
              <w:t xml:space="preserve">The model </w:t>
            </w:r>
            <w:r>
              <w:t>guides</w:t>
            </w:r>
            <w:r w:rsidRPr="00857C0E">
              <w:t xml:space="preserve"> on other factors that are likely to control periphyton biomass and may be useful as an exploratory tool. </w:t>
            </w:r>
          </w:p>
        </w:tc>
      </w:tr>
      <w:tr w:rsidR="00552375" w:rsidRPr="006B4810" w14:paraId="6D7C919E" w14:textId="77777777" w:rsidTr="00897081">
        <w:tc>
          <w:tcPr>
            <w:tcW w:w="1640" w:type="pct"/>
            <w:shd w:val="clear" w:color="auto" w:fill="auto"/>
          </w:tcPr>
          <w:p w14:paraId="12A260DD" w14:textId="77777777" w:rsidR="00552375" w:rsidRPr="00F55844" w:rsidRDefault="00552375" w:rsidP="00F55844">
            <w:pPr>
              <w:pStyle w:val="TableText"/>
            </w:pPr>
            <w:r w:rsidRPr="00F55844">
              <w:t>Larned et al. (2015), Elliott et al. (2016)</w:t>
            </w:r>
          </w:p>
        </w:tc>
        <w:tc>
          <w:tcPr>
            <w:tcW w:w="3360" w:type="pct"/>
          </w:tcPr>
          <w:p w14:paraId="7A6AC7B6" w14:textId="6ADA5CC6" w:rsidR="00552375" w:rsidRPr="006B4810" w:rsidRDefault="00552375" w:rsidP="00897081">
            <w:pPr>
              <w:pStyle w:val="TableText"/>
            </w:pPr>
            <w:r>
              <w:t xml:space="preserve">These broad-scale models, developed using the National River Water Quality Network dataset and periphyton cover as a proxy for biomass, and the subject of ongoing work, could be used to derive nutrient criteria in </w:t>
            </w:r>
            <w:r w:rsidR="00697E90">
              <w:t>freshwater management units (</w:t>
            </w:r>
            <w:r>
              <w:t>FMUs</w:t>
            </w:r>
            <w:r w:rsidR="00697E90">
              <w:t>)</w:t>
            </w:r>
            <w:r>
              <w:t xml:space="preserve"> if they can be shown to accurately predict current state.</w:t>
            </w:r>
          </w:p>
        </w:tc>
      </w:tr>
      <w:tr w:rsidR="00552375" w:rsidRPr="006B4810" w14:paraId="6534ACC6" w14:textId="77777777" w:rsidTr="00897081">
        <w:tc>
          <w:tcPr>
            <w:tcW w:w="1640" w:type="pct"/>
            <w:shd w:val="clear" w:color="auto" w:fill="auto"/>
          </w:tcPr>
          <w:p w14:paraId="5EEB4804" w14:textId="77777777" w:rsidR="00552375" w:rsidRPr="00F55844" w:rsidRDefault="00552375" w:rsidP="00F55844">
            <w:pPr>
              <w:pStyle w:val="TableText"/>
            </w:pPr>
            <w:r w:rsidRPr="00F55844">
              <w:t>Matheson et al. (2016)</w:t>
            </w:r>
          </w:p>
        </w:tc>
        <w:tc>
          <w:tcPr>
            <w:tcW w:w="3360" w:type="pct"/>
          </w:tcPr>
          <w:p w14:paraId="0336B7C5" w14:textId="1479341A" w:rsidR="00552375" w:rsidRPr="00EC736E" w:rsidRDefault="00552375" w:rsidP="00897081">
            <w:pPr>
              <w:pStyle w:val="TableText"/>
              <w:rPr>
                <w:szCs w:val="18"/>
              </w:rPr>
            </w:pPr>
            <w:r>
              <w:rPr>
                <w:szCs w:val="18"/>
              </w:rPr>
              <w:t>The</w:t>
            </w:r>
            <w:r w:rsidRPr="00EC736E">
              <w:rPr>
                <w:szCs w:val="18"/>
              </w:rPr>
              <w:t xml:space="preserve"> nutrient </w:t>
            </w:r>
            <w:r>
              <w:rPr>
                <w:szCs w:val="18"/>
              </w:rPr>
              <w:t>criteria described in this guideline</w:t>
            </w:r>
            <w:r w:rsidRPr="00EC736E">
              <w:rPr>
                <w:szCs w:val="18"/>
              </w:rPr>
              <w:t xml:space="preserve"> could be used as interim criteria for river sites or segments belonging to REC cool-wet climate classes. Their validity could be tested using regional observations of periphyton and nutrient data if available.</w:t>
            </w:r>
            <w:r>
              <w:rPr>
                <w:szCs w:val="18"/>
              </w:rPr>
              <w:t xml:space="preserve"> Non-linear quantile regression could be explored as an approach to derive nutrient criteria at regional or</w:t>
            </w:r>
            <w:r w:rsidR="00045DD2">
              <w:rPr>
                <w:szCs w:val="18"/>
              </w:rPr>
              <w:t> </w:t>
            </w:r>
            <w:r>
              <w:rPr>
                <w:szCs w:val="18"/>
              </w:rPr>
              <w:t>FMU scale.</w:t>
            </w:r>
          </w:p>
        </w:tc>
      </w:tr>
      <w:tr w:rsidR="00552375" w:rsidRPr="006B4810" w14:paraId="29766C72" w14:textId="77777777" w:rsidTr="00897081">
        <w:tc>
          <w:tcPr>
            <w:tcW w:w="1640" w:type="pct"/>
            <w:shd w:val="clear" w:color="auto" w:fill="auto"/>
          </w:tcPr>
          <w:p w14:paraId="30D50837" w14:textId="77777777" w:rsidR="00552375" w:rsidRPr="00F55844" w:rsidRDefault="00552375" w:rsidP="00F55844">
            <w:pPr>
              <w:pStyle w:val="TableText"/>
            </w:pPr>
            <w:r w:rsidRPr="00F55844">
              <w:t>Storey et al. (2017)</w:t>
            </w:r>
          </w:p>
        </w:tc>
        <w:tc>
          <w:tcPr>
            <w:tcW w:w="3360" w:type="pct"/>
          </w:tcPr>
          <w:p w14:paraId="77A9001E" w14:textId="487DC526" w:rsidR="00552375" w:rsidRDefault="00552375" w:rsidP="00897081">
            <w:pPr>
              <w:pStyle w:val="TableText"/>
              <w:rPr>
                <w:szCs w:val="18"/>
              </w:rPr>
            </w:pPr>
            <w:r>
              <w:rPr>
                <w:szCs w:val="18"/>
              </w:rPr>
              <w:t xml:space="preserve">This Bayesian Network </w:t>
            </w:r>
            <w:r w:rsidRPr="00182398">
              <w:t>model has been developed for the Ruamahanga Whaitua building on information and data in Matheson et al. (2012) and Matheson et al. (2016).</w:t>
            </w:r>
            <w:r w:rsidR="00DD47E9" w:rsidRPr="00182398">
              <w:t xml:space="preserve"> </w:t>
            </w:r>
            <w:r w:rsidRPr="00182398">
              <w:t>The</w:t>
            </w:r>
            <w:r>
              <w:rPr>
                <w:szCs w:val="18"/>
              </w:rPr>
              <w:t xml:space="preserve"> model could potentially be improved and used</w:t>
            </w:r>
            <w:r w:rsidR="00182398">
              <w:rPr>
                <w:szCs w:val="18"/>
              </w:rPr>
              <w:t> </w:t>
            </w:r>
            <w:r>
              <w:rPr>
                <w:szCs w:val="18"/>
              </w:rPr>
              <w:t>to derive nutrient criteria in other regions or FMUs subject to satisfactory validation.</w:t>
            </w:r>
          </w:p>
        </w:tc>
      </w:tr>
      <w:tr w:rsidR="00552375" w:rsidRPr="006B4810" w14:paraId="5A8AD866" w14:textId="77777777" w:rsidTr="00897081">
        <w:tc>
          <w:tcPr>
            <w:tcW w:w="1640" w:type="pct"/>
            <w:shd w:val="clear" w:color="auto" w:fill="auto"/>
          </w:tcPr>
          <w:p w14:paraId="3F2B1A78" w14:textId="77777777" w:rsidR="00552375" w:rsidRPr="00F55844" w:rsidRDefault="00552375" w:rsidP="00F55844">
            <w:pPr>
              <w:pStyle w:val="TableText"/>
            </w:pPr>
            <w:r w:rsidRPr="00F55844">
              <w:t>Kilroy et al. (2017), Kilroy et al. (2018)</w:t>
            </w:r>
          </w:p>
        </w:tc>
        <w:tc>
          <w:tcPr>
            <w:tcW w:w="3360" w:type="pct"/>
          </w:tcPr>
          <w:p w14:paraId="73A34B40" w14:textId="7A43A929" w:rsidR="00552375" w:rsidRPr="00EC736E" w:rsidRDefault="00552375" w:rsidP="00897081">
            <w:pPr>
              <w:pStyle w:val="TableText"/>
              <w:rPr>
                <w:szCs w:val="18"/>
              </w:rPr>
            </w:pPr>
            <w:r>
              <w:rPr>
                <w:szCs w:val="18"/>
              </w:rPr>
              <w:t>Regionally derived statistical models are currently being developed in two</w:t>
            </w:r>
            <w:r w:rsidR="00182398">
              <w:rPr>
                <w:szCs w:val="18"/>
              </w:rPr>
              <w:t> </w:t>
            </w:r>
            <w:r>
              <w:rPr>
                <w:szCs w:val="18"/>
              </w:rPr>
              <w:t>regions to</w:t>
            </w:r>
            <w:r w:rsidRPr="00EC736E">
              <w:rPr>
                <w:szCs w:val="18"/>
              </w:rPr>
              <w:t xml:space="preserve"> </w:t>
            </w:r>
            <w:r>
              <w:rPr>
                <w:szCs w:val="18"/>
              </w:rPr>
              <w:t>support the derivation of</w:t>
            </w:r>
            <w:r w:rsidRPr="00EC736E">
              <w:rPr>
                <w:szCs w:val="18"/>
              </w:rPr>
              <w:t xml:space="preserve"> nutrient criteria for managing to NPS</w:t>
            </w:r>
            <w:r w:rsidR="00182398">
              <w:rPr>
                <w:szCs w:val="18"/>
              </w:rPr>
              <w:noBreakHyphen/>
            </w:r>
            <w:r w:rsidRPr="00EC736E">
              <w:rPr>
                <w:szCs w:val="18"/>
              </w:rPr>
              <w:t>FM periphyton objectives. It may be useful to include shade</w:t>
            </w:r>
            <w:r>
              <w:rPr>
                <w:rStyle w:val="FootnoteReference"/>
                <w:sz w:val="18"/>
                <w:szCs w:val="18"/>
              </w:rPr>
              <w:footnoteReference w:id="4"/>
            </w:r>
            <w:r w:rsidRPr="00EC736E">
              <w:rPr>
                <w:szCs w:val="18"/>
              </w:rPr>
              <w:t xml:space="preserve"> in future models to extend the application of models beyond unshaded locations</w:t>
            </w:r>
            <w:r>
              <w:rPr>
                <w:szCs w:val="18"/>
              </w:rPr>
              <w:t xml:space="preserve"> and to explore the effects of riparian planting.</w:t>
            </w:r>
          </w:p>
        </w:tc>
      </w:tr>
      <w:tr w:rsidR="00532B50" w:rsidRPr="006B4810" w14:paraId="5A0D21B9" w14:textId="77777777" w:rsidTr="00897081">
        <w:tc>
          <w:tcPr>
            <w:tcW w:w="1640" w:type="pct"/>
            <w:shd w:val="clear" w:color="auto" w:fill="auto"/>
          </w:tcPr>
          <w:p w14:paraId="348DA60F" w14:textId="3DB4439C" w:rsidR="00532B50" w:rsidRPr="00236E0A" w:rsidRDefault="00532B50" w:rsidP="00532B50">
            <w:pPr>
              <w:pStyle w:val="TableText"/>
              <w:rPr>
                <w:highlight w:val="yellow"/>
              </w:rPr>
            </w:pPr>
            <w:r w:rsidRPr="006E2890">
              <w:t>Ministry for the Environment (2020)</w:t>
            </w:r>
          </w:p>
        </w:tc>
        <w:tc>
          <w:tcPr>
            <w:tcW w:w="3360" w:type="pct"/>
          </w:tcPr>
          <w:p w14:paraId="39284C8A" w14:textId="759C4B78" w:rsidR="00532B50" w:rsidRPr="00236E0A" w:rsidRDefault="00532B50" w:rsidP="00897081">
            <w:pPr>
              <w:pStyle w:val="TableText"/>
              <w:rPr>
                <w:szCs w:val="18"/>
                <w:highlight w:val="yellow"/>
              </w:rPr>
            </w:pPr>
            <w:r w:rsidRPr="002126AA">
              <w:t>A nationally</w:t>
            </w:r>
            <w:r w:rsidR="00F55844">
              <w:t xml:space="preserve"> </w:t>
            </w:r>
            <w:r w:rsidRPr="002126AA">
              <w:t>derived risk</w:t>
            </w:r>
            <w:r w:rsidR="00F55844">
              <w:t>-</w:t>
            </w:r>
            <w:r w:rsidRPr="002126AA">
              <w:t>based</w:t>
            </w:r>
            <w:r w:rsidR="004353B0" w:rsidRPr="00751C40">
              <w:t xml:space="preserve"> spatial exceedance criteria</w:t>
            </w:r>
            <w:r w:rsidRPr="00751C40">
              <w:t xml:space="preserve"> derived for specific </w:t>
            </w:r>
            <w:r w:rsidR="006E2890">
              <w:t>river environment classification (</w:t>
            </w:r>
            <w:r w:rsidRPr="00751C40">
              <w:t>REC</w:t>
            </w:r>
            <w:r w:rsidR="006E2890">
              <w:t>)</w:t>
            </w:r>
            <w:r w:rsidRPr="00751C40">
              <w:t xml:space="preserve"> classes around the country</w:t>
            </w:r>
            <w:r w:rsidR="0014409E">
              <w:t>,</w:t>
            </w:r>
            <w:r w:rsidRPr="00751C40">
              <w:t xml:space="preserve"> based on Snelder et al</w:t>
            </w:r>
            <w:r w:rsidR="00AD0293">
              <w:t>.</w:t>
            </w:r>
            <w:r w:rsidR="004219CB">
              <w:t xml:space="preserve"> (2019)</w:t>
            </w:r>
            <w:r w:rsidRPr="00751C40">
              <w:t xml:space="preserve">. Councils could use these criteria as a starting point for setting </w:t>
            </w:r>
            <w:r w:rsidR="004219CB">
              <w:t xml:space="preserve">instream </w:t>
            </w:r>
            <w:r w:rsidRPr="00751C40">
              <w:t>nutrient concentration</w:t>
            </w:r>
            <w:r w:rsidR="004219CB">
              <w:t xml:space="preserve"> and the limits to achieve them</w:t>
            </w:r>
            <w:r w:rsidRPr="00751C40">
              <w:t xml:space="preserve">. The values in the </w:t>
            </w:r>
            <w:r w:rsidR="004219CB">
              <w:t xml:space="preserve">guideline </w:t>
            </w:r>
            <w:r w:rsidRPr="00751C40">
              <w:t>tables indicate the TN and DRP concentrations at which 10</w:t>
            </w:r>
            <w:r w:rsidR="005B11D4">
              <w:t> percent</w:t>
            </w:r>
            <w:r w:rsidRPr="00751C40">
              <w:t xml:space="preserve">, 20 </w:t>
            </w:r>
            <w:r w:rsidR="005B11D4">
              <w:t xml:space="preserve">percent </w:t>
            </w:r>
            <w:r w:rsidRPr="00751C40">
              <w:t xml:space="preserve">and 30 percent of sites are expected exceed the A, B and C </w:t>
            </w:r>
            <w:r w:rsidR="004219CB">
              <w:t xml:space="preserve">NOF </w:t>
            </w:r>
            <w:r w:rsidRPr="00751C40">
              <w:t>bands for periphyton per each river class.</w:t>
            </w:r>
            <w:r w:rsidR="00DD47E9">
              <w:t xml:space="preserve"> </w:t>
            </w:r>
          </w:p>
        </w:tc>
      </w:tr>
    </w:tbl>
    <w:p w14:paraId="1B9CAE87" w14:textId="77777777" w:rsidR="00552375" w:rsidRPr="00AD327F" w:rsidRDefault="00552375" w:rsidP="00897081">
      <w:pPr>
        <w:pStyle w:val="Heading5"/>
        <w:spacing w:before="360"/>
      </w:pPr>
      <w:r>
        <w:t>Ministry for the Environment</w:t>
      </w:r>
      <w:r w:rsidRPr="00AD327F">
        <w:t xml:space="preserve"> </w:t>
      </w:r>
      <w:r>
        <w:t>(</w:t>
      </w:r>
      <w:r w:rsidRPr="00AD327F">
        <w:t>1992</w:t>
      </w:r>
      <w:r>
        <w:t>)</w:t>
      </w:r>
    </w:p>
    <w:p w14:paraId="64E032FA" w14:textId="584F1F30" w:rsidR="00552375" w:rsidRPr="00182398" w:rsidRDefault="00552375" w:rsidP="0012205C">
      <w:pPr>
        <w:pStyle w:val="BodyText"/>
        <w:ind w:right="-57"/>
      </w:pPr>
      <w:r w:rsidRPr="006E4F48">
        <w:t xml:space="preserve">These guidelines recommend </w:t>
      </w:r>
      <w:r>
        <w:t xml:space="preserve">DIN </w:t>
      </w:r>
      <w:r w:rsidRPr="00897081">
        <w:t>and</w:t>
      </w:r>
      <w:r>
        <w:t xml:space="preserve"> DRP </w:t>
      </w:r>
      <w:r w:rsidRPr="006E4F48">
        <w:t xml:space="preserve">concentrations </w:t>
      </w:r>
      <w:r w:rsidRPr="006E4F48">
        <w:rPr>
          <w:lang w:val="en-GB"/>
        </w:rPr>
        <w:t>need to be below approximately 40</w:t>
      </w:r>
      <w:r w:rsidR="00897081">
        <w:rPr>
          <w:lang w:val="en-GB"/>
        </w:rPr>
        <w:noBreakHyphen/>
      </w:r>
      <w:r w:rsidRPr="006E4F48">
        <w:rPr>
          <w:lang w:val="en-GB"/>
        </w:rPr>
        <w:t>100 mg m</w:t>
      </w:r>
      <w:r w:rsidRPr="006E4F48">
        <w:rPr>
          <w:vertAlign w:val="superscript"/>
          <w:lang w:val="en-GB"/>
        </w:rPr>
        <w:t>-3</w:t>
      </w:r>
      <w:r w:rsidRPr="006E4F48">
        <w:rPr>
          <w:lang w:val="en-GB"/>
        </w:rPr>
        <w:t xml:space="preserve"> DIN and 15-30 mg m</w:t>
      </w:r>
      <w:r w:rsidRPr="006E4F48">
        <w:rPr>
          <w:vertAlign w:val="superscript"/>
          <w:lang w:val="en-GB"/>
        </w:rPr>
        <w:t>-3</w:t>
      </w:r>
      <w:r w:rsidRPr="006E4F48">
        <w:rPr>
          <w:lang w:val="en-GB"/>
        </w:rPr>
        <w:t xml:space="preserve"> DRP for nutrients to have any significant effect on periphyton biomass in flowing waters. </w:t>
      </w:r>
      <w:r>
        <w:rPr>
          <w:lang w:val="en-GB"/>
        </w:rPr>
        <w:t>The guidelines note that i</w:t>
      </w:r>
      <w:r w:rsidRPr="006E4F48">
        <w:rPr>
          <w:lang w:val="en-GB"/>
        </w:rPr>
        <w:t>f either nutrient occurs at lower concentrations, periphyton biomas</w:t>
      </w:r>
      <w:r>
        <w:rPr>
          <w:lang w:val="en-GB"/>
        </w:rPr>
        <w:t xml:space="preserve">s yield is expected to decline. </w:t>
      </w:r>
      <w:r w:rsidRPr="00236E0A">
        <w:rPr>
          <w:lang w:val="en-GB"/>
        </w:rPr>
        <w:t>They do not recommend blanket imposition of nutrient limits to prevent undesirable periphyton growth, because many other factors have strong influences and should be considered on a site-specific basis</w:t>
      </w:r>
      <w:r w:rsidRPr="003E1241">
        <w:rPr>
          <w:lang w:val="en-GB"/>
        </w:rPr>
        <w:t>.</w:t>
      </w:r>
      <w:r>
        <w:rPr>
          <w:lang w:val="en-GB"/>
        </w:rPr>
        <w:t xml:space="preserve"> </w:t>
      </w:r>
      <w:r>
        <w:t>The DIN</w:t>
      </w:r>
      <w:r w:rsidR="00897081">
        <w:t> </w:t>
      </w:r>
      <w:r>
        <w:t xml:space="preserve">and DRP concentrations referred to are considered by the authors to be growing season medians (J. Quinn pers. comm.). </w:t>
      </w:r>
      <w:r w:rsidRPr="00AD327F">
        <w:t xml:space="preserve">The guidelines were based </w:t>
      </w:r>
      <w:r w:rsidRPr="001716FF">
        <w:rPr>
          <w:color w:val="000000"/>
        </w:rPr>
        <w:t xml:space="preserve">on </w:t>
      </w:r>
      <w:r w:rsidRPr="00AA22EC">
        <w:rPr>
          <w:color w:val="000000"/>
        </w:rPr>
        <w:t xml:space="preserve">field experiments using nutrient </w:t>
      </w:r>
      <w:r w:rsidRPr="00182398">
        <w:t xml:space="preserve">diffusing substrates (for DIN) and laboratory DRP saturation experiments of Welch et al. (1992). </w:t>
      </w:r>
    </w:p>
    <w:p w14:paraId="08109B08" w14:textId="77777777" w:rsidR="00552375" w:rsidRPr="00897081" w:rsidRDefault="00552375" w:rsidP="00897081">
      <w:pPr>
        <w:pStyle w:val="Heading5"/>
      </w:pPr>
      <w:r>
        <w:lastRenderedPageBreak/>
        <w:t>Biggs (2000)</w:t>
      </w:r>
    </w:p>
    <w:p w14:paraId="00183F34" w14:textId="42FEA844" w:rsidR="00552375" w:rsidRDefault="00552375" w:rsidP="00552375">
      <w:pPr>
        <w:pStyle w:val="BodyText"/>
      </w:pPr>
      <w:r w:rsidRPr="00AD327F">
        <w:t>These guidelines</w:t>
      </w:r>
      <w:r w:rsidRPr="00062F43">
        <w:t xml:space="preserve"> </w:t>
      </w:r>
      <w:r>
        <w:t>recommend m</w:t>
      </w:r>
      <w:r w:rsidRPr="00CC140E">
        <w:t xml:space="preserve">ean </w:t>
      </w:r>
      <w:r>
        <w:t xml:space="preserve">annual </w:t>
      </w:r>
      <w:r w:rsidRPr="00CC140E">
        <w:t xml:space="preserve">DIN and DRP </w:t>
      </w:r>
      <w:r>
        <w:t>concentrations (based on monthly sampling) required to ensure that peak (ie, annual maximum) periphyton biomass as 50, 120 or 200</w:t>
      </w:r>
      <w:r w:rsidR="00045DD2">
        <w:t> </w:t>
      </w:r>
      <w:r>
        <w:t>mg/m</w:t>
      </w:r>
      <w:r w:rsidRPr="00062F43">
        <w:rPr>
          <w:vertAlign w:val="superscript"/>
        </w:rPr>
        <w:t>2</w:t>
      </w:r>
      <w:r>
        <w:t xml:space="preserve"> is not exceed</w:t>
      </w:r>
      <w:r w:rsidRPr="00B32956">
        <w:t>ed, considering the average days of accrual following a flushing flow event</w:t>
      </w:r>
      <w:r>
        <w:t xml:space="preserve"> equivalent to three times the median flow. The guidelines are based on two linear models </w:t>
      </w:r>
      <w:r>
        <w:rPr>
          <w:color w:val="000000"/>
        </w:rPr>
        <w:t>developed from a dataset of 30 river sites across New Zealand. The models are:</w:t>
      </w:r>
    </w:p>
    <w:p w14:paraId="7466007F" w14:textId="72AFBDA4" w:rsidR="00552375" w:rsidRDefault="00552375" w:rsidP="00BA2A04">
      <w:pPr>
        <w:pStyle w:val="BodyText"/>
        <w:spacing w:before="60" w:after="0"/>
        <w:ind w:left="284"/>
      </w:pPr>
      <w:r w:rsidRPr="00A12C3A">
        <w:t>Log</w:t>
      </w:r>
      <w:r w:rsidRPr="00A12C3A">
        <w:rPr>
          <w:vertAlign w:val="superscript"/>
        </w:rPr>
        <w:t>10</w:t>
      </w:r>
      <w:r w:rsidRPr="00A12C3A">
        <w:t xml:space="preserve"> (maximum chl. </w:t>
      </w:r>
      <w:r w:rsidRPr="0020267F">
        <w:rPr>
          <w:i/>
        </w:rPr>
        <w:t>a</w:t>
      </w:r>
      <w:r w:rsidRPr="00A12C3A">
        <w:t>) = 4.285 x (Log</w:t>
      </w:r>
      <w:r w:rsidRPr="00B12E8D">
        <w:rPr>
          <w:vertAlign w:val="superscript"/>
        </w:rPr>
        <w:t>10</w:t>
      </w:r>
      <w:r w:rsidRPr="00A12C3A">
        <w:t xml:space="preserve"> days of accrual) – 0.929 x (Log</w:t>
      </w:r>
      <w:r w:rsidRPr="00B12E8D">
        <w:rPr>
          <w:vertAlign w:val="superscript"/>
        </w:rPr>
        <w:t>10</w:t>
      </w:r>
      <w:r w:rsidRPr="00A12C3A">
        <w:t xml:space="preserve"> days of accrual)</w:t>
      </w:r>
      <w:r w:rsidRPr="00A12C3A">
        <w:rPr>
          <w:vertAlign w:val="superscript"/>
        </w:rPr>
        <w:t>2</w:t>
      </w:r>
      <w:r w:rsidR="00897081">
        <w:rPr>
          <w:vertAlign w:val="superscript"/>
        </w:rPr>
        <w:t xml:space="preserve"> </w:t>
      </w:r>
      <w:r w:rsidRPr="00A12C3A">
        <w:t>+</w:t>
      </w:r>
      <w:r w:rsidR="00897081">
        <w:t> </w:t>
      </w:r>
      <w:r w:rsidRPr="00A12C3A">
        <w:t>(0.504 x Log10</w:t>
      </w:r>
      <w:r w:rsidRPr="00B12E8D">
        <w:rPr>
          <w:vertAlign w:val="superscript"/>
        </w:rPr>
        <w:t>10</w:t>
      </w:r>
      <w:r w:rsidRPr="00A12C3A">
        <w:t xml:space="preserve"> SIN) – 2.946 r</w:t>
      </w:r>
      <w:r w:rsidRPr="00A12C3A">
        <w:rPr>
          <w:vertAlign w:val="superscript"/>
        </w:rPr>
        <w:t>2</w:t>
      </w:r>
      <w:r w:rsidRPr="00A12C3A">
        <w:t xml:space="preserve"> = 0.741</w:t>
      </w:r>
    </w:p>
    <w:p w14:paraId="6F9FA1D7" w14:textId="07A5BBB0" w:rsidR="00552375" w:rsidRPr="00A12C3A" w:rsidRDefault="00552375" w:rsidP="008D0800">
      <w:pPr>
        <w:pStyle w:val="BodyText"/>
        <w:ind w:left="284"/>
      </w:pPr>
      <w:r w:rsidRPr="00A12C3A">
        <w:t>Log</w:t>
      </w:r>
      <w:r w:rsidRPr="00A12C3A">
        <w:rPr>
          <w:vertAlign w:val="superscript"/>
        </w:rPr>
        <w:t>10</w:t>
      </w:r>
      <w:r w:rsidRPr="00A12C3A">
        <w:t xml:space="preserve"> (maximum chl. </w:t>
      </w:r>
      <w:r w:rsidRPr="0020267F">
        <w:rPr>
          <w:i/>
        </w:rPr>
        <w:t>a</w:t>
      </w:r>
      <w:r w:rsidRPr="00A12C3A">
        <w:t>) = 4.716 x (Log</w:t>
      </w:r>
      <w:r w:rsidRPr="00B12E8D">
        <w:rPr>
          <w:vertAlign w:val="superscript"/>
        </w:rPr>
        <w:t>10</w:t>
      </w:r>
      <w:r w:rsidRPr="00A12C3A">
        <w:t xml:space="preserve"> days of accrual) – 1.076 x (Log</w:t>
      </w:r>
      <w:r w:rsidRPr="00B12E8D">
        <w:rPr>
          <w:vertAlign w:val="superscript"/>
        </w:rPr>
        <w:t>10</w:t>
      </w:r>
      <w:r w:rsidRPr="00A12C3A">
        <w:t xml:space="preserve"> days of accrual)</w:t>
      </w:r>
      <w:r w:rsidRPr="00B12E8D">
        <w:rPr>
          <w:vertAlign w:val="superscript"/>
        </w:rPr>
        <w:t>2</w:t>
      </w:r>
      <w:r w:rsidR="00897081">
        <w:rPr>
          <w:vertAlign w:val="superscript"/>
        </w:rPr>
        <w:t xml:space="preserve"> </w:t>
      </w:r>
      <w:r w:rsidRPr="00A12C3A">
        <w:t>+</w:t>
      </w:r>
      <w:r w:rsidR="00897081">
        <w:t> </w:t>
      </w:r>
      <w:r w:rsidRPr="00A12C3A">
        <w:t>(0.494</w:t>
      </w:r>
      <w:r w:rsidR="00897081">
        <w:t> </w:t>
      </w:r>
      <w:r w:rsidRPr="00A12C3A">
        <w:t>x Log</w:t>
      </w:r>
      <w:r w:rsidRPr="00B12E8D">
        <w:rPr>
          <w:vertAlign w:val="superscript"/>
        </w:rPr>
        <w:t>10</w:t>
      </w:r>
      <w:r w:rsidRPr="00A12C3A">
        <w:t xml:space="preserve"> SRP) – 2.741 r</w:t>
      </w:r>
      <w:r w:rsidRPr="00B12E8D">
        <w:rPr>
          <w:vertAlign w:val="superscript"/>
        </w:rPr>
        <w:t>2</w:t>
      </w:r>
      <w:r w:rsidRPr="00A12C3A">
        <w:t xml:space="preserve"> = 0.721</w:t>
      </w:r>
    </w:p>
    <w:p w14:paraId="5A10B6BB" w14:textId="77777777" w:rsidR="00552375" w:rsidRDefault="00552375" w:rsidP="008D0800">
      <w:pPr>
        <w:pStyle w:val="BodyText"/>
        <w:spacing w:before="100" w:after="100"/>
      </w:pPr>
      <w:r>
        <w:rPr>
          <w:color w:val="000000"/>
        </w:rPr>
        <w:t xml:space="preserve">A subsequent analysis </w:t>
      </w:r>
      <w:r>
        <w:t>(</w:t>
      </w:r>
      <w:r w:rsidRPr="00182398">
        <w:t>Kilroy et al. in appendix E, Matheson et al., 2012) has</w:t>
      </w:r>
      <w:r>
        <w:t xml:space="preserve"> shown that sites used to develop the models are a good representation of hill-fed, cobble-bed rivers in New Zealand. Other river types not represented were low-order lowland streams in warm areas, which are likely to account for about 30% of all river segments. It was noted the model dataset did not account for likely regional differences in periphyton – environment relationships, and this was hampered by the small size of the dataset. The authors concluded that efforts to accumulate more data on a regional basis are justified. </w:t>
      </w:r>
    </w:p>
    <w:p w14:paraId="4E3F0710" w14:textId="77777777" w:rsidR="00552375" w:rsidRDefault="00552375" w:rsidP="008D0800">
      <w:pPr>
        <w:pStyle w:val="Heading5"/>
        <w:spacing w:before="200"/>
      </w:pPr>
      <w:r>
        <w:t>Rutherford (2011, 2012, 2013a/2013b)</w:t>
      </w:r>
    </w:p>
    <w:p w14:paraId="62FED690" w14:textId="77777777" w:rsidR="00552375" w:rsidRDefault="00552375" w:rsidP="008D0800">
      <w:pPr>
        <w:pStyle w:val="BodyText"/>
        <w:spacing w:before="100" w:after="100"/>
      </w:pPr>
      <w:r>
        <w:t>A process-based, dynamic model (TRIM) was developed for the Tukituki, an unshaded, gravel bed, east coast, river. The model calculates instream nitrogen and phosphorus concentrations and periphyton biomass</w:t>
      </w:r>
      <w:r w:rsidRPr="001A7A0F">
        <w:t xml:space="preserve"> </w:t>
      </w:r>
      <w:r>
        <w:t>along successive river segments. It comprises two sub-models: hydraulic and nutrient-biomass. The model is discretised by sub-dividing the river into segments of equal length (typically 1 km). Both sub-models operate on a sub-daily time step that depends on the velocity and the segment length. The hydraulic sub-model estimates channel width (m), mean depth (m), mean velocity (m/s) and shear velocity (m/s) in each segment. The nutrient-periphyton biomass sub-model simulates daily average photosynthesis, nutrient uptake and release. It does not simulate hourly changes that arise from diurnal variations in photosynthesis.</w:t>
      </w:r>
    </w:p>
    <w:p w14:paraId="657A45C6" w14:textId="77777777" w:rsidR="00552375" w:rsidRDefault="00552375" w:rsidP="008D0800">
      <w:pPr>
        <w:pStyle w:val="BodyText"/>
        <w:spacing w:before="100" w:after="100"/>
      </w:pPr>
      <w:r>
        <w:t>The model is sufficiently well calibrated and tested in the Tukituki River to investigate the effects of changes to nutrient inputs, despite some uncertainty about the absolute values of predicted periphyton biomass and nutrient concentration.</w:t>
      </w:r>
      <w:r w:rsidRPr="0002692F" w:rsidDel="00594F42">
        <w:t xml:space="preserve"> </w:t>
      </w:r>
    </w:p>
    <w:p w14:paraId="1ED3B99D" w14:textId="77777777" w:rsidR="00552375" w:rsidRPr="008D0800" w:rsidRDefault="00552375" w:rsidP="008D0800">
      <w:pPr>
        <w:pStyle w:val="Heading5"/>
        <w:spacing w:before="200"/>
      </w:pPr>
      <w:r w:rsidRPr="008D0800">
        <w:t>Matheson et al. (2012)</w:t>
      </w:r>
    </w:p>
    <w:p w14:paraId="3B84791A" w14:textId="32FF4F8E" w:rsidR="00552375" w:rsidRDefault="00552375" w:rsidP="008D0800">
      <w:pPr>
        <w:pStyle w:val="BodyText"/>
        <w:spacing w:before="100" w:after="100"/>
      </w:pPr>
      <w:r>
        <w:t xml:space="preserve">Parts 1 and 2 of the </w:t>
      </w:r>
      <w:r w:rsidRPr="0058483E">
        <w:rPr>
          <w:i/>
        </w:rPr>
        <w:t>Instream Plant and Nutrient Guidelines</w:t>
      </w:r>
      <w:r>
        <w:t xml:space="preserve"> included an analysis of the National Rivers Water Quality Network dataset (from 1990 to 2006). The analysis identified generally applicable thresholds of DIN 250 mg/m</w:t>
      </w:r>
      <w:r w:rsidRPr="0037409A">
        <w:rPr>
          <w:vertAlign w:val="superscript"/>
        </w:rPr>
        <w:t>3</w:t>
      </w:r>
      <w:r>
        <w:t xml:space="preserve"> and DRP 6 mg/m</w:t>
      </w:r>
      <w:r w:rsidRPr="0037409A">
        <w:rPr>
          <w:vertAlign w:val="superscript"/>
        </w:rPr>
        <w:t>3</w:t>
      </w:r>
      <w:r>
        <w:t xml:space="preserve"> to limit average annual maximum filamentous cover to below the Biggs (2000) 30% aesthetic/angling nuisance guideline. The analysis also produced a series of linear regression models to explain annual maximum or annual average filamentous cover but none of these models included DIN. A Bayesian Network model was also produced which identified four nutrient concentration bands for annual mean</w:t>
      </w:r>
      <w:r w:rsidR="00F362A1">
        <w:t> </w:t>
      </w:r>
      <w:r>
        <w:t>DIN and DRP that were considered to represent low to high risk of contributing to development of nuisance filamentous cover. The DIN categories from low to high risk were: &lt;50 mg/m</w:t>
      </w:r>
      <w:r w:rsidRPr="0037409A">
        <w:rPr>
          <w:vertAlign w:val="superscript"/>
        </w:rPr>
        <w:t>3</w:t>
      </w:r>
      <w:r>
        <w:t>, 50</w:t>
      </w:r>
      <w:r w:rsidR="00BA2A04">
        <w:noBreakHyphen/>
      </w:r>
      <w:r>
        <w:t>150 mg/m</w:t>
      </w:r>
      <w:r w:rsidRPr="0037409A">
        <w:rPr>
          <w:vertAlign w:val="superscript"/>
        </w:rPr>
        <w:t>3</w:t>
      </w:r>
      <w:r>
        <w:t>, 150-300 mg/m</w:t>
      </w:r>
      <w:r w:rsidRPr="0037409A">
        <w:rPr>
          <w:vertAlign w:val="superscript"/>
        </w:rPr>
        <w:t>3</w:t>
      </w:r>
      <w:r>
        <w:t xml:space="preserve"> and &gt;300 mg/m</w:t>
      </w:r>
      <w:r w:rsidRPr="0037409A">
        <w:rPr>
          <w:vertAlign w:val="superscript"/>
        </w:rPr>
        <w:t>3</w:t>
      </w:r>
      <w:r>
        <w:t>. The DRP categories from low to high risk were: &lt;3 mg/m</w:t>
      </w:r>
      <w:r w:rsidRPr="0037409A">
        <w:rPr>
          <w:vertAlign w:val="superscript"/>
        </w:rPr>
        <w:t>3</w:t>
      </w:r>
      <w:r>
        <w:t>, 3-6 mg/m</w:t>
      </w:r>
      <w:r w:rsidRPr="0037409A">
        <w:rPr>
          <w:vertAlign w:val="superscript"/>
        </w:rPr>
        <w:t>3</w:t>
      </w:r>
      <w:r>
        <w:t>, 6-15 mg/m</w:t>
      </w:r>
      <w:r w:rsidRPr="0037409A">
        <w:rPr>
          <w:vertAlign w:val="superscript"/>
        </w:rPr>
        <w:t>3</w:t>
      </w:r>
      <w:r>
        <w:t xml:space="preserve"> and &gt;15 mg/m</w:t>
      </w:r>
      <w:r w:rsidRPr="0037409A">
        <w:rPr>
          <w:vertAlign w:val="superscript"/>
        </w:rPr>
        <w:t>3</w:t>
      </w:r>
      <w:r>
        <w:t>. The Bayesian model also included other controlling factors: annual frequency of instantaneous flows equivalent to three times</w:t>
      </w:r>
      <w:r w:rsidR="00BA2A04">
        <w:t> </w:t>
      </w:r>
      <w:r>
        <w:t>the median flow, average light reaching the stream bed, dominant substrate type, 9</w:t>
      </w:r>
      <w:r w:rsidRPr="00BA2A04">
        <w:t>5th</w:t>
      </w:r>
      <w:r w:rsidR="00BA2A04">
        <w:t> </w:t>
      </w:r>
      <w:r>
        <w:t xml:space="preserve">percentile water temperature and macroinvertebrate grazer density. </w:t>
      </w:r>
    </w:p>
    <w:p w14:paraId="6426B5B5" w14:textId="77777777" w:rsidR="00552375" w:rsidRPr="008D0800" w:rsidRDefault="00552375" w:rsidP="008D0800">
      <w:pPr>
        <w:pStyle w:val="Heading5"/>
      </w:pPr>
      <w:r w:rsidRPr="008D0800">
        <w:lastRenderedPageBreak/>
        <w:t>Matheson et al. (2016)</w:t>
      </w:r>
    </w:p>
    <w:p w14:paraId="3C15C3BC" w14:textId="6AB3CBBC" w:rsidR="00552375" w:rsidRDefault="00552375" w:rsidP="00552375">
      <w:pPr>
        <w:pStyle w:val="BodyText"/>
      </w:pPr>
      <w:r>
        <w:t xml:space="preserve">Part 3 of the </w:t>
      </w:r>
      <w:r w:rsidRPr="0058483E">
        <w:rPr>
          <w:i/>
        </w:rPr>
        <w:t>Instream Plant and Nutrient Guidelines</w:t>
      </w:r>
      <w:r>
        <w:t xml:space="preserve"> included a non-linear quantile regression analysis of data collated from five regional councils (Hawkes Bay, Horizons, Wellington, Canterbury and Southland) and the National Rivers Water Quality Network dataset (from 1990</w:t>
      </w:r>
      <w:r w:rsidR="00BA2A04">
        <w:t> </w:t>
      </w:r>
      <w:r>
        <w:t>to 2013). The dataset included periphyton biomass and cover. The analysis was based on</w:t>
      </w:r>
      <w:r w:rsidR="00BA2A04">
        <w:t> </w:t>
      </w:r>
      <w:r>
        <w:t>periphyton data collected within two weeks of annual macroinvertebrate sampling during summer (November to April) and matched to mean DIN and DRP concentrations for the twelve months preceding the periphyton sampling date. The dataset was dominated by data from the REC Cool-Wet climate class (&lt;60% samples) with less than 10% of samples from REC classes defined as productive by the NPS-FM Periphyton Attribute. The analysis identified annual mean</w:t>
      </w:r>
      <w:r w:rsidR="00BA2A04">
        <w:t> </w:t>
      </w:r>
      <w:r>
        <w:t>DIN and DRP concentrations required to keep 85% of periphyton biomass or weighted composite cover samples below recommended guidelines of 50, 120 and 200 mg/m</w:t>
      </w:r>
      <w:r>
        <w:rPr>
          <w:vertAlign w:val="superscript"/>
        </w:rPr>
        <w:t>2</w:t>
      </w:r>
      <w:r>
        <w:t xml:space="preserve"> and 20, </w:t>
      </w:r>
      <w:r w:rsidRPr="008D0800">
        <w:t>30, 43 and 55%, respectively. An 85th percentile was chosen, as opposed to a 92nd percentile</w:t>
      </w:r>
      <w:r>
        <w:t xml:space="preserve"> as</w:t>
      </w:r>
      <w:r w:rsidR="00BA2A04">
        <w:t> </w:t>
      </w:r>
      <w:r>
        <w:t>used in the NPS-FM periphyton attribute default class, because the dataset consisted of summer data rather than an annual dataset. To comply with NPS-FM periphyton attribute thresholds of 50, 120 and 200 mg/m</w:t>
      </w:r>
      <w:r w:rsidRPr="00F77ABB">
        <w:rPr>
          <w:vertAlign w:val="superscript"/>
        </w:rPr>
        <w:t>2</w:t>
      </w:r>
      <w:r>
        <w:t>, the following annual mean DIN concentrations were indicated: 100, 630 and 1100 mg/m</w:t>
      </w:r>
      <w:r w:rsidRPr="00F77ABB">
        <w:rPr>
          <w:vertAlign w:val="superscript"/>
        </w:rPr>
        <w:t>3</w:t>
      </w:r>
      <w:r>
        <w:t>. For DRP, 11 and 18 mg/m</w:t>
      </w:r>
      <w:r w:rsidRPr="00F77ABB">
        <w:rPr>
          <w:vertAlign w:val="superscript"/>
        </w:rPr>
        <w:t>3</w:t>
      </w:r>
      <w:r>
        <w:t xml:space="preserve"> were indicated for the 120</w:t>
      </w:r>
      <w:r w:rsidR="00BA2A04">
        <w:t> </w:t>
      </w:r>
      <w:r>
        <w:t>and</w:t>
      </w:r>
      <w:r w:rsidR="00BA2A04">
        <w:t> </w:t>
      </w:r>
      <w:r>
        <w:t>200 mg/m</w:t>
      </w:r>
      <w:r w:rsidRPr="00F77ABB">
        <w:rPr>
          <w:vertAlign w:val="superscript"/>
        </w:rPr>
        <w:t>2</w:t>
      </w:r>
      <w:r>
        <w:t xml:space="preserve"> periphyton attribute thresholds. </w:t>
      </w:r>
    </w:p>
    <w:p w14:paraId="2A02DB1D" w14:textId="77777777" w:rsidR="00552375" w:rsidRPr="008D0800" w:rsidRDefault="00552375" w:rsidP="008D0800">
      <w:pPr>
        <w:pStyle w:val="Heading5"/>
      </w:pPr>
      <w:r w:rsidRPr="008D0800">
        <w:t>Larned et al. (2015), Elliott et al. (2016)</w:t>
      </w:r>
    </w:p>
    <w:p w14:paraId="4A9CBCE1" w14:textId="1BCC7471" w:rsidR="00552375" w:rsidRDefault="00552375" w:rsidP="00552375">
      <w:pPr>
        <w:pStyle w:val="BodyText"/>
        <w:rPr>
          <w:rFonts w:cs="Calibri"/>
        </w:rPr>
      </w:pPr>
      <w:r>
        <w:t xml:space="preserve">In Larned </w:t>
      </w:r>
      <w:r w:rsidRPr="001D0EDF">
        <w:rPr>
          <w:i/>
        </w:rPr>
        <w:t>et al.</w:t>
      </w:r>
      <w:r>
        <w:t xml:space="preserve"> (2015) appendix B, t</w:t>
      </w:r>
      <w:r w:rsidRPr="00024F78">
        <w:t>he NRWQN dataset was used to develop two linear regression models to predict the 92</w:t>
      </w:r>
      <w:r w:rsidRPr="00024F78">
        <w:rPr>
          <w:vertAlign w:val="superscript"/>
        </w:rPr>
        <w:t>nd</w:t>
      </w:r>
      <w:r w:rsidRPr="00024F78">
        <w:t xml:space="preserve"> percentile </w:t>
      </w:r>
      <w:r w:rsidRPr="00692A5C">
        <w:t>periphyton weighted composite cover from TN</w:t>
      </w:r>
      <w:r w:rsidR="00BA2A04">
        <w:t> </w:t>
      </w:r>
      <w:r w:rsidRPr="00692A5C">
        <w:t>and DRP</w:t>
      </w:r>
      <w:r w:rsidR="00EF3586">
        <w:t>.</w:t>
      </w:r>
      <w:r>
        <w:rPr>
          <w:rStyle w:val="FootnoteReference"/>
        </w:rPr>
        <w:footnoteReference w:id="5"/>
      </w:r>
      <w:r w:rsidRPr="00692A5C">
        <w:t xml:space="preserve"> The models also included the following factors: </w:t>
      </w:r>
      <w:r>
        <w:t xml:space="preserve">FRE3 (annual </w:t>
      </w:r>
      <w:r>
        <w:rPr>
          <w:rFonts w:cs="Calibri"/>
        </w:rPr>
        <w:t>frequency of flow</w:t>
      </w:r>
      <w:r w:rsidR="00BA2A04">
        <w:rPr>
          <w:rFonts w:cs="Calibri"/>
        </w:rPr>
        <w:t> </w:t>
      </w:r>
      <w:r>
        <w:rPr>
          <w:rFonts w:cs="Calibri"/>
        </w:rPr>
        <w:t>events exceeding three times the median flow</w:t>
      </w:r>
      <w:r w:rsidRPr="00024F78">
        <w:rPr>
          <w:rFonts w:cs="Calibri"/>
        </w:rPr>
        <w:t>, 7</w:t>
      </w:r>
      <w:r>
        <w:rPr>
          <w:rFonts w:cs="Calibri"/>
        </w:rPr>
        <w:t>DayFlowMins (7-d</w:t>
      </w:r>
      <w:r w:rsidRPr="00024F78">
        <w:rPr>
          <w:rFonts w:cs="Calibri"/>
        </w:rPr>
        <w:t>ay</w:t>
      </w:r>
      <w:r>
        <w:rPr>
          <w:rFonts w:cs="Calibri"/>
        </w:rPr>
        <w:t xml:space="preserve"> annual minimum flow)</w:t>
      </w:r>
      <w:r w:rsidRPr="00024F78">
        <w:rPr>
          <w:rFonts w:cs="Calibri"/>
        </w:rPr>
        <w:t>, nNeg</w:t>
      </w:r>
      <w:r>
        <w:rPr>
          <w:rFonts w:cs="Calibri"/>
        </w:rPr>
        <w:t xml:space="preserve"> (annual number of negative flow reversals)</w:t>
      </w:r>
      <w:r w:rsidRPr="00024F78">
        <w:rPr>
          <w:rFonts w:cs="Calibri"/>
        </w:rPr>
        <w:t xml:space="preserve">, </w:t>
      </w:r>
      <w:r>
        <w:rPr>
          <w:rFonts w:cs="Calibri"/>
        </w:rPr>
        <w:t>T</w:t>
      </w:r>
      <w:r w:rsidRPr="00024F78">
        <w:rPr>
          <w:rFonts w:cs="Calibri"/>
        </w:rPr>
        <w:t>95</w:t>
      </w:r>
      <w:r>
        <w:rPr>
          <w:rFonts w:cs="Calibri"/>
        </w:rPr>
        <w:t xml:space="preserve"> (</w:t>
      </w:r>
      <w:r w:rsidRPr="00EF3586">
        <w:t>annual 95th percentile</w:t>
      </w:r>
      <w:r>
        <w:rPr>
          <w:rFonts w:cs="Calibri"/>
        </w:rPr>
        <w:t xml:space="preserve"> water temperature)</w:t>
      </w:r>
      <w:r w:rsidRPr="00024F78">
        <w:rPr>
          <w:rFonts w:cs="Calibri"/>
        </w:rPr>
        <w:t xml:space="preserve">, </w:t>
      </w:r>
      <w:r>
        <w:rPr>
          <w:rFonts w:cs="Calibri"/>
        </w:rPr>
        <w:t>and PAR (average photosynthetically active radiation)</w:t>
      </w:r>
      <w:r w:rsidRPr="00024F78">
        <w:rPr>
          <w:rFonts w:cs="Calibri"/>
        </w:rPr>
        <w:t xml:space="preserve">. The TN model also included </w:t>
      </w:r>
      <w:r>
        <w:rPr>
          <w:rFonts w:cs="Calibri"/>
        </w:rPr>
        <w:t xml:space="preserve">the log of the </w:t>
      </w:r>
      <w:r w:rsidRPr="00024F78">
        <w:rPr>
          <w:rFonts w:cs="Calibri"/>
        </w:rPr>
        <w:t>N</w:t>
      </w:r>
      <w:r>
        <w:rPr>
          <w:rFonts w:cs="Calibri"/>
        </w:rPr>
        <w:t>:</w:t>
      </w:r>
      <w:r w:rsidRPr="00024F78">
        <w:rPr>
          <w:rFonts w:cs="Calibri"/>
        </w:rPr>
        <w:t>P</w:t>
      </w:r>
      <w:r>
        <w:rPr>
          <w:rFonts w:cs="Calibri"/>
        </w:rPr>
        <w:t xml:space="preserve"> </w:t>
      </w:r>
      <w:r w:rsidRPr="00024F78">
        <w:rPr>
          <w:rFonts w:cs="Calibri"/>
        </w:rPr>
        <w:t>ratio.</w:t>
      </w:r>
      <w:r>
        <w:rPr>
          <w:rFonts w:cs="Calibri"/>
        </w:rPr>
        <w:t xml:space="preserve"> The models explained 38 and 30% of variance in WCC, respectively. The models were tested on independent data from Canterbury and Manawatu-Whanganui and performed poorly (ie, could not predict pattern and underpredicted periphyton weighted composite cover). The models were used to determine TN and DRP criteria to comply with proxy NPS-FM periphyton attribute thresholds (ie, 21% = 50 mg/m</w:t>
      </w:r>
      <w:r w:rsidRPr="00F30D8C">
        <w:rPr>
          <w:rFonts w:cs="Calibri"/>
          <w:vertAlign w:val="superscript"/>
        </w:rPr>
        <w:t>2</w:t>
      </w:r>
      <w:r>
        <w:rPr>
          <w:rFonts w:cs="Calibri"/>
        </w:rPr>
        <w:t>, 34% = 120 mg/m</w:t>
      </w:r>
      <w:r w:rsidRPr="00F30D8C">
        <w:rPr>
          <w:rFonts w:cs="Calibri"/>
          <w:vertAlign w:val="superscript"/>
        </w:rPr>
        <w:t>2</w:t>
      </w:r>
      <w:r>
        <w:rPr>
          <w:rFonts w:cs="Calibri"/>
        </w:rPr>
        <w:t xml:space="preserve"> and 45% = 200 mg/m</w:t>
      </w:r>
      <w:r w:rsidRPr="00F30D8C">
        <w:rPr>
          <w:rFonts w:cs="Calibri"/>
          <w:vertAlign w:val="superscript"/>
        </w:rPr>
        <w:t>2</w:t>
      </w:r>
      <w:r>
        <w:rPr>
          <w:rFonts w:cs="Calibri"/>
        </w:rPr>
        <w:t>) for all REC source-of-flow categories assuming that 5, 10 or 20% of river segments were allowed to exceed the criteria. The confidence intervals for the nutrient criteria were large reflecting high uncertainties.</w:t>
      </w:r>
    </w:p>
    <w:p w14:paraId="7A06D94E" w14:textId="101FF50B" w:rsidR="00552375" w:rsidRDefault="00552375" w:rsidP="00552375">
      <w:pPr>
        <w:pStyle w:val="BodyText"/>
        <w:rPr>
          <w:rFonts w:cs="Calibri"/>
        </w:rPr>
      </w:pPr>
      <w:r>
        <w:rPr>
          <w:rFonts w:cs="Calibri"/>
        </w:rPr>
        <w:t xml:space="preserve">In Elliott </w:t>
      </w:r>
      <w:r w:rsidRPr="001D0EDF">
        <w:rPr>
          <w:rFonts w:cs="Calibri"/>
          <w:i/>
        </w:rPr>
        <w:t>et al.</w:t>
      </w:r>
      <w:r>
        <w:rPr>
          <w:rFonts w:cs="Calibri"/>
        </w:rPr>
        <w:t xml:space="preserve"> (2016) appendix B, the above analysis was extended to predict the </w:t>
      </w:r>
      <w:r w:rsidRPr="00BA2A04">
        <w:t xml:space="preserve">83rd </w:t>
      </w:r>
      <w:r>
        <w:rPr>
          <w:rFonts w:cs="Calibri"/>
        </w:rPr>
        <w:t>percentile periphyton weighted composite cover consistent with the productive class of the</w:t>
      </w:r>
      <w:r w:rsidR="00BA2A04">
        <w:rPr>
          <w:rFonts w:cs="Calibri"/>
        </w:rPr>
        <w:t> </w:t>
      </w:r>
      <w:r>
        <w:rPr>
          <w:rFonts w:cs="Calibri"/>
        </w:rPr>
        <w:t>NPS-FM periphyton attribute. The above analyses are currently being reworked with improved methodological procedures resulting in reduced uncertainties and better independent testing results (T. Snelder, pers. comm.).</w:t>
      </w:r>
    </w:p>
    <w:p w14:paraId="73CB6FCE" w14:textId="77777777" w:rsidR="00552375" w:rsidRPr="00684836" w:rsidRDefault="00552375" w:rsidP="00684836">
      <w:pPr>
        <w:pStyle w:val="Heading5"/>
      </w:pPr>
      <w:r w:rsidRPr="00684836">
        <w:t>Storey et al. (2017)</w:t>
      </w:r>
    </w:p>
    <w:p w14:paraId="5E8D3662" w14:textId="6482E299" w:rsidR="00552375" w:rsidRDefault="00552375" w:rsidP="00BA2A04">
      <w:pPr>
        <w:pStyle w:val="BodyText"/>
        <w:rPr>
          <w:rFonts w:cs="Calibri"/>
        </w:rPr>
      </w:pPr>
      <w:r>
        <w:t xml:space="preserve">A Bayesian Network was developed to examine the effects of several development scenarios being considered by the Ruamahanga Whaitua Committee and their </w:t>
      </w:r>
      <w:r>
        <w:rPr>
          <w:rFonts w:cs="Calibri"/>
        </w:rPr>
        <w:t>effects on the mainstem of</w:t>
      </w:r>
      <w:r w:rsidR="00BA2A04">
        <w:rPr>
          <w:rFonts w:cs="Calibri"/>
        </w:rPr>
        <w:t> </w:t>
      </w:r>
      <w:r>
        <w:rPr>
          <w:rFonts w:cs="Calibri"/>
        </w:rPr>
        <w:t xml:space="preserve">the Ruamahanga River and its major tributaries up to 2080. The scenarios were: (1) Business as Usual (BAU) extending existing policy, practice and investment into the future, (2) Silver, a </w:t>
      </w:r>
      <w:r>
        <w:rPr>
          <w:rFonts w:cs="Calibri"/>
        </w:rPr>
        <w:lastRenderedPageBreak/>
        <w:t xml:space="preserve">moderate effort for making water quality improvements across the Whaitua and (3) Gold, representing the highest and most aspirational effort for making water quality improvements </w:t>
      </w:r>
      <w:r w:rsidRPr="00684836">
        <w:t>across a broad range of activities and issues in the Whaitua. The BN developed was much broader than that developed by Matheson et al. (2012) but the component that predicted periphyton biomass from nutrient concentrations included a similar set of controlling factors.</w:t>
      </w:r>
      <w:r>
        <w:rPr>
          <w:rFonts w:asciiTheme="minorHAnsi" w:hAnsiTheme="minorHAnsi" w:cs="Calibri-Light"/>
        </w:rPr>
        <w:t xml:space="preserve"> Nevertheless, the categories used for each factor were somewhat different. The model </w:t>
      </w:r>
      <w:r>
        <w:t>identified four nutrient concentration categories from low to high. The DIN categories were: &lt;98 mg/m</w:t>
      </w:r>
      <w:r w:rsidRPr="0037409A">
        <w:rPr>
          <w:vertAlign w:val="superscript"/>
        </w:rPr>
        <w:t>3</w:t>
      </w:r>
      <w:r>
        <w:t>, 98-631 mg/m</w:t>
      </w:r>
      <w:r w:rsidRPr="0037409A">
        <w:rPr>
          <w:vertAlign w:val="superscript"/>
        </w:rPr>
        <w:t>3</w:t>
      </w:r>
      <w:r>
        <w:t>, 631-1122 mg/m</w:t>
      </w:r>
      <w:r w:rsidRPr="0037409A">
        <w:rPr>
          <w:vertAlign w:val="superscript"/>
        </w:rPr>
        <w:t>3</w:t>
      </w:r>
      <w:r>
        <w:t xml:space="preserve"> and &gt;1122 mg/m</w:t>
      </w:r>
      <w:r w:rsidRPr="0037409A">
        <w:rPr>
          <w:vertAlign w:val="superscript"/>
        </w:rPr>
        <w:t>3</w:t>
      </w:r>
      <w:r>
        <w:t>. The DRP categories were: &lt;5</w:t>
      </w:r>
      <w:r w:rsidR="00BA2A04">
        <w:t> </w:t>
      </w:r>
      <w:r>
        <w:t>mg/m</w:t>
      </w:r>
      <w:r w:rsidRPr="0037409A">
        <w:rPr>
          <w:vertAlign w:val="superscript"/>
        </w:rPr>
        <w:t>3</w:t>
      </w:r>
      <w:r>
        <w:t>, 5-10.8 mg/m</w:t>
      </w:r>
      <w:r w:rsidRPr="0037409A">
        <w:rPr>
          <w:vertAlign w:val="superscript"/>
        </w:rPr>
        <w:t>3</w:t>
      </w:r>
      <w:r>
        <w:t>, 10.8-18 mg/m</w:t>
      </w:r>
      <w:r w:rsidRPr="0037409A">
        <w:rPr>
          <w:vertAlign w:val="superscript"/>
        </w:rPr>
        <w:t>3</w:t>
      </w:r>
      <w:r>
        <w:t xml:space="preserve"> and &gt;18 mg/m</w:t>
      </w:r>
      <w:r w:rsidRPr="0037409A">
        <w:rPr>
          <w:vertAlign w:val="superscript"/>
        </w:rPr>
        <w:t>3</w:t>
      </w:r>
      <w:r>
        <w:t>. Comparing BN predicted periphyton biomass state to actual state in the Ruamahanga Whaitua a reasonably good correlation was found (Pearson r = 0.71) but it tended to overestimate low biomass and underestimate high biomass.</w:t>
      </w:r>
      <w:r w:rsidRPr="00C53823">
        <w:rPr>
          <w:rFonts w:cs="Calibri"/>
        </w:rPr>
        <w:t xml:space="preserve"> </w:t>
      </w:r>
      <w:r>
        <w:rPr>
          <w:rFonts w:cs="Calibri"/>
        </w:rPr>
        <w:t>When used for scenario testing the BN model indicated periphyton growth decreases by 30-40% in Silver and Gold relative to baseline and BAU at three sites.</w:t>
      </w:r>
    </w:p>
    <w:p w14:paraId="6A6C33E0" w14:textId="77777777" w:rsidR="00552375" w:rsidRPr="00684836" w:rsidRDefault="00552375" w:rsidP="00684836">
      <w:pPr>
        <w:pStyle w:val="Heading5"/>
      </w:pPr>
      <w:r w:rsidRPr="00684836">
        <w:t>Kilroy et al. (2017), Kilroy et al. (2018)</w:t>
      </w:r>
    </w:p>
    <w:p w14:paraId="540F1641" w14:textId="77777777" w:rsidR="00552375" w:rsidRDefault="00552375" w:rsidP="00552375">
      <w:pPr>
        <w:pStyle w:val="BodyText"/>
      </w:pPr>
      <w:r w:rsidRPr="00376F3B">
        <w:t xml:space="preserve">Linear regression models have been developed in Canterbury </w:t>
      </w:r>
      <w:r>
        <w:t xml:space="preserve">and Manawatu-Whanganui </w:t>
      </w:r>
      <w:r w:rsidRPr="00376F3B">
        <w:t>region</w:t>
      </w:r>
      <w:r>
        <w:t>s</w:t>
      </w:r>
      <w:r w:rsidRPr="00376F3B">
        <w:t xml:space="preserve"> to predict periphyton biomass from nutrient concentrations and other factors. </w:t>
      </w:r>
    </w:p>
    <w:p w14:paraId="61D59B72" w14:textId="77777777" w:rsidR="00552375" w:rsidRPr="00376F3B" w:rsidRDefault="00552375" w:rsidP="00552375">
      <w:pPr>
        <w:pStyle w:val="BodyText"/>
        <w:rPr>
          <w:rFonts w:asciiTheme="minorHAnsi" w:eastAsiaTheme="minorHAnsi" w:hAnsiTheme="minorHAnsi" w:cs="Calibri"/>
          <w:lang w:eastAsia="en-US"/>
        </w:rPr>
      </w:pPr>
      <w:r>
        <w:rPr>
          <w:rFonts w:asciiTheme="minorHAnsi" w:hAnsiTheme="minorHAnsi"/>
        </w:rPr>
        <w:t>Canterbury region m</w:t>
      </w:r>
      <w:r w:rsidRPr="00376F3B">
        <w:rPr>
          <w:rFonts w:asciiTheme="minorHAnsi" w:hAnsiTheme="minorHAnsi"/>
        </w:rPr>
        <w:t xml:space="preserve">onitoring for model development began in July 2011. Separate models have been developed for hill (17) and alpine (7) sites. At </w:t>
      </w:r>
      <w:r w:rsidRPr="00376F3B">
        <w:rPr>
          <w:rFonts w:asciiTheme="minorHAnsi" w:eastAsiaTheme="minorHAnsi" w:hAnsiTheme="minorHAnsi" w:cs="Calibri"/>
          <w:lang w:eastAsia="en-US"/>
        </w:rPr>
        <w:t xml:space="preserve">alpine sites, a combination of DIN and </w:t>
      </w:r>
      <w:r w:rsidRPr="00C867EF">
        <w:t>DRP have been shown to explain &gt;90% of the variance in 92nd percentile periphyton biomass.</w:t>
      </w:r>
      <w:r w:rsidRPr="00376F3B">
        <w:rPr>
          <w:rFonts w:asciiTheme="minorHAnsi" w:eastAsiaTheme="minorHAnsi" w:hAnsiTheme="minorHAnsi" w:cs="Calibri"/>
          <w:lang w:eastAsia="en-US"/>
        </w:rPr>
        <w:t xml:space="preserve"> At </w:t>
      </w:r>
      <w:r w:rsidRPr="00376F3B">
        <w:rPr>
          <w:rFonts w:asciiTheme="minorHAnsi" w:eastAsiaTheme="minorHAnsi" w:hAnsiTheme="minorHAnsi" w:cs="Calibri-Bold"/>
          <w:bCs/>
          <w:lang w:eastAsia="en-US"/>
        </w:rPr>
        <w:t xml:space="preserve">hill sites (excluding four with shade) models which include </w:t>
      </w:r>
      <w:r w:rsidRPr="00376F3B">
        <w:rPr>
          <w:rFonts w:asciiTheme="minorHAnsi" w:eastAsiaTheme="minorHAnsi" w:hAnsiTheme="minorHAnsi" w:cs="Calibri"/>
          <w:lang w:eastAsia="en-US"/>
        </w:rPr>
        <w:t xml:space="preserve">DIN, DRP, conductivity, % fine substrate, and flow metrics </w:t>
      </w:r>
      <w:r>
        <w:rPr>
          <w:rFonts w:asciiTheme="minorHAnsi" w:eastAsiaTheme="minorHAnsi" w:hAnsiTheme="minorHAnsi" w:cs="Calibri"/>
          <w:lang w:eastAsia="en-US"/>
        </w:rPr>
        <w:t xml:space="preserve">have </w:t>
      </w:r>
      <w:r w:rsidRPr="00376F3B">
        <w:rPr>
          <w:rFonts w:asciiTheme="minorHAnsi" w:eastAsiaTheme="minorHAnsi" w:hAnsiTheme="minorHAnsi" w:cs="Calibri"/>
          <w:lang w:eastAsia="en-US"/>
        </w:rPr>
        <w:t>explain</w:t>
      </w:r>
      <w:r>
        <w:rPr>
          <w:rFonts w:asciiTheme="minorHAnsi" w:eastAsiaTheme="minorHAnsi" w:hAnsiTheme="minorHAnsi" w:cs="Calibri"/>
          <w:lang w:eastAsia="en-US"/>
        </w:rPr>
        <w:t>ed</w:t>
      </w:r>
      <w:r w:rsidRPr="00376F3B">
        <w:rPr>
          <w:rFonts w:asciiTheme="minorHAnsi" w:eastAsiaTheme="minorHAnsi" w:hAnsiTheme="minorHAnsi" w:cs="Calibri"/>
          <w:lang w:eastAsia="en-US"/>
        </w:rPr>
        <w:t xml:space="preserve"> 62% to 85% of the variance in annual maximum periphyton biomass. Independent testing with data from a further six hill sites has shown that 87% of annual or three-year predictions were close to the observed values. </w:t>
      </w:r>
    </w:p>
    <w:p w14:paraId="5AB94A77" w14:textId="6136776C" w:rsidR="00552375" w:rsidRPr="00C867EF" w:rsidRDefault="00552375" w:rsidP="00552375">
      <w:pPr>
        <w:pStyle w:val="BodyText"/>
      </w:pPr>
      <w:r>
        <w:t xml:space="preserve">Manawatu-Whanganui region monitoring for model development was initiated in 2008 at thirty sites selected to cover a wide range of river flushing flow frequencies and nutrient </w:t>
      </w:r>
      <w:r w:rsidRPr="00C867EF">
        <w:t>concentrations.</w:t>
      </w:r>
      <w:r w:rsidR="00DD47E9" w:rsidRPr="00C867EF">
        <w:t xml:space="preserve"> </w:t>
      </w:r>
      <w:r w:rsidRPr="00C867EF">
        <w:t>The models developed to predict 92nd percentile periphyton biomass have</w:t>
      </w:r>
      <w:r>
        <w:rPr>
          <w:rFonts w:asciiTheme="minorHAnsi" w:hAnsiTheme="minorHAnsi" w:cs="GoudyMaori-Regular"/>
        </w:rPr>
        <w:t xml:space="preserve"> included geometric mean DIN and DRP, mean conductivity, mean water temperature and mean</w:t>
      </w:r>
      <w:r w:rsidR="00C867EF">
        <w:rPr>
          <w:rFonts w:asciiTheme="minorHAnsi" w:hAnsiTheme="minorHAnsi" w:cs="GoudyMaori-Regular"/>
        </w:rPr>
        <w:t> </w:t>
      </w:r>
      <w:r>
        <w:rPr>
          <w:rFonts w:asciiTheme="minorHAnsi" w:hAnsiTheme="minorHAnsi" w:cs="GoudyMaori-Regular"/>
        </w:rPr>
        <w:t>accrual time following an effective flow event</w:t>
      </w:r>
      <w:r>
        <w:rPr>
          <w:rStyle w:val="FootnoteReference"/>
        </w:rPr>
        <w:footnoteReference w:id="6"/>
      </w:r>
      <w:r>
        <w:rPr>
          <w:rFonts w:asciiTheme="minorHAnsi" w:hAnsiTheme="minorHAnsi" w:cs="GoudyMaori-Regular"/>
        </w:rPr>
        <w:t xml:space="preserve"> and explain up to 78% of variance. Cross</w:t>
      </w:r>
      <w:r w:rsidR="00C867EF">
        <w:rPr>
          <w:rFonts w:asciiTheme="minorHAnsi" w:hAnsiTheme="minorHAnsi" w:cs="GoudyMaori-Regular"/>
        </w:rPr>
        <w:noBreakHyphen/>
      </w:r>
      <w:r>
        <w:rPr>
          <w:rFonts w:asciiTheme="minorHAnsi" w:hAnsiTheme="minorHAnsi" w:cs="GoudyMaori-Regular"/>
        </w:rPr>
        <w:t>validation</w:t>
      </w:r>
      <w:r w:rsidRPr="00086EEE">
        <w:rPr>
          <w:rFonts w:asciiTheme="minorHAnsi" w:hAnsiTheme="minorHAnsi" w:cs="GoudyMaori-Regular"/>
        </w:rPr>
        <w:t xml:space="preserve"> </w:t>
      </w:r>
      <w:r>
        <w:rPr>
          <w:rFonts w:asciiTheme="minorHAnsi" w:hAnsiTheme="minorHAnsi" w:cs="GoudyMaori-Regular"/>
        </w:rPr>
        <w:t>has shown</w:t>
      </w:r>
      <w:r w:rsidRPr="00086EEE">
        <w:rPr>
          <w:rFonts w:asciiTheme="minorHAnsi" w:hAnsiTheme="minorHAnsi" w:cs="GoudyMaori-Regular"/>
        </w:rPr>
        <w:t xml:space="preserve"> </w:t>
      </w:r>
      <w:r>
        <w:rPr>
          <w:rFonts w:asciiTheme="minorHAnsi" w:hAnsiTheme="minorHAnsi" w:cs="GoudyMaori-Regular"/>
        </w:rPr>
        <w:t xml:space="preserve">that </w:t>
      </w:r>
      <w:r w:rsidRPr="00086EEE">
        <w:rPr>
          <w:rFonts w:asciiTheme="minorHAnsi" w:hAnsiTheme="minorHAnsi" w:cs="GoudyMaori-Regular"/>
        </w:rPr>
        <w:t xml:space="preserve">predicted </w:t>
      </w:r>
      <w:r>
        <w:rPr>
          <w:rFonts w:asciiTheme="minorHAnsi" w:hAnsiTheme="minorHAnsi" w:cs="GoudyMaori-Regular"/>
        </w:rPr>
        <w:t>values explain</w:t>
      </w:r>
      <w:r w:rsidRPr="00086EEE">
        <w:rPr>
          <w:rFonts w:asciiTheme="minorHAnsi" w:hAnsiTheme="minorHAnsi" w:cs="GoudyMaori-Regular"/>
        </w:rPr>
        <w:t xml:space="preserve"> 75% of variance in observed values. Uncertainty of predictions was quantified as </w:t>
      </w:r>
      <w:r>
        <w:rPr>
          <w:rFonts w:asciiTheme="minorHAnsi" w:hAnsiTheme="minorHAnsi" w:cs="GoudyMaori-Regular"/>
        </w:rPr>
        <w:t xml:space="preserve">the root-mean-squared deviation (0.239 of log </w:t>
      </w:r>
      <w:r w:rsidRPr="00C867EF">
        <w:t>92nd periphyton biomass).</w:t>
      </w:r>
    </w:p>
    <w:p w14:paraId="116AA035" w14:textId="451747C9" w:rsidR="00552375" w:rsidRDefault="00552375" w:rsidP="00552375">
      <w:pPr>
        <w:pStyle w:val="BodyText"/>
        <w:rPr>
          <w:rFonts w:eastAsiaTheme="minorHAnsi"/>
          <w:lang w:eastAsia="en-US"/>
        </w:rPr>
      </w:pPr>
      <w:r>
        <w:rPr>
          <w:rFonts w:eastAsiaTheme="minorHAnsi"/>
          <w:lang w:eastAsia="en-US"/>
        </w:rPr>
        <w:t>In both the above cases, l</w:t>
      </w:r>
      <w:r w:rsidRPr="00376F3B">
        <w:rPr>
          <w:rFonts w:eastAsiaTheme="minorHAnsi"/>
          <w:lang w:eastAsia="en-US"/>
        </w:rPr>
        <w:t>ookup tables have been constructed to generalise the results for nutrient criteria selection</w:t>
      </w:r>
      <w:r>
        <w:rPr>
          <w:rFonts w:eastAsiaTheme="minorHAnsi"/>
          <w:lang w:eastAsia="en-US"/>
        </w:rPr>
        <w:t xml:space="preserve"> and to ensure that models results are not extrapolated beyond the range of the data used to develop them.</w:t>
      </w:r>
    </w:p>
    <w:p w14:paraId="5AA53FE9" w14:textId="77777777" w:rsidR="00532B50" w:rsidRDefault="00532B50" w:rsidP="00236E0A">
      <w:pPr>
        <w:pStyle w:val="Heading5"/>
      </w:pPr>
      <w:r w:rsidRPr="006E2890">
        <w:t>Ministry for the Environment (2020)</w:t>
      </w:r>
    </w:p>
    <w:p w14:paraId="1091A7F0" w14:textId="5F5522A1" w:rsidR="00532B50" w:rsidRDefault="00532B50" w:rsidP="00F655F0">
      <w:pPr>
        <w:pStyle w:val="BodyText"/>
        <w:keepLines/>
      </w:pPr>
      <w:r>
        <w:t xml:space="preserve">Periphyton spatial exceedance is an indicator of the level of risk accepted by regional councils to waterways having excessive levels of periphyton. For example, a </w:t>
      </w:r>
      <w:r w:rsidR="00DD2098">
        <w:t>2</w:t>
      </w:r>
      <w:r>
        <w:t>0</w:t>
      </w:r>
      <w:r w:rsidR="006759D4">
        <w:t> percent</w:t>
      </w:r>
      <w:r>
        <w:t xml:space="preserve"> spatial exceedance means a </w:t>
      </w:r>
      <w:r w:rsidR="00DD2098">
        <w:t>2</w:t>
      </w:r>
      <w:r>
        <w:t>0</w:t>
      </w:r>
      <w:r w:rsidR="006759D4">
        <w:t> percent</w:t>
      </w:r>
      <w:r>
        <w:t xml:space="preserve"> chance </w:t>
      </w:r>
      <w:r w:rsidR="006759D4">
        <w:t xml:space="preserve">exists </w:t>
      </w:r>
      <w:r>
        <w:t>that, at a given site and at the target nutrient concentration, the periphyton bottom</w:t>
      </w:r>
      <w:r w:rsidR="00495C31">
        <w:t xml:space="preserve"> </w:t>
      </w:r>
      <w:r>
        <w:t>line will not be met.</w:t>
      </w:r>
    </w:p>
    <w:p w14:paraId="3EE450F1" w14:textId="1C365980" w:rsidR="00532B50" w:rsidRDefault="00532B50" w:rsidP="00794C4B">
      <w:pPr>
        <w:pStyle w:val="BodyText"/>
      </w:pPr>
      <w:r>
        <w:t xml:space="preserve">For a given amount of nutrients in a river, a risk </w:t>
      </w:r>
      <w:r w:rsidR="00495C31">
        <w:t xml:space="preserve">will always exist </w:t>
      </w:r>
      <w:r>
        <w:t>that the predicted amount of periphyton will be exceeded. Therefore, the risks of not achieving the periphyton biomass bottom</w:t>
      </w:r>
      <w:r w:rsidR="00495C31">
        <w:t xml:space="preserve"> </w:t>
      </w:r>
      <w:r>
        <w:t xml:space="preserve">line were built into the nutrient targets for managing periphyton. The spatial </w:t>
      </w:r>
      <w:r>
        <w:lastRenderedPageBreak/>
        <w:t>exceedance criteria quantify the probability of a randomly chosen site having periphyton abundance greater than the biomass bottom</w:t>
      </w:r>
      <w:r w:rsidR="00032C45">
        <w:t xml:space="preserve"> </w:t>
      </w:r>
      <w:r>
        <w:t xml:space="preserve">line when the concentration is within the target concentration. A risk-based approach is a way to account for variation between locations in flow regimes, temperature and stream shading (amongst other factors). </w:t>
      </w:r>
    </w:p>
    <w:p w14:paraId="41C0845C" w14:textId="7A822500" w:rsidR="0015189F" w:rsidRDefault="0015189F" w:rsidP="00794C4B">
      <w:pPr>
        <w:pStyle w:val="BodyText"/>
      </w:pPr>
      <w:r>
        <w:t>T</w:t>
      </w:r>
      <w:r w:rsidR="002A3AAC">
        <w:t>he</w:t>
      </w:r>
      <w:r>
        <w:t xml:space="preserve"> </w:t>
      </w:r>
      <w:r w:rsidR="002A3AAC">
        <w:t>nutrient targets</w:t>
      </w:r>
      <w:r w:rsidR="00A03AA3">
        <w:t xml:space="preserve"> </w:t>
      </w:r>
      <w:r w:rsidR="002A3AAC">
        <w:t xml:space="preserve">in the look-up tables </w:t>
      </w:r>
      <w:r>
        <w:t>are based on Snelder et al. (2019)</w:t>
      </w:r>
      <w:r w:rsidR="000D7E4B">
        <w:t>,</w:t>
      </w:r>
      <w:r>
        <w:t xml:space="preserve"> which use regression models to represent the r</w:t>
      </w:r>
      <w:r w:rsidRPr="0015189F">
        <w:t>elationships between periphyton biomass and site characteristics for 78 gravel-bed rivers in New Zealand</w:t>
      </w:r>
      <w:r>
        <w:t xml:space="preserve">. </w:t>
      </w:r>
      <w:r w:rsidR="00A03AA3">
        <w:t>This approach was later recalibrated to</w:t>
      </w:r>
      <w:r w:rsidR="00794C4B">
        <w:t> </w:t>
      </w:r>
      <w:r w:rsidR="00A03AA3">
        <w:t xml:space="preserve">use a larger dataset of </w:t>
      </w:r>
      <w:r w:rsidR="00AD3998">
        <w:t xml:space="preserve">around </w:t>
      </w:r>
      <w:r w:rsidR="00A03AA3">
        <w:t>170 rivers nationwide</w:t>
      </w:r>
      <w:r w:rsidR="00AD3998">
        <w:t>,</w:t>
      </w:r>
      <w:r w:rsidR="00A03AA3">
        <w:t xml:space="preserve"> to inform the</w:t>
      </w:r>
      <w:r>
        <w:t xml:space="preserve"> </w:t>
      </w:r>
      <w:r w:rsidR="00AD3998">
        <w:t>e</w:t>
      </w:r>
      <w:r>
        <w:t xml:space="preserve">ssential </w:t>
      </w:r>
      <w:r w:rsidR="00AD3998">
        <w:t>f</w:t>
      </w:r>
      <w:r>
        <w:t xml:space="preserve">reshwater </w:t>
      </w:r>
      <w:r w:rsidR="00A03AA3">
        <w:t xml:space="preserve">regulatory </w:t>
      </w:r>
      <w:r>
        <w:t xml:space="preserve">impact </w:t>
      </w:r>
      <w:r w:rsidR="00A03AA3">
        <w:t>assessment.</w:t>
      </w:r>
      <w:r w:rsidR="00DD47E9">
        <w:t xml:space="preserve"> </w:t>
      </w:r>
    </w:p>
    <w:p w14:paraId="1D504EA1" w14:textId="782D761A" w:rsidR="002A3AAC" w:rsidRDefault="00AD3998" w:rsidP="00236E0A">
      <w:pPr>
        <w:pStyle w:val="BodyText"/>
      </w:pPr>
      <w:r>
        <w:t xml:space="preserve">Because </w:t>
      </w:r>
      <w:r w:rsidR="00DD2098">
        <w:t>t</w:t>
      </w:r>
      <w:r w:rsidR="00A03AA3">
        <w:t xml:space="preserve">hese </w:t>
      </w:r>
      <w:r>
        <w:t>‘</w:t>
      </w:r>
      <w:r w:rsidR="00A03AA3">
        <w:t>look-up tables</w:t>
      </w:r>
      <w:r>
        <w:t>’</w:t>
      </w:r>
      <w:r w:rsidR="00A03AA3">
        <w:t xml:space="preserve"> indicate the relative risk of exceeding </w:t>
      </w:r>
      <w:r w:rsidR="00115287">
        <w:t>specific periphyton attribute bands</w:t>
      </w:r>
      <w:r w:rsidR="00A03AA3">
        <w:t xml:space="preserve">, </w:t>
      </w:r>
      <w:r w:rsidR="00115287">
        <w:t>they can be used</w:t>
      </w:r>
      <w:r w:rsidR="00532B50">
        <w:t xml:space="preserve"> </w:t>
      </w:r>
      <w:r w:rsidR="00AD0293">
        <w:t>as a baseline</w:t>
      </w:r>
      <w:r w:rsidR="00A03AA3">
        <w:t xml:space="preserve"> to </w:t>
      </w:r>
      <w:r w:rsidR="00115287">
        <w:t>clarify the risk of exceeding the target attribute states for periphyton</w:t>
      </w:r>
      <w:r w:rsidR="00A66769">
        <w:t>,</w:t>
      </w:r>
      <w:r w:rsidR="00115287">
        <w:t xml:space="preserve"> to ensure appropriate instream nutrient concentrations are set</w:t>
      </w:r>
      <w:r w:rsidR="00D97A62">
        <w:t xml:space="preserve">. </w:t>
      </w:r>
      <w:r w:rsidR="00115287">
        <w:t xml:space="preserve">The final instream nutrient concentrations in each FMU </w:t>
      </w:r>
      <w:r w:rsidR="00D97A62">
        <w:t>need to be deter</w:t>
      </w:r>
      <w:r w:rsidR="00115287">
        <w:t xml:space="preserve">mined by each regional council. </w:t>
      </w:r>
    </w:p>
    <w:p w14:paraId="73FF2B05" w14:textId="466F8132" w:rsidR="004219CB" w:rsidRDefault="004219CB" w:rsidP="00236E0A">
      <w:pPr>
        <w:pStyle w:val="BodyText"/>
      </w:pPr>
      <w:r>
        <w:t>Note that 20</w:t>
      </w:r>
      <w:r w:rsidR="00A04106">
        <w:t> percent</w:t>
      </w:r>
      <w:r>
        <w:t xml:space="preserve"> spatial exceedance for each periphyton target attribute state was assumed for </w:t>
      </w:r>
      <w:r w:rsidR="00A04106">
        <w:t>C</w:t>
      </w:r>
      <w:r>
        <w:t>abinet consideration of the economic impacts of essential freshwater</w:t>
      </w:r>
      <w:r w:rsidR="00794C4B">
        <w:t>.</w:t>
      </w:r>
      <w:r w:rsidR="00AD0293">
        <w:rPr>
          <w:rStyle w:val="FootnoteReference"/>
        </w:rPr>
        <w:footnoteReference w:id="7"/>
      </w:r>
      <w:r>
        <w:t xml:space="preserve"> It is not</w:t>
      </w:r>
      <w:r w:rsidR="001C685B">
        <w:t> </w:t>
      </w:r>
      <w:r>
        <w:t>a</w:t>
      </w:r>
      <w:r w:rsidR="001C685B">
        <w:t> </w:t>
      </w:r>
      <w:r>
        <w:t>target to aim</w:t>
      </w:r>
      <w:r w:rsidR="00794C4B">
        <w:t> </w:t>
      </w:r>
      <w:r>
        <w:t xml:space="preserve">for, and </w:t>
      </w:r>
      <w:r w:rsidR="00AD0293">
        <w:t>w</w:t>
      </w:r>
      <w:r w:rsidR="00A34EA8">
        <w:t>e re</w:t>
      </w:r>
      <w:r w:rsidR="00AD0293">
        <w:t xml:space="preserve">commend </w:t>
      </w:r>
      <w:r w:rsidR="00A34EA8">
        <w:t xml:space="preserve">councils achieve </w:t>
      </w:r>
      <w:r w:rsidR="00AD0293">
        <w:t>as low a spatial</w:t>
      </w:r>
      <w:r>
        <w:t xml:space="preserve"> exceedance as practicable</w:t>
      </w:r>
      <w:r w:rsidR="00794C4B">
        <w:t xml:space="preserve"> </w:t>
      </w:r>
      <w:r>
        <w:t>(eg, 5</w:t>
      </w:r>
      <w:r w:rsidR="000A0CAF">
        <w:t> percent</w:t>
      </w:r>
      <w:r>
        <w:t>, 10</w:t>
      </w:r>
      <w:r w:rsidR="000A0CAF">
        <w:t> percent</w:t>
      </w:r>
      <w:r>
        <w:t xml:space="preserve"> or 15</w:t>
      </w:r>
      <w:r w:rsidR="000A0CAF">
        <w:t> percent</w:t>
      </w:r>
      <w:r>
        <w:t>) for the chosen periphyton target attribute</w:t>
      </w:r>
      <w:r w:rsidR="001C685B">
        <w:t> </w:t>
      </w:r>
      <w:r>
        <w:t>state</w:t>
      </w:r>
      <w:r w:rsidR="00AD0293">
        <w:t xml:space="preserve">. </w:t>
      </w:r>
    </w:p>
    <w:p w14:paraId="4947E7E7" w14:textId="12C8D5A9" w:rsidR="00C66C3C" w:rsidRDefault="00532B50" w:rsidP="00236E0A">
      <w:pPr>
        <w:pStyle w:val="BodyText"/>
      </w:pPr>
      <w:r>
        <w:t xml:space="preserve">This </w:t>
      </w:r>
      <w:r w:rsidR="00D97A62">
        <w:t>guideline</w:t>
      </w:r>
      <w:r>
        <w:t xml:space="preserve"> is currently in the process of being updated</w:t>
      </w:r>
      <w:r w:rsidR="00F526FB">
        <w:t>,</w:t>
      </w:r>
      <w:r>
        <w:t xml:space="preserve"> with a similar statistical model being applied to a larger dataset.</w:t>
      </w:r>
      <w:r w:rsidR="00DD47E9">
        <w:t xml:space="preserve"> </w:t>
      </w:r>
    </w:p>
    <w:p w14:paraId="4290D716" w14:textId="466098C3" w:rsidR="00552375" w:rsidRPr="00790CE5" w:rsidRDefault="00552375" w:rsidP="00984D09">
      <w:pPr>
        <w:pStyle w:val="Heading4"/>
      </w:pPr>
      <w:r w:rsidRPr="005A4E9F">
        <w:t>Developing a regional statistical model</w:t>
      </w:r>
    </w:p>
    <w:p w14:paraId="49984BEC" w14:textId="3261346E" w:rsidR="00552375" w:rsidRDefault="00552375" w:rsidP="00794C4B">
      <w:pPr>
        <w:pStyle w:val="BodyText"/>
      </w:pPr>
      <w:r>
        <w:t>Figure 2 shows</w:t>
      </w:r>
      <w:r w:rsidRPr="0023706B">
        <w:t xml:space="preserve"> process steps recommended </w:t>
      </w:r>
      <w:r>
        <w:t>i</w:t>
      </w:r>
      <w:r w:rsidRPr="0023706B">
        <w:t xml:space="preserve">f development of a </w:t>
      </w:r>
      <w:r>
        <w:t xml:space="preserve">regional </w:t>
      </w:r>
      <w:r w:rsidRPr="0023706B">
        <w:t xml:space="preserve">model is </w:t>
      </w:r>
      <w:r>
        <w:t xml:space="preserve">considered the best option for deriving robust </w:t>
      </w:r>
      <w:r w:rsidRPr="00794C4B">
        <w:t>nutrient</w:t>
      </w:r>
      <w:r>
        <w:t xml:space="preserve"> criteria</w:t>
      </w:r>
      <w:r w:rsidR="00D05864">
        <w:t xml:space="preserve"> for periphyton</w:t>
      </w:r>
      <w:r w:rsidR="00CF4B62">
        <w:t>, or for validating models derived at larger scales.</w:t>
      </w:r>
      <w:r w:rsidR="00CF4B62" w:rsidRPr="0023706B">
        <w:t xml:space="preserve"> Further</w:t>
      </w:r>
      <w:r w:rsidRPr="0023706B">
        <w:t xml:space="preserve"> information about each step is outlined in detail below.</w:t>
      </w:r>
    </w:p>
    <w:p w14:paraId="4EDCECEE" w14:textId="0E0C5BDD" w:rsidR="00552375" w:rsidRPr="0023706B" w:rsidRDefault="00552375" w:rsidP="00794C4B">
      <w:pPr>
        <w:pStyle w:val="Figureheading"/>
      </w:pPr>
      <w:bookmarkStart w:id="25" w:name="_Toc521487710"/>
      <w:bookmarkStart w:id="26" w:name="_Toc73711475"/>
      <w:r w:rsidRPr="0023706B">
        <w:lastRenderedPageBreak/>
        <w:t xml:space="preserve">Figure </w:t>
      </w:r>
      <w:fldSimple w:instr=" SEQ Figure \* ARABIC ">
        <w:r w:rsidR="001A7243">
          <w:rPr>
            <w:noProof/>
          </w:rPr>
          <w:t>2</w:t>
        </w:r>
      </w:fldSimple>
      <w:r w:rsidRPr="0023706B">
        <w:t xml:space="preserve">: </w:t>
      </w:r>
      <w:r>
        <w:tab/>
      </w:r>
      <w:r w:rsidRPr="0023706B">
        <w:t xml:space="preserve">Process for </w:t>
      </w:r>
      <w:r w:rsidRPr="00794C4B">
        <w:t>developing</w:t>
      </w:r>
      <w:r w:rsidRPr="0023706B">
        <w:t xml:space="preserve"> a new regional, river class or FMU model to identify nutrient criteria to achieve a periphyton objective in hard-bottom streams and rivers</w:t>
      </w:r>
      <w:bookmarkEnd w:id="25"/>
      <w:bookmarkEnd w:id="26"/>
    </w:p>
    <w:p w14:paraId="0C7A45D9" w14:textId="77777777" w:rsidR="00552375" w:rsidRPr="0023706B" w:rsidRDefault="00552375" w:rsidP="00552375">
      <w:pPr>
        <w:pStyle w:val="BodyText"/>
        <w:jc w:val="center"/>
        <w:rPr>
          <w:highlight w:val="yellow"/>
        </w:rPr>
      </w:pPr>
      <w:r w:rsidRPr="009A4F13">
        <w:rPr>
          <w:noProof/>
        </w:rPr>
        <w:drawing>
          <wp:inline distT="0" distB="0" distL="0" distR="0" wp14:anchorId="38150A82" wp14:editId="1A40E59C">
            <wp:extent cx="3027509" cy="3696346"/>
            <wp:effectExtent l="0" t="0" r="1905" b="0"/>
            <wp:docPr id="31" name="Picture 31" descr="O:\MFE18203\Working\Final draft\Model 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FE18203\Working\Final draft\Model developmen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6392" cy="3707192"/>
                    </a:xfrm>
                    <a:prstGeom prst="rect">
                      <a:avLst/>
                    </a:prstGeom>
                    <a:noFill/>
                    <a:ln>
                      <a:noFill/>
                    </a:ln>
                  </pic:spPr>
                </pic:pic>
              </a:graphicData>
            </a:graphic>
          </wp:inline>
        </w:drawing>
      </w:r>
    </w:p>
    <w:p w14:paraId="49D65213" w14:textId="77777777" w:rsidR="00552375" w:rsidRPr="0023706B" w:rsidRDefault="00552375" w:rsidP="00552375">
      <w:pPr>
        <w:pStyle w:val="Heading5"/>
      </w:pPr>
      <w:r w:rsidRPr="0023706B">
        <w:t>Step</w:t>
      </w:r>
      <w:r>
        <w:t xml:space="preserve"> 1:</w:t>
      </w:r>
      <w:r w:rsidRPr="0023706B">
        <w:t xml:space="preserve"> Consider applying a river classification system</w:t>
      </w:r>
    </w:p>
    <w:p w14:paraId="3E177E3E" w14:textId="76D07C47" w:rsidR="00552375" w:rsidRPr="00517518" w:rsidRDefault="00552375" w:rsidP="00552375">
      <w:pPr>
        <w:pStyle w:val="BodyText"/>
      </w:pPr>
      <w:r w:rsidRPr="00DF24E3">
        <w:t>Considering the influence of natural variation in factors controlling periphyton when setting nutrient criteria for periphyton management is important.</w:t>
      </w:r>
      <w:r w:rsidRPr="00517518">
        <w:t xml:space="preserve"> Natural variations in climate and geology across New Zealand are likely to result in some streams and rivers being naturally more</w:t>
      </w:r>
      <w:r w:rsidR="00794C4B">
        <w:t> </w:t>
      </w:r>
      <w:r w:rsidRPr="00517518">
        <w:t>susceptible to periphyton growth than others. This has been partly accounted for in the NPS-FM periphyton attribute by the designation of default and naturally productive river classes. The productive river class has a higher allowable frequency of exceedance criterion for a periphyton objective (17% of time) than the default river class (8% of time). The productive river class includes streams and rivers that are classified as Cool Dry (CD) or Warm Dry (WD), and have Soft Sedimentary (SS), Volcanic Acidic (VA) or Volcanic Basic (VB) geology according to</w:t>
      </w:r>
      <w:r w:rsidR="00794C4B">
        <w:t> </w:t>
      </w:r>
      <w:r w:rsidRPr="00517518">
        <w:t>the New Zealand River Environment Classification (REC, Snelder</w:t>
      </w:r>
      <w:r>
        <w:t xml:space="preserve"> and Biggs, </w:t>
      </w:r>
      <w:r w:rsidRPr="00517518">
        <w:t xml:space="preserve">2002). The rationale for this is that landscapes in dry climates are subject to less rainfall and thus rivers and streams here have less frequent flushing flows to remove periphyton, and streams and rivers in landscapes with soft sediment and volcanic geologies are more likely to be naturally enriched with nutrients, particularly phosphorus, which will enhance growth and accrual of periphyton biomass. </w:t>
      </w:r>
    </w:p>
    <w:p w14:paraId="2652D41C" w14:textId="77777777" w:rsidR="00552375" w:rsidRPr="005A4E9F" w:rsidRDefault="00552375" w:rsidP="00552375">
      <w:pPr>
        <w:pStyle w:val="BodyText"/>
      </w:pPr>
      <w:r>
        <w:t xml:space="preserve">Hence, </w:t>
      </w:r>
      <w:r w:rsidRPr="0023706B">
        <w:t xml:space="preserve">it might be necessary to apply a further river classification </w:t>
      </w:r>
      <w:r>
        <w:t>i</w:t>
      </w:r>
      <w:r w:rsidRPr="0023706B">
        <w:t xml:space="preserve">n regions with diverse landscapes. </w:t>
      </w:r>
      <w:r>
        <w:t>Using</w:t>
      </w:r>
      <w:r w:rsidRPr="0023706B">
        <w:t xml:space="preserve"> a classification </w:t>
      </w:r>
      <w:r>
        <w:t xml:space="preserve">facilitates identification of </w:t>
      </w:r>
      <w:r w:rsidRPr="0023706B">
        <w:t xml:space="preserve">rivers with different environments </w:t>
      </w:r>
      <w:r>
        <w:t xml:space="preserve">where </w:t>
      </w:r>
      <w:r w:rsidRPr="0023706B">
        <w:t>periphyton responses to</w:t>
      </w:r>
      <w:r>
        <w:t xml:space="preserve"> nutrients are expected to differ</w:t>
      </w:r>
      <w:r w:rsidRPr="0023706B">
        <w:t xml:space="preserve">. As an example, Canterbury rivers draining mountain catchments appear to have different (and simpler) relationships to periphyton than rivers draining hill or lowland catchments. The two river types are generally identifiable from their source-of-flow classification in the REC, but local knowledge could also be applied to separate </w:t>
      </w:r>
      <w:r w:rsidRPr="00F17234">
        <w:t xml:space="preserve">river types. For example, in the Canterbury region, different models </w:t>
      </w:r>
      <w:r w:rsidRPr="005A4E9F">
        <w:t>have been developed for rivers in alpine and hill areas (Kilroy et al., 2017).</w:t>
      </w:r>
    </w:p>
    <w:p w14:paraId="52A009DE" w14:textId="77777777" w:rsidR="00552375" w:rsidRPr="00F17234" w:rsidRDefault="00552375" w:rsidP="00552375">
      <w:pPr>
        <w:pStyle w:val="Heading5"/>
      </w:pPr>
      <w:r>
        <w:lastRenderedPageBreak/>
        <w:t>Step 2:</w:t>
      </w:r>
      <w:r w:rsidRPr="00F17234">
        <w:t xml:space="preserve"> Select suitable periphyton monitoring sites</w:t>
      </w:r>
    </w:p>
    <w:p w14:paraId="60A75F5D" w14:textId="70CF9803" w:rsidR="00552375" w:rsidRDefault="00552375" w:rsidP="00794C4B">
      <w:pPr>
        <w:pStyle w:val="BodyText"/>
      </w:pPr>
      <w:r w:rsidRPr="00F17234">
        <w:t xml:space="preserve">The purpose of this step is to ensure that there are enough monitoring sites in each river class for which a separate periphyton model will be developed, and that an appropriate river reach at each monitoring site is selected for periphyton monitoring. </w:t>
      </w:r>
      <w:r>
        <w:t>S</w:t>
      </w:r>
      <w:r w:rsidRPr="00F17234">
        <w:t xml:space="preserve">ites </w:t>
      </w:r>
      <w:r>
        <w:t>should be</w:t>
      </w:r>
      <w:r w:rsidRPr="00F17234">
        <w:t xml:space="preserve"> selected to cover</w:t>
      </w:r>
      <w:r w:rsidR="00794C4B">
        <w:t> </w:t>
      </w:r>
      <w:r w:rsidRPr="00F17234">
        <w:t>the anticipated range of values for the factors considered likely to influence periphyton biomass, particularly flow disturbance and nutrient regimes (Biggs</w:t>
      </w:r>
      <w:r>
        <w:t>,</w:t>
      </w:r>
      <w:r w:rsidRPr="00F17234">
        <w:t xml:space="preserve"> 2000). To develop a robust</w:t>
      </w:r>
      <w:r w:rsidR="00794C4B">
        <w:t> </w:t>
      </w:r>
      <w:r w:rsidRPr="00F17234">
        <w:t>multivariate model, a common</w:t>
      </w:r>
      <w:r>
        <w:t xml:space="preserve"> recommendation</w:t>
      </w:r>
      <w:r w:rsidRPr="00F17234">
        <w:t xml:space="preserve"> is </w:t>
      </w:r>
      <w:r>
        <w:t xml:space="preserve">to have </w:t>
      </w:r>
      <w:r w:rsidRPr="00F17234">
        <w:t>at least 10 points for every independent variable, so if there are three independent variables in the model then 30 points will be needed (McDonald</w:t>
      </w:r>
      <w:r>
        <w:t>,</w:t>
      </w:r>
      <w:r w:rsidRPr="00F17234">
        <w:t xml:space="preserve"> 2014). </w:t>
      </w:r>
      <w:r>
        <w:t>However, there is no strict rule on this and smaller sample sizes than this have been used to develop regional models in Canterbury and Manawatu-Whanganui.</w:t>
      </w:r>
      <w:r w:rsidR="00DD47E9">
        <w:t xml:space="preserve"> </w:t>
      </w:r>
      <w:r w:rsidRPr="00F17234">
        <w:t>Alternatively, a power analysis could be carried out to determine an appropriate sample size. Periphyton monitoring site selection protocols outlined in the New Zealand Periphyton Monitoring Manual (Biggs and Kilroy</w:t>
      </w:r>
      <w:r>
        <w:t>,</w:t>
      </w:r>
      <w:r w:rsidRPr="00F17234">
        <w:t xml:space="preserve"> 2000) should be consulted.</w:t>
      </w:r>
      <w:r>
        <w:t xml:space="preserve"> Consider the representativeness of habitat type where periphyton is sampled and standardised across reaches, if possible.</w:t>
      </w:r>
    </w:p>
    <w:p w14:paraId="10026B33" w14:textId="77777777" w:rsidR="00552375" w:rsidRPr="00F17234" w:rsidRDefault="00552375" w:rsidP="00552375">
      <w:pPr>
        <w:pStyle w:val="Heading5"/>
      </w:pPr>
      <w:r>
        <w:t>Step 3:</w:t>
      </w:r>
      <w:r w:rsidRPr="00F17234">
        <w:t xml:space="preserve"> Monitor periphyton</w:t>
      </w:r>
    </w:p>
    <w:p w14:paraId="47D73308" w14:textId="131E3EB4" w:rsidR="00552375" w:rsidRDefault="00552375" w:rsidP="00A6637A">
      <w:pPr>
        <w:pStyle w:val="BodyText"/>
        <w:rPr>
          <w:rFonts w:cs="Segoe UI"/>
        </w:rPr>
      </w:pPr>
      <w:r w:rsidRPr="009D1D0E">
        <w:t xml:space="preserve">Periphyton biomass (as chlorophyll </w:t>
      </w:r>
      <w:r w:rsidRPr="009D1D0E">
        <w:rPr>
          <w:i/>
        </w:rPr>
        <w:t>a</w:t>
      </w:r>
      <w:r w:rsidRPr="009D1D0E">
        <w:t>) should be monitored at each site in accordance with the</w:t>
      </w:r>
      <w:r w:rsidR="00A6637A">
        <w:t> </w:t>
      </w:r>
      <w:r w:rsidRPr="009D1D0E">
        <w:t>requirements of the NPS-FM periphyton attribute. The attribute stipulates monthly monitoring for a minimum period of three years (see MfE</w:t>
      </w:r>
      <w:r>
        <w:t>,</w:t>
      </w:r>
      <w:r w:rsidRPr="009D1D0E">
        <w:t xml:space="preserve"> 2018).</w:t>
      </w:r>
      <w:r w:rsidR="00DD47E9">
        <w:t xml:space="preserve"> </w:t>
      </w:r>
      <w:r w:rsidRPr="009D1D0E">
        <w:t>Comprehensive monitoring protocols for periphyton biomass are available and should be followed (see Biggs and Kilroy 2000). A National Environmental Monitoring Standard for periphyton is in development (see</w:t>
      </w:r>
      <w:r w:rsidR="00A6637A">
        <w:t> </w:t>
      </w:r>
      <w:hyperlink r:id="rId35" w:history="1">
        <w:r w:rsidRPr="006970FB">
          <w:rPr>
            <w:rStyle w:val="Hyperlink"/>
            <w:rFonts w:asciiTheme="minorHAnsi" w:hAnsiTheme="minorHAnsi"/>
          </w:rPr>
          <w:t>www.nems.org.nz</w:t>
        </w:r>
      </w:hyperlink>
      <w:r w:rsidRPr="009D1D0E">
        <w:t xml:space="preserve">). Additional useful information on the nature of the periphyton </w:t>
      </w:r>
      <w:r>
        <w:t xml:space="preserve">community </w:t>
      </w:r>
      <w:r w:rsidRPr="009D1D0E">
        <w:t>(e</w:t>
      </w:r>
      <w:r>
        <w:t>g,</w:t>
      </w:r>
      <w:r w:rsidRPr="009D1D0E">
        <w:t xml:space="preserve"> filamentous vs. cyanobacteria vs. diatom dominance) can be gathered at </w:t>
      </w:r>
      <w:r w:rsidRPr="005A4E9F">
        <w:t>minimal cost by assessing percentage periphyton cover by types (Kilroy et al., 2013). At</w:t>
      </w:r>
      <w:r w:rsidRPr="009D1D0E">
        <w:rPr>
          <w:rFonts w:cs="Segoe UI"/>
        </w:rPr>
        <w:t xml:space="preserve"> greater</w:t>
      </w:r>
      <w:r w:rsidR="00A6637A">
        <w:rPr>
          <w:rFonts w:cs="Segoe UI"/>
        </w:rPr>
        <w:t> </w:t>
      </w:r>
      <w:r w:rsidRPr="009D1D0E">
        <w:rPr>
          <w:rFonts w:cs="Segoe UI"/>
        </w:rPr>
        <w:t xml:space="preserve">expense/effort, measurement of the periphyton C:N:P ratios on the samples collected for </w:t>
      </w:r>
      <w:r>
        <w:rPr>
          <w:rFonts w:cs="Segoe UI"/>
        </w:rPr>
        <w:t xml:space="preserve">chlorophyll </w:t>
      </w:r>
      <w:r w:rsidRPr="009D1D0E">
        <w:rPr>
          <w:rFonts w:cs="Segoe UI"/>
          <w:i/>
        </w:rPr>
        <w:t>a</w:t>
      </w:r>
      <w:r w:rsidRPr="009D1D0E">
        <w:rPr>
          <w:rFonts w:cs="Segoe UI"/>
        </w:rPr>
        <w:t xml:space="preserve"> analysis also provides insightful information on periphyton nutrient status (e</w:t>
      </w:r>
      <w:r>
        <w:rPr>
          <w:rFonts w:cs="Segoe UI"/>
        </w:rPr>
        <w:t>g</w:t>
      </w:r>
      <w:r w:rsidRPr="009D1D0E">
        <w:rPr>
          <w:rFonts w:cs="Segoe UI"/>
        </w:rPr>
        <w:t>,</w:t>
      </w:r>
      <w:r w:rsidR="00A6637A">
        <w:rPr>
          <w:rFonts w:cs="Segoe UI"/>
        </w:rPr>
        <w:t> </w:t>
      </w:r>
      <w:r w:rsidRPr="009D1D0E">
        <w:rPr>
          <w:rFonts w:cs="Segoe UI"/>
        </w:rPr>
        <w:t>nutrient stress/deficiency o</w:t>
      </w:r>
      <w:r>
        <w:rPr>
          <w:rFonts w:cs="Segoe UI"/>
        </w:rPr>
        <w:t>r</w:t>
      </w:r>
      <w:r w:rsidRPr="009D1D0E">
        <w:rPr>
          <w:rFonts w:cs="Segoe UI"/>
        </w:rPr>
        <w:t xml:space="preserve"> sufficiency)</w:t>
      </w:r>
      <w:r>
        <w:rPr>
          <w:rFonts w:cs="Segoe UI"/>
        </w:rPr>
        <w:t>,</w:t>
      </w:r>
      <w:r w:rsidRPr="009D1D0E">
        <w:rPr>
          <w:rFonts w:cs="Segoe UI"/>
        </w:rPr>
        <w:t xml:space="preserve"> and species composition analysis adds to the understanding of effects, since species vary in their growth requirements.</w:t>
      </w:r>
    </w:p>
    <w:p w14:paraId="25CD99E4" w14:textId="77777777" w:rsidR="00552375" w:rsidRPr="00F17234" w:rsidRDefault="00552375" w:rsidP="00552375">
      <w:pPr>
        <w:pStyle w:val="Heading5"/>
      </w:pPr>
      <w:r>
        <w:t>Step 4:</w:t>
      </w:r>
      <w:r w:rsidRPr="00F17234">
        <w:t xml:space="preserve"> Collect data on controlling factors</w:t>
      </w:r>
    </w:p>
    <w:p w14:paraId="5B958D74" w14:textId="73BB6ACB" w:rsidR="00552375" w:rsidRPr="00F17234" w:rsidRDefault="00552375" w:rsidP="00A6637A">
      <w:pPr>
        <w:pStyle w:val="BodyText"/>
      </w:pPr>
      <w:r w:rsidRPr="00F17234">
        <w:t>The best models will likely be developed using data on controlling factors (</w:t>
      </w:r>
      <w:r>
        <w:t>ie,</w:t>
      </w:r>
      <w:r w:rsidRPr="00F17234">
        <w:t xml:space="preserve"> light and nutrient availability, temperature, hydrological disturbances and grazing) that have been measured concurrently with periphyton at </w:t>
      </w:r>
      <w:r>
        <w:t xml:space="preserve">periphyton </w:t>
      </w:r>
      <w:r w:rsidRPr="00F17234">
        <w:t xml:space="preserve">monitoring sites. Most of the periphyton models developed to date using national datasets have used model-extrapolated data for some controlling factors </w:t>
      </w:r>
      <w:r>
        <w:t xml:space="preserve">(except Biggs, </w:t>
      </w:r>
      <w:r w:rsidRPr="00F17234">
        <w:t>2000) because little or no measured data were available. The</w:t>
      </w:r>
      <w:r w:rsidR="00A6637A">
        <w:t> </w:t>
      </w:r>
      <w:r w:rsidRPr="00F17234">
        <w:t xml:space="preserve">NPS-FM periphyton attribute requires monthly monitoring of periphyton so concurrent measurement of nutrients and other controlling factors at periphyton monitoring sites can occur at the same time. </w:t>
      </w:r>
    </w:p>
    <w:p w14:paraId="13607BE0" w14:textId="3EE9C8FA" w:rsidR="00552375" w:rsidRPr="00F17234" w:rsidRDefault="00552375" w:rsidP="00A6637A">
      <w:pPr>
        <w:pStyle w:val="BodyText"/>
      </w:pPr>
      <w:r>
        <w:t xml:space="preserve">We recommend a </w:t>
      </w:r>
      <w:r w:rsidRPr="00F17234">
        <w:t xml:space="preserve">staged approach to monitoring and inclusion of controlling </w:t>
      </w:r>
      <w:r w:rsidRPr="00A6637A">
        <w:t>factors</w:t>
      </w:r>
      <w:r w:rsidRPr="00F17234">
        <w:t xml:space="preserve"> in a periphyton model</w:t>
      </w:r>
      <w:r>
        <w:t xml:space="preserve"> </w:t>
      </w:r>
      <w:r w:rsidRPr="00F17234">
        <w:t xml:space="preserve">because the controlling factors are likely to differ in explanatory power between models for different river classes and regions. </w:t>
      </w:r>
      <w:r>
        <w:t>A</w:t>
      </w:r>
      <w:r w:rsidRPr="00F17234">
        <w:t xml:space="preserve">ll controlling factors </w:t>
      </w:r>
      <w:r>
        <w:t xml:space="preserve">should be monitored </w:t>
      </w:r>
      <w:r w:rsidRPr="00F17234">
        <w:t>for at least 12 months and then the explanatory power of the controlling factors in</w:t>
      </w:r>
      <w:r w:rsidR="00A6637A">
        <w:t> </w:t>
      </w:r>
      <w:r w:rsidRPr="00F17234">
        <w:t>statistical models should be determined. Following this, monitoring of only those controlling</w:t>
      </w:r>
      <w:r w:rsidR="00A6637A">
        <w:t> </w:t>
      </w:r>
      <w:r w:rsidRPr="00F17234">
        <w:t>factors with high explanatory power may be warranted.</w:t>
      </w:r>
    </w:p>
    <w:p w14:paraId="777D06F4" w14:textId="77777777" w:rsidR="00552375" w:rsidRPr="00F17234" w:rsidRDefault="00552375" w:rsidP="00552375">
      <w:pPr>
        <w:pStyle w:val="BodyText"/>
      </w:pPr>
      <w:r w:rsidRPr="00F17234">
        <w:t xml:space="preserve">The parameters recommended for measurement at periphyton monitoring sites, and to evaluate for inclusion in periphyton models, are: </w:t>
      </w:r>
    </w:p>
    <w:p w14:paraId="1280C2E4" w14:textId="77777777" w:rsidR="00552375" w:rsidRPr="00F17234" w:rsidRDefault="00552375" w:rsidP="007415D9">
      <w:pPr>
        <w:pStyle w:val="Bullet"/>
        <w:spacing w:after="100"/>
      </w:pPr>
      <w:r>
        <w:lastRenderedPageBreak/>
        <w:t>d</w:t>
      </w:r>
      <w:r w:rsidRPr="00F17234">
        <w:t>ays of accrual or effective flushing flow frequency</w:t>
      </w:r>
    </w:p>
    <w:p w14:paraId="70C16F3B" w14:textId="77777777" w:rsidR="00552375" w:rsidRPr="00F17234" w:rsidRDefault="00552375" w:rsidP="007415D9">
      <w:pPr>
        <w:pStyle w:val="Bullet"/>
        <w:spacing w:after="100"/>
      </w:pPr>
      <w:r>
        <w:t>d</w:t>
      </w:r>
      <w:r w:rsidRPr="00F17234">
        <w:t>issolved nutrient (DIN, DRP) concentrations</w:t>
      </w:r>
    </w:p>
    <w:p w14:paraId="47D5126F" w14:textId="77777777" w:rsidR="00552375" w:rsidRPr="00F17234" w:rsidDel="00A3352F" w:rsidRDefault="00552375" w:rsidP="007415D9">
      <w:pPr>
        <w:pStyle w:val="Bullet"/>
        <w:spacing w:after="100"/>
      </w:pPr>
      <w:r>
        <w:t>s</w:t>
      </w:r>
      <w:r w:rsidRPr="00F17234" w:rsidDel="00A3352F">
        <w:t>hade or light at bed</w:t>
      </w:r>
    </w:p>
    <w:p w14:paraId="54310AA8" w14:textId="77777777" w:rsidR="00552375" w:rsidRPr="00F17234" w:rsidRDefault="00552375" w:rsidP="007415D9">
      <w:pPr>
        <w:pStyle w:val="Bullet"/>
        <w:spacing w:after="100"/>
      </w:pPr>
      <w:r>
        <w:t>c</w:t>
      </w:r>
      <w:r w:rsidRPr="00F17234">
        <w:t>onductivity</w:t>
      </w:r>
    </w:p>
    <w:p w14:paraId="7872C32B" w14:textId="77777777" w:rsidR="00552375" w:rsidRPr="00F17234" w:rsidRDefault="00552375" w:rsidP="007415D9">
      <w:pPr>
        <w:pStyle w:val="Bullet"/>
        <w:spacing w:after="100"/>
      </w:pPr>
      <w:r>
        <w:t>s</w:t>
      </w:r>
      <w:r w:rsidRPr="00F17234">
        <w:t>ubstrate composition</w:t>
      </w:r>
    </w:p>
    <w:p w14:paraId="65B6374A" w14:textId="77777777" w:rsidR="00552375" w:rsidRPr="00F17234" w:rsidRDefault="00552375" w:rsidP="007415D9">
      <w:pPr>
        <w:pStyle w:val="Bullet"/>
        <w:spacing w:after="100"/>
      </w:pPr>
      <w:r>
        <w:t>water temperature</w:t>
      </w:r>
    </w:p>
    <w:p w14:paraId="1A73F6AA" w14:textId="77777777" w:rsidR="00552375" w:rsidRPr="00F17234" w:rsidRDefault="00552375" w:rsidP="007415D9">
      <w:pPr>
        <w:pStyle w:val="Bullet"/>
        <w:spacing w:after="100"/>
      </w:pPr>
      <w:r>
        <w:t>d</w:t>
      </w:r>
      <w:r w:rsidRPr="00F17234">
        <w:t>ensity of macroinvertebrate grazers.</w:t>
      </w:r>
    </w:p>
    <w:p w14:paraId="6DCA96FF" w14:textId="77777777" w:rsidR="00552375" w:rsidRPr="00DB0FCD" w:rsidRDefault="00552375" w:rsidP="00DB0FCD">
      <w:pPr>
        <w:pStyle w:val="Heading5"/>
        <w:rPr>
          <w:b/>
          <w:bCs/>
          <w:i w:val="0"/>
          <w:iCs/>
          <w:sz w:val="22"/>
          <w:szCs w:val="20"/>
        </w:rPr>
      </w:pPr>
      <w:r w:rsidRPr="00DB0FCD">
        <w:rPr>
          <w:b/>
          <w:bCs/>
          <w:i w:val="0"/>
          <w:iCs/>
          <w:sz w:val="22"/>
          <w:szCs w:val="20"/>
        </w:rPr>
        <w:t>Days of accrual or effective flushing flow frequency</w:t>
      </w:r>
    </w:p>
    <w:p w14:paraId="100F9A2B" w14:textId="77777777" w:rsidR="00552375" w:rsidRPr="00F17234" w:rsidRDefault="00552375" w:rsidP="00DB0FCD">
      <w:pPr>
        <w:pStyle w:val="BodyText"/>
      </w:pPr>
      <w:r w:rsidRPr="00F17234">
        <w:t xml:space="preserve">The development of </w:t>
      </w:r>
      <w:r w:rsidRPr="00DB0FCD">
        <w:t>periphyton</w:t>
      </w:r>
      <w:r w:rsidRPr="00F17234">
        <w:t xml:space="preserve"> biomass in any stream or river is strongly controlled by flow events that periodically scour it from the river bed. Therefore, it is essential that a parameter that reflects this factor be included in a periphyton model. This parameter could be the annual average (or </w:t>
      </w:r>
      <w:r>
        <w:t>summer</w:t>
      </w:r>
      <w:r w:rsidRPr="00F17234">
        <w:t xml:space="preserve">) frequency of flushing flow events, or the annual average (or </w:t>
      </w:r>
      <w:r>
        <w:t>summer</w:t>
      </w:r>
      <w:r w:rsidRPr="00F17234">
        <w:t>) days of accrual following a flushing flow event. The annual average days of accrual can be calculated from the former as follows:</w:t>
      </w:r>
    </w:p>
    <w:p w14:paraId="419A1BE4" w14:textId="77777777" w:rsidR="00552375" w:rsidRPr="00DB0FCD" w:rsidRDefault="00552375" w:rsidP="007415D9">
      <w:pPr>
        <w:pStyle w:val="BodyText"/>
        <w:spacing w:before="40" w:after="40"/>
        <w:ind w:left="851"/>
      </w:pPr>
      <w:r w:rsidRPr="00F17234">
        <w:t>Da = (365 – n</w:t>
      </w:r>
      <w:r w:rsidRPr="00F17234">
        <w:rPr>
          <w:vertAlign w:val="superscript"/>
        </w:rPr>
        <w:t>ex</w:t>
      </w:r>
      <w:r w:rsidRPr="00F17234">
        <w:t>) / n</w:t>
      </w:r>
      <w:r w:rsidRPr="00F17234">
        <w:rPr>
          <w:vertAlign w:val="superscript"/>
        </w:rPr>
        <w:t>ev</w:t>
      </w:r>
    </w:p>
    <w:p w14:paraId="502CE37A" w14:textId="77777777" w:rsidR="00552375" w:rsidRPr="00F17234" w:rsidRDefault="00552375" w:rsidP="00DB0FCD">
      <w:pPr>
        <w:pStyle w:val="BodyText"/>
        <w:spacing w:after="60"/>
      </w:pPr>
      <w:r w:rsidRPr="00F17234">
        <w:t>Where:</w:t>
      </w:r>
      <w:r w:rsidRPr="00F17234">
        <w:tab/>
        <w:t xml:space="preserve"> </w:t>
      </w:r>
    </w:p>
    <w:p w14:paraId="651F9D81" w14:textId="77777777" w:rsidR="00552375" w:rsidRPr="00DB0FCD" w:rsidRDefault="00552375" w:rsidP="007415D9">
      <w:pPr>
        <w:pStyle w:val="BodyText"/>
        <w:spacing w:before="0" w:after="100"/>
      </w:pPr>
      <w:r w:rsidRPr="00F17234">
        <w:t>Da = annual average days of accrual</w:t>
      </w:r>
    </w:p>
    <w:p w14:paraId="08EA4412" w14:textId="77777777" w:rsidR="00552375" w:rsidRPr="00DB0FCD" w:rsidRDefault="00552375" w:rsidP="007415D9">
      <w:pPr>
        <w:pStyle w:val="BodyText"/>
        <w:spacing w:before="0" w:after="100"/>
      </w:pPr>
      <w:r w:rsidRPr="00F17234">
        <w:t>n</w:t>
      </w:r>
      <w:r w:rsidRPr="00F17234">
        <w:rPr>
          <w:vertAlign w:val="superscript"/>
        </w:rPr>
        <w:t>ex</w:t>
      </w:r>
      <w:r w:rsidRPr="00F17234">
        <w:t xml:space="preserve"> = annual number of days exceeding flow threshold</w:t>
      </w:r>
    </w:p>
    <w:p w14:paraId="1E4210BA" w14:textId="77777777" w:rsidR="00552375" w:rsidRPr="00DB0FCD" w:rsidRDefault="00552375" w:rsidP="00DB0FCD">
      <w:pPr>
        <w:pStyle w:val="BodyText"/>
        <w:spacing w:before="0"/>
      </w:pPr>
      <w:r w:rsidRPr="00F17234">
        <w:t>n</w:t>
      </w:r>
      <w:r w:rsidRPr="00F17234">
        <w:rPr>
          <w:vertAlign w:val="superscript"/>
        </w:rPr>
        <w:t xml:space="preserve">ev </w:t>
      </w:r>
      <w:r w:rsidRPr="00F17234">
        <w:t>= annual number of flow events</w:t>
      </w:r>
    </w:p>
    <w:p w14:paraId="67886D29" w14:textId="55295D88" w:rsidR="00552375" w:rsidRPr="00F17234" w:rsidRDefault="00552375" w:rsidP="007415D9">
      <w:pPr>
        <w:pStyle w:val="BodyText"/>
        <w:spacing w:before="100" w:after="100"/>
      </w:pPr>
      <w:r w:rsidRPr="00F17234">
        <w:t xml:space="preserve">To determine these parameters monitoring sites need to be linked to a flow record (either near a flow </w:t>
      </w:r>
      <w:r w:rsidRPr="00DB0FCD">
        <w:t>recorder</w:t>
      </w:r>
      <w:r w:rsidRPr="00F17234">
        <w:t>, or a flow record modelled for the site). A flushing flow event greater than or equal to three times the median flow has been considered the most likely sized event to scour periphyton from the river bed and this is the parameter used in past periphyton models (Biggs</w:t>
      </w:r>
      <w:r>
        <w:t>,</w:t>
      </w:r>
      <w:r w:rsidRPr="00F17234">
        <w:t xml:space="preserve"> 2000, Matheson </w:t>
      </w:r>
      <w:r w:rsidRPr="00B97D25">
        <w:t>et al., 2012). However, recent research shows that the magnitude of flow events required to scour periphyton from the bed can differ considerably among rivers. The effective flow at a site can be estimated either using a time-series of periphyton and flow data (Hoyle et al., 2017; Kilroy et al., 2017) or from hydraulic measurements in the field (Hoyle</w:t>
      </w:r>
      <w:r w:rsidR="00B97D25">
        <w:t> </w:t>
      </w:r>
      <w:r w:rsidRPr="00B97D25">
        <w:t>et al., 2017). A comparison of methods</w:t>
      </w:r>
      <w:r w:rsidRPr="00F17234">
        <w:t xml:space="preserve"> and recommendations for their application is in</w:t>
      </w:r>
      <w:r w:rsidR="00B97D25">
        <w:t> </w:t>
      </w:r>
      <w:r w:rsidRPr="00F17234">
        <w:t xml:space="preserve">preparation. </w:t>
      </w:r>
    </w:p>
    <w:p w14:paraId="77D0A392" w14:textId="77777777" w:rsidR="00552375" w:rsidRPr="00F17234" w:rsidRDefault="00552375" w:rsidP="00552375">
      <w:pPr>
        <w:pStyle w:val="Heading5"/>
      </w:pPr>
      <w:r w:rsidRPr="00F17234">
        <w:t>Dissolved nutrient (DIN, DRP) concentrations</w:t>
      </w:r>
    </w:p>
    <w:p w14:paraId="1A20048A" w14:textId="6BAA140D" w:rsidR="00552375" w:rsidRPr="00F17234" w:rsidRDefault="00552375" w:rsidP="007415D9">
      <w:pPr>
        <w:pStyle w:val="BodyText"/>
        <w:spacing w:before="100" w:after="100"/>
      </w:pPr>
      <w:r w:rsidRPr="00F17234">
        <w:t xml:space="preserve">Like all autotrophs, periphyton require inorganic nitrogen (N) and phosphorus (P) for growth, and provided there are no other growth constraining factors, biomass </w:t>
      </w:r>
      <w:r w:rsidRPr="00DB0FCD">
        <w:t>should</w:t>
      </w:r>
      <w:r w:rsidRPr="00F17234">
        <w:t xml:space="preserve"> increase </w:t>
      </w:r>
      <w:r>
        <w:t>over time</w:t>
      </w:r>
      <w:r w:rsidRPr="00F17234">
        <w:t xml:space="preserve"> in response to increased supplies of N and/or P up to the </w:t>
      </w:r>
      <w:r>
        <w:t>maximum standing stock for the</w:t>
      </w:r>
      <w:r w:rsidR="00DB0FCD">
        <w:t> </w:t>
      </w:r>
      <w:r>
        <w:t>local constraints,</w:t>
      </w:r>
      <w:r w:rsidRPr="009D1D0E">
        <w:t xml:space="preserve"> </w:t>
      </w:r>
      <w:r>
        <w:t xml:space="preserve">beyond which more nutrients will affect the downstream extent of periphyton more than the local biomass (see box on </w:t>
      </w:r>
      <w:hyperlink w:anchor="temporal" w:history="1">
        <w:r w:rsidRPr="007415D9">
          <w:rPr>
            <w:rStyle w:val="Hyperlink"/>
          </w:rPr>
          <w:t>Temporal and downstream extent of nutrient impacts on periphyton biomass</w:t>
        </w:r>
      </w:hyperlink>
      <w:r>
        <w:t>)</w:t>
      </w:r>
      <w:r w:rsidRPr="00F17234">
        <w:t xml:space="preserve">. The concentrations of DIN and DRP in river water at periphyton monitoring sites should be determined monthly using standard river water quality sampling and analysis protocols (see </w:t>
      </w:r>
      <w:hyperlink r:id="rId36" w:history="1">
        <w:r w:rsidRPr="007415D9">
          <w:rPr>
            <w:rStyle w:val="Hyperlink"/>
          </w:rPr>
          <w:t>www.nems.org.nz</w:t>
        </w:r>
      </w:hyperlink>
      <w:r w:rsidRPr="00DF24E3">
        <w:rPr>
          <w:color w:val="2C9986"/>
        </w:rPr>
        <w:t xml:space="preserve"> </w:t>
      </w:r>
      <w:r w:rsidRPr="00F17234">
        <w:t>Water Quality – Part 2 Rivers) for a minimum three-year period, and aligned with periphyton sampling</w:t>
      </w:r>
      <w:r>
        <w:t xml:space="preserve"> (at the same site if possible or at least in the same river segment)</w:t>
      </w:r>
      <w:r w:rsidRPr="00F17234">
        <w:t>. DIN and DRP concentrations measured in river water during summer do not necessarily reflect the availability of nutrients to periphyton</w:t>
      </w:r>
      <w:r>
        <w:t xml:space="preserve"> and concentrations can be lower in the afternoon than the morning due to nutrient uptake associated with photosynthesis</w:t>
      </w:r>
      <w:r w:rsidRPr="00F17234">
        <w:t xml:space="preserve">. Consequently, it is recommended to use </w:t>
      </w:r>
      <w:r>
        <w:t xml:space="preserve">median, geometric </w:t>
      </w:r>
      <w:r>
        <w:lastRenderedPageBreak/>
        <w:t xml:space="preserve">mean or mean values </w:t>
      </w:r>
      <w:r w:rsidRPr="00F17234">
        <w:t>in periphyton models</w:t>
      </w:r>
      <w:r>
        <w:t xml:space="preserve"> and the time of day that samples are collected be noted and considered in model development.</w:t>
      </w:r>
    </w:p>
    <w:p w14:paraId="595AD635" w14:textId="77777777" w:rsidR="00552375" w:rsidRPr="00F17234" w:rsidRDefault="00552375" w:rsidP="00552375">
      <w:pPr>
        <w:pStyle w:val="Heading5"/>
      </w:pPr>
      <w:r w:rsidRPr="00F17234">
        <w:t>Shade or light at bed</w:t>
      </w:r>
    </w:p>
    <w:p w14:paraId="0CD89250" w14:textId="44E08DFF" w:rsidR="00552375" w:rsidRPr="00F17234" w:rsidRDefault="00552375" w:rsidP="00552375">
      <w:pPr>
        <w:pStyle w:val="BodyText"/>
      </w:pPr>
      <w:r w:rsidRPr="00F17234">
        <w:t xml:space="preserve">Light is essential for the growth of primary producers like periphyton so it is important </w:t>
      </w:r>
      <w:r>
        <w:t>to consider</w:t>
      </w:r>
      <w:r w:rsidRPr="00F17234">
        <w:t xml:space="preserve"> the influence of this parameter in the development of a periphyton model. A </w:t>
      </w:r>
      <w:r w:rsidRPr="00904684">
        <w:t>simple</w:t>
      </w:r>
      <w:r w:rsidR="00DB0FCD" w:rsidRPr="00904684">
        <w:t> </w:t>
      </w:r>
      <w:r w:rsidRPr="00904684">
        <w:t>indicator of light availability is percent stream shade (see Harding et al. 2009 for</w:t>
      </w:r>
      <w:r w:rsidRPr="00F17234">
        <w:t xml:space="preserve"> semi</w:t>
      </w:r>
      <w:r w:rsidR="00DB0FCD">
        <w:noBreakHyphen/>
      </w:r>
      <w:r w:rsidRPr="00F17234">
        <w:t>quantitative to quantitative protocols</w:t>
      </w:r>
      <w:r>
        <w:rPr>
          <w:rStyle w:val="FootnoteReference"/>
        </w:rPr>
        <w:footnoteReference w:id="8"/>
      </w:r>
      <w:r w:rsidRPr="00F17234">
        <w:t>). However, stream shade does not account for any</w:t>
      </w:r>
      <w:r w:rsidR="00DB0FCD">
        <w:t> </w:t>
      </w:r>
      <w:r w:rsidRPr="00F17234">
        <w:t>light attenuation by su</w:t>
      </w:r>
      <w:r>
        <w:t>spended particles in the water.</w:t>
      </w:r>
      <w:r w:rsidRPr="00F17234">
        <w:t xml:space="preserve"> Where the latter is a factor that could constrain periphyton growth (i</w:t>
      </w:r>
      <w:r>
        <w:t>e</w:t>
      </w:r>
      <w:r w:rsidRPr="00F17234">
        <w:t xml:space="preserve">, there is some turbidity or dissolved colour in the water) it is recommended to quantify light at bed rather than just simply stream shade. </w:t>
      </w:r>
      <w:r>
        <w:t>Light at the bed can be (i) measured directly using an underwater light (PAR) sensor or estimated from data</w:t>
      </w:r>
      <w:r w:rsidR="00DB0FCD">
        <w:t> </w:t>
      </w:r>
      <w:r>
        <w:t>on (ii) light at the water surface and the light attenuation (K</w:t>
      </w:r>
      <w:r w:rsidRPr="00F1539B">
        <w:rPr>
          <w:vertAlign w:val="subscript"/>
        </w:rPr>
        <w:t>d</w:t>
      </w:r>
      <w:r>
        <w:t xml:space="preserve">) to the mean depth or (iii) </w:t>
      </w:r>
      <w:r w:rsidRPr="00F17234">
        <w:t xml:space="preserve">data on solar radiation above any riparian vegetation canopy, stream shade, water depth, water clarity or turbidity, and the absorbance coefficient (g340, a measure of dissolved </w:t>
      </w:r>
      <w:r w:rsidRPr="00904684">
        <w:t>organic</w:t>
      </w:r>
      <w:r w:rsidR="00070C23" w:rsidRPr="00904684">
        <w:t> </w:t>
      </w:r>
      <w:r w:rsidRPr="00904684">
        <w:t>matter/colour). See Matheson et al. (2012) for the protocol to calculate light at bed</w:t>
      </w:r>
      <w:r w:rsidRPr="00F17234">
        <w:t xml:space="preserve"> from these parameters. For all parameters</w:t>
      </w:r>
      <w:r>
        <w:t>,</w:t>
      </w:r>
      <w:r w:rsidRPr="00F17234">
        <w:t xml:space="preserve"> except solar radiation</w:t>
      </w:r>
      <w:r>
        <w:t>,</w:t>
      </w:r>
      <w:r w:rsidRPr="00F17234">
        <w:t xml:space="preserve"> it is straight-forward to measure these monthly during site visits. For solar radiation we recommend using data from the nearest available climate monitoring station because time-averaged data is required rather</w:t>
      </w:r>
      <w:r w:rsidR="00070C23">
        <w:t> </w:t>
      </w:r>
      <w:r w:rsidRPr="00F17234">
        <w:t>than spot measurements.</w:t>
      </w:r>
      <w:r>
        <w:t xml:space="preserve"> </w:t>
      </w:r>
      <w:r w:rsidRPr="00DF24E3">
        <w:t>Measure stream shade and/or light at bed in the areas where</w:t>
      </w:r>
      <w:r w:rsidR="00904684">
        <w:t> </w:t>
      </w:r>
      <w:r w:rsidRPr="00DF24E3">
        <w:t>periphyton sampling occurs.</w:t>
      </w:r>
    </w:p>
    <w:p w14:paraId="6B71BF7B" w14:textId="77777777" w:rsidR="00552375" w:rsidRPr="00F17234" w:rsidRDefault="00552375" w:rsidP="00552375">
      <w:pPr>
        <w:pStyle w:val="Heading5"/>
      </w:pPr>
      <w:r w:rsidRPr="00F17234">
        <w:t>Conductivity</w:t>
      </w:r>
    </w:p>
    <w:p w14:paraId="05CBC946" w14:textId="77777777" w:rsidR="00552375" w:rsidRPr="00F17234" w:rsidRDefault="00552375" w:rsidP="00DB0FCD">
      <w:pPr>
        <w:pStyle w:val="BodyText"/>
      </w:pPr>
      <w:r w:rsidRPr="00F17234">
        <w:t>Electrical conductivity (i</w:t>
      </w:r>
      <w:r>
        <w:t>e</w:t>
      </w:r>
      <w:r w:rsidRPr="00F17234">
        <w:t xml:space="preserve">, ionic </w:t>
      </w:r>
      <w:r w:rsidRPr="00DB0FCD">
        <w:t>strength</w:t>
      </w:r>
      <w:r w:rsidRPr="00F17234">
        <w:t xml:space="preserve">) has been shown to correlate positively and strongly with periphyton biomass (Biggs 2000, </w:t>
      </w:r>
      <w:r w:rsidRPr="00B97D25">
        <w:t>Kilroy et al., 2017</w:t>
      </w:r>
      <w:r w:rsidRPr="00F17234">
        <w:t>) so it will be useful to include this parameter in periphyton model development. Conductivity is thought to be a useful general indicator of nutrient</w:t>
      </w:r>
      <w:r>
        <w:t xml:space="preserve">/mineral </w:t>
      </w:r>
      <w:r w:rsidRPr="00F17234">
        <w:t>enrichment although the nutrient-conductivity relationship may break down in situations where there is salt spray influence or geologies enriched in certain compounds (e</w:t>
      </w:r>
      <w:r>
        <w:t>g</w:t>
      </w:r>
      <w:r w:rsidRPr="00F17234">
        <w:t>, sulphur) (Biggs</w:t>
      </w:r>
      <w:r>
        <w:t xml:space="preserve">, </w:t>
      </w:r>
      <w:r w:rsidRPr="00F17234">
        <w:t xml:space="preserve">2000). Water conductivity should be measured using standard river water quality sampling protocols at periphyton monitoring sites (see </w:t>
      </w:r>
      <w:hyperlink r:id="rId37" w:history="1">
        <w:r w:rsidRPr="00070C23">
          <w:rPr>
            <w:rStyle w:val="Hyperlink"/>
          </w:rPr>
          <w:t>www.nems.org.nz</w:t>
        </w:r>
      </w:hyperlink>
      <w:r w:rsidRPr="00F17234">
        <w:t xml:space="preserve"> Water Quality – Part 2 Rivers).</w:t>
      </w:r>
    </w:p>
    <w:p w14:paraId="75F53202" w14:textId="77777777" w:rsidR="00552375" w:rsidRPr="00F17234" w:rsidRDefault="00552375" w:rsidP="00552375">
      <w:pPr>
        <w:pStyle w:val="Heading5"/>
      </w:pPr>
      <w:r w:rsidRPr="00F17234">
        <w:t>Substrate composition</w:t>
      </w:r>
    </w:p>
    <w:p w14:paraId="5A8C5DAD" w14:textId="519D0365" w:rsidR="00552375" w:rsidRPr="00904684" w:rsidRDefault="00552375" w:rsidP="00552375">
      <w:pPr>
        <w:pStyle w:val="BodyText"/>
      </w:pPr>
      <w:r w:rsidRPr="00F17234">
        <w:t>In hard-bottom rivers</w:t>
      </w:r>
      <w:r>
        <w:t>,</w:t>
      </w:r>
      <w:r w:rsidRPr="00F17234">
        <w:t xml:space="preserve"> periphyton biomass accrual is usually greatest on the larger, more immobile, substrates. </w:t>
      </w:r>
      <w:r>
        <w:t>P</w:t>
      </w:r>
      <w:r w:rsidRPr="00F17234">
        <w:t>atches of fine sediment (i</w:t>
      </w:r>
      <w:r>
        <w:t>e</w:t>
      </w:r>
      <w:r w:rsidRPr="00F17234">
        <w:t xml:space="preserve">, of sand, silt and clay) and </w:t>
      </w:r>
      <w:r>
        <w:t>small</w:t>
      </w:r>
      <w:r w:rsidRPr="00F17234">
        <w:t xml:space="preserve"> gravel are more unstable substrates for attachment</w:t>
      </w:r>
      <w:r>
        <w:t xml:space="preserve">. Furthermore, </w:t>
      </w:r>
      <w:r w:rsidRPr="00F17234">
        <w:t xml:space="preserve">fine sediments, particularly sand, mobilised in flow events may contribute to abrasion and scouring of periphyton from other river bed substrates. Consequently, it is likely to be useful to include a substrate composition </w:t>
      </w:r>
      <w:r w:rsidRPr="00904684">
        <w:t>parameter such as the substrate index (Harding et al., 2009) or percent fine sediments (and gravel) in periphyton models (Kilroy et al., 2017). Substrate composition should be quantified at</w:t>
      </w:r>
      <w:r w:rsidR="00DB0FCD" w:rsidRPr="00904684">
        <w:t> </w:t>
      </w:r>
      <w:r w:rsidRPr="00904684">
        <w:t>least annually at periphyton monitoring sites (see Harding et al., 2009 for protocols).</w:t>
      </w:r>
    </w:p>
    <w:p w14:paraId="55F2A5DD" w14:textId="77777777" w:rsidR="00552375" w:rsidRPr="00F17234" w:rsidRDefault="00552375" w:rsidP="00552375">
      <w:pPr>
        <w:pStyle w:val="Heading5"/>
      </w:pPr>
      <w:r w:rsidRPr="00F17234">
        <w:lastRenderedPageBreak/>
        <w:t>Water temperature</w:t>
      </w:r>
    </w:p>
    <w:p w14:paraId="58D1FE54" w14:textId="6F170BF5" w:rsidR="00552375" w:rsidRPr="00F17234" w:rsidRDefault="00552375" w:rsidP="00DB0FCD">
      <w:pPr>
        <w:pStyle w:val="BodyText"/>
        <w:keepLines/>
      </w:pPr>
      <w:r w:rsidRPr="00F17234">
        <w:t>Growth rates for periphyton are typically enhanced by warmer water temperatures, and temperature can influence the dominant community type (i</w:t>
      </w:r>
      <w:r>
        <w:t>e</w:t>
      </w:r>
      <w:r w:rsidRPr="00F17234">
        <w:t>, diatoms, filamentous or cyanobacteria), so including this parameter in a periphyton model may improve the model. Continuous measurement of water temperature at periphyton monitoring sites using loggers</w:t>
      </w:r>
      <w:r w:rsidR="00797118">
        <w:t> </w:t>
      </w:r>
      <w:r w:rsidRPr="00F17234">
        <w:t>is</w:t>
      </w:r>
      <w:r w:rsidR="00DB0FCD">
        <w:t> </w:t>
      </w:r>
      <w:r w:rsidRPr="00F17234">
        <w:t xml:space="preserve">preferred because water temperature can vary substantially </w:t>
      </w:r>
      <w:r>
        <w:t>on a diurnal basis</w:t>
      </w:r>
      <w:r w:rsidRPr="00F17234">
        <w:t>. Accordingly, a</w:t>
      </w:r>
      <w:r w:rsidR="00DB0FCD">
        <w:t> </w:t>
      </w:r>
      <w:r w:rsidRPr="00F17234">
        <w:t xml:space="preserve">standardised water temperature parameter, aligned with the period of peak periphyton </w:t>
      </w:r>
      <w:r w:rsidRPr="00070C23">
        <w:t>growth (usually summer), such as the annual 95th percentile or summer median, is</w:t>
      </w:r>
      <w:r w:rsidR="00797118">
        <w:t> </w:t>
      </w:r>
      <w:r w:rsidRPr="00F17234">
        <w:t xml:space="preserve">recommended. </w:t>
      </w:r>
      <w:r>
        <w:t>Follow the p</w:t>
      </w:r>
      <w:r w:rsidRPr="00F17234">
        <w:t>rocedures outlined in the National Environmental Monitoring Standard for Water Temperature Recording (</w:t>
      </w:r>
      <w:hyperlink r:id="rId38" w:history="1">
        <w:r w:rsidRPr="00070C23">
          <w:rPr>
            <w:rStyle w:val="Hyperlink"/>
          </w:rPr>
          <w:t>www.nems.org.nz</w:t>
        </w:r>
      </w:hyperlink>
      <w:r w:rsidRPr="00F17234">
        <w:t>).</w:t>
      </w:r>
    </w:p>
    <w:p w14:paraId="0B16BDB4" w14:textId="77777777" w:rsidR="00552375" w:rsidRPr="00F17234" w:rsidRDefault="00552375" w:rsidP="00552375">
      <w:pPr>
        <w:pStyle w:val="Heading5"/>
      </w:pPr>
      <w:r w:rsidRPr="00F17234">
        <w:t>Density of invertebrate grazers</w:t>
      </w:r>
    </w:p>
    <w:p w14:paraId="02784610" w14:textId="77777777" w:rsidR="00552375" w:rsidRPr="00F17234" w:rsidRDefault="00552375" w:rsidP="00DB0FCD">
      <w:pPr>
        <w:pStyle w:val="BodyText"/>
      </w:pPr>
      <w:r w:rsidRPr="00797118">
        <w:t>Invertebrate grazers can regulate periphyton biomass (Welch et al., 1992) so including this parameter in a periphyton model is worth evaluating. Macroinvertebrates are usually sampled annually when river flows are stable during the summer period and periphyton monitoring sites should be suitable for employing standard macroinvertebrate sampling protocols (Stark et al., 2001). If possible, sampling should be carried out in the same locations as periphyton sampling.</w:t>
      </w:r>
      <w:r>
        <w:t xml:space="preserve"> </w:t>
      </w:r>
      <w:r w:rsidRPr="00F17234">
        <w:t xml:space="preserve">A quantitative sampling protocol </w:t>
      </w:r>
      <w:r>
        <w:t>should</w:t>
      </w:r>
      <w:r w:rsidRPr="00F17234">
        <w:t xml:space="preserve"> be used to determine a density of invertebrate grazers per unit area (n/m</w:t>
      </w:r>
      <w:r w:rsidRPr="00F17234">
        <w:rPr>
          <w:vertAlign w:val="superscript"/>
        </w:rPr>
        <w:t>2</w:t>
      </w:r>
      <w:r w:rsidRPr="00F17234">
        <w:t xml:space="preserve">). Invertebrate grazer taxa can be identified from the list documented in </w:t>
      </w:r>
      <w:r w:rsidRPr="00797118">
        <w:t>Matheson et al. (2012). Development of a National Environmental Monitoring Standard for</w:t>
      </w:r>
      <w:r>
        <w:t xml:space="preserve"> Macroinvertebrates is currently on hold.</w:t>
      </w:r>
    </w:p>
    <w:p w14:paraId="5B24729B" w14:textId="77777777" w:rsidR="00552375" w:rsidRPr="00F17234" w:rsidRDefault="00552375" w:rsidP="00552375">
      <w:pPr>
        <w:pStyle w:val="Heading5"/>
      </w:pPr>
      <w:r>
        <w:t>Step 5:</w:t>
      </w:r>
      <w:r w:rsidRPr="00F17234">
        <w:t xml:space="preserve"> Select appropriate model type</w:t>
      </w:r>
    </w:p>
    <w:p w14:paraId="204D9741" w14:textId="6EECB632" w:rsidR="00552375" w:rsidRPr="00F57844" w:rsidRDefault="00552375" w:rsidP="00CF7F8D">
      <w:pPr>
        <w:pStyle w:val="BodyText"/>
        <w:spacing w:after="100"/>
      </w:pPr>
      <w:r w:rsidRPr="00F57844">
        <w:t xml:space="preserve">The most straight-forward </w:t>
      </w:r>
      <w:r>
        <w:t xml:space="preserve">method </w:t>
      </w:r>
      <w:r w:rsidRPr="00F57844">
        <w:t xml:space="preserve">to developing a regional periphyton model </w:t>
      </w:r>
      <w:r>
        <w:t xml:space="preserve">using a </w:t>
      </w:r>
      <w:r w:rsidRPr="00797118">
        <w:t>regression approach is to opt for a linear model (eg, Biggs, 2000, Larned et al., 2015, Elliott et</w:t>
      </w:r>
      <w:r w:rsidR="00070C23" w:rsidRPr="00797118">
        <w:t> </w:t>
      </w:r>
      <w:r w:rsidRPr="00797118">
        <w:t>al., 2016, Kilroy et al., 2017, Kilroy et al., 2018). Non-linear models (eg, Matheson et al.,</w:t>
      </w:r>
      <w:r>
        <w:t xml:space="preserve"> 2016) </w:t>
      </w:r>
      <w:r w:rsidRPr="00F57844">
        <w:t xml:space="preserve">are much more difficult to implement and </w:t>
      </w:r>
      <w:r w:rsidRPr="00DB0FCD">
        <w:t>interpret</w:t>
      </w:r>
      <w:r w:rsidRPr="00F57844">
        <w:t xml:space="preserve"> </w:t>
      </w:r>
      <w:r w:rsidRPr="00F57844">
        <w:rPr>
          <w:lang w:val="en-US"/>
        </w:rPr>
        <w:t>but can be a powerful alternative to</w:t>
      </w:r>
      <w:r w:rsidR="00070C23">
        <w:rPr>
          <w:lang w:val="en-US"/>
        </w:rPr>
        <w:t> </w:t>
      </w:r>
      <w:r w:rsidRPr="00F57844">
        <w:rPr>
          <w:lang w:val="en-US"/>
        </w:rPr>
        <w:t>linear regression</w:t>
      </w:r>
      <w:r>
        <w:rPr>
          <w:lang w:val="en-US"/>
        </w:rPr>
        <w:t>,</w:t>
      </w:r>
      <w:r w:rsidRPr="00F57844">
        <w:rPr>
          <w:lang w:val="en-US"/>
        </w:rPr>
        <w:t xml:space="preserve"> as long as the following caveats are understood:</w:t>
      </w:r>
    </w:p>
    <w:p w14:paraId="5BB05527" w14:textId="1C7568C0" w:rsidR="00552375" w:rsidRPr="00F57844" w:rsidRDefault="00552375" w:rsidP="00CF7F8D">
      <w:pPr>
        <w:pStyle w:val="Bullet"/>
        <w:spacing w:after="100"/>
        <w:rPr>
          <w:lang w:val="en-US"/>
        </w:rPr>
      </w:pPr>
      <w:r>
        <w:rPr>
          <w:lang w:val="en-US"/>
        </w:rPr>
        <w:t>i</w:t>
      </w:r>
      <w:r w:rsidRPr="00F57844">
        <w:rPr>
          <w:lang w:val="en-US"/>
        </w:rPr>
        <w:t>t can be difficult and time-consuming to identify a suitable non-linear equation to fit the</w:t>
      </w:r>
      <w:r w:rsidR="00DB0FCD">
        <w:rPr>
          <w:lang w:val="en-US"/>
        </w:rPr>
        <w:t> </w:t>
      </w:r>
      <w:r w:rsidRPr="00F57844">
        <w:rPr>
          <w:lang w:val="en-US"/>
        </w:rPr>
        <w:t>data</w:t>
      </w:r>
    </w:p>
    <w:p w14:paraId="16BFB062" w14:textId="77777777" w:rsidR="00552375" w:rsidRPr="00F57844" w:rsidRDefault="00552375" w:rsidP="00CF7F8D">
      <w:pPr>
        <w:pStyle w:val="Bullet"/>
        <w:spacing w:after="100"/>
        <w:rPr>
          <w:lang w:val="en-US"/>
        </w:rPr>
      </w:pPr>
      <w:r>
        <w:rPr>
          <w:lang w:val="en-US"/>
        </w:rPr>
        <w:t>a</w:t>
      </w:r>
      <w:r w:rsidRPr="00F57844">
        <w:rPr>
          <w:lang w:val="en-US"/>
        </w:rPr>
        <w:t xml:space="preserve">n R-squared value cannot be calculated (but S values </w:t>
      </w:r>
      <w:r>
        <w:rPr>
          <w:lang w:val="en-US"/>
        </w:rPr>
        <w:t>–</w:t>
      </w:r>
      <w:r w:rsidRPr="00F57844">
        <w:rPr>
          <w:lang w:val="en-US"/>
        </w:rPr>
        <w:t xml:space="preserve"> the standard deviation of the distance between the data values and the fitted values </w:t>
      </w:r>
      <w:r>
        <w:rPr>
          <w:lang w:val="en-US"/>
        </w:rPr>
        <w:t>–</w:t>
      </w:r>
      <w:r w:rsidRPr="00F57844">
        <w:rPr>
          <w:lang w:val="en-US"/>
        </w:rPr>
        <w:t xml:space="preserve"> and residual vs fitted value plots are alternatives for demonstrating goodness-of-fit for non-linear models)</w:t>
      </w:r>
    </w:p>
    <w:p w14:paraId="52DE52B4" w14:textId="77777777" w:rsidR="00552375" w:rsidRPr="00F57844" w:rsidRDefault="00552375" w:rsidP="00CF7F8D">
      <w:pPr>
        <w:pStyle w:val="Bullet"/>
        <w:spacing w:after="100"/>
        <w:rPr>
          <w:lang w:val="en-US"/>
        </w:rPr>
      </w:pPr>
      <w:r>
        <w:rPr>
          <w:lang w:val="en-US"/>
        </w:rPr>
        <w:t>t</w:t>
      </w:r>
      <w:r w:rsidRPr="00F57844">
        <w:rPr>
          <w:lang w:val="en-US"/>
        </w:rPr>
        <w:t>he effect that each predictor has on the response can be less intuitive to understand</w:t>
      </w:r>
    </w:p>
    <w:p w14:paraId="36179896" w14:textId="77777777" w:rsidR="00552375" w:rsidRPr="00F57844" w:rsidRDefault="00552375" w:rsidP="00CF7F8D">
      <w:pPr>
        <w:pStyle w:val="Bullet"/>
        <w:spacing w:after="100"/>
        <w:rPr>
          <w:lang w:val="en-US"/>
        </w:rPr>
      </w:pPr>
      <w:r>
        <w:rPr>
          <w:lang w:val="en-US"/>
        </w:rPr>
        <w:t>p</w:t>
      </w:r>
      <w:r w:rsidRPr="00F57844">
        <w:rPr>
          <w:lang w:val="en-US"/>
        </w:rPr>
        <w:t>-values are impossible to calculate for the predictors</w:t>
      </w:r>
    </w:p>
    <w:p w14:paraId="42457A20" w14:textId="77777777" w:rsidR="00552375" w:rsidRPr="00F57844" w:rsidRDefault="00552375" w:rsidP="00DB0FCD">
      <w:pPr>
        <w:pStyle w:val="Bullet"/>
        <w:rPr>
          <w:lang w:val="en-US"/>
        </w:rPr>
      </w:pPr>
      <w:r>
        <w:rPr>
          <w:lang w:val="en-US"/>
        </w:rPr>
        <w:t>i</w:t>
      </w:r>
      <w:r w:rsidRPr="00F57844">
        <w:rPr>
          <w:lang w:val="en-US"/>
        </w:rPr>
        <w:t>t may or may not be possible to calculate confidence intervals.</w:t>
      </w:r>
    </w:p>
    <w:p w14:paraId="7E6AE9F9" w14:textId="77777777" w:rsidR="00552375" w:rsidRPr="00F57844" w:rsidRDefault="00552375" w:rsidP="00DB0FCD">
      <w:pPr>
        <w:pStyle w:val="BodyText"/>
        <w:rPr>
          <w:lang w:val="en-US"/>
        </w:rPr>
      </w:pPr>
      <w:r w:rsidRPr="00F57844">
        <w:rPr>
          <w:lang w:val="en-US"/>
        </w:rPr>
        <w:t>Consequently, only linear models are covered from this point.</w:t>
      </w:r>
    </w:p>
    <w:p w14:paraId="669EF92E" w14:textId="77777777" w:rsidR="00552375" w:rsidRPr="00F57844" w:rsidRDefault="00552375" w:rsidP="00070C23">
      <w:pPr>
        <w:pStyle w:val="BodyText"/>
        <w:spacing w:after="80"/>
        <w:rPr>
          <w:lang w:val="en-US"/>
        </w:rPr>
      </w:pPr>
      <w:r w:rsidRPr="00F57844">
        <w:rPr>
          <w:lang w:val="en-US"/>
        </w:rPr>
        <w:t xml:space="preserve">A model is linear when each term is </w:t>
      </w:r>
      <w:r w:rsidRPr="00DB0FCD">
        <w:t>either</w:t>
      </w:r>
      <w:r w:rsidRPr="00F57844">
        <w:rPr>
          <w:lang w:val="en-US"/>
        </w:rPr>
        <w:t xml:space="preserve"> a constant or the product of a parameter and a predictor variable. A linear equation is constructed by adding the results for each term. This constrains the equation to just one basic form:</w:t>
      </w:r>
    </w:p>
    <w:p w14:paraId="7BCA4022" w14:textId="77777777" w:rsidR="00552375" w:rsidRPr="00F57844" w:rsidRDefault="00552375" w:rsidP="00070C23">
      <w:pPr>
        <w:pStyle w:val="NormalWeb"/>
        <w:shd w:val="clear" w:color="auto" w:fill="FFFFFF"/>
        <w:ind w:left="284"/>
        <w:rPr>
          <w:rFonts w:asciiTheme="minorHAnsi" w:hAnsiTheme="minorHAnsi"/>
          <w:sz w:val="22"/>
          <w:szCs w:val="22"/>
          <w:lang w:val="en-US"/>
        </w:rPr>
      </w:pPr>
      <w:r w:rsidRPr="00F57844">
        <w:rPr>
          <w:rFonts w:asciiTheme="minorHAnsi" w:hAnsiTheme="minorHAnsi"/>
          <w:sz w:val="22"/>
          <w:szCs w:val="22"/>
          <w:lang w:val="en-US"/>
        </w:rPr>
        <w:t>Response = constant + parameter * predictor + ... + parameter * predictor</w:t>
      </w:r>
    </w:p>
    <w:p w14:paraId="190B642C" w14:textId="77777777" w:rsidR="00552375" w:rsidRPr="00DB0FCD" w:rsidRDefault="00552375" w:rsidP="00070C23">
      <w:pPr>
        <w:pStyle w:val="BodyText"/>
        <w:spacing w:before="0"/>
        <w:ind w:left="284"/>
      </w:pPr>
      <w:r w:rsidRPr="00F57844">
        <w:rPr>
          <w:lang w:val="en-US"/>
        </w:rPr>
        <w:t>Y = b</w:t>
      </w:r>
      <w:r w:rsidRPr="00F57844">
        <w:rPr>
          <w:vertAlign w:val="subscript"/>
          <w:lang w:val="en-US"/>
        </w:rPr>
        <w:t xml:space="preserve"> o</w:t>
      </w:r>
      <w:r w:rsidRPr="00F57844">
        <w:rPr>
          <w:lang w:val="en-US"/>
        </w:rPr>
        <w:t xml:space="preserve"> + b</w:t>
      </w:r>
      <w:r w:rsidRPr="00F57844">
        <w:rPr>
          <w:vertAlign w:val="subscript"/>
          <w:lang w:val="en-US"/>
        </w:rPr>
        <w:t>1</w:t>
      </w:r>
      <w:r w:rsidRPr="00F57844">
        <w:rPr>
          <w:lang w:val="en-US"/>
        </w:rPr>
        <w:t>X</w:t>
      </w:r>
      <w:r w:rsidRPr="00F57844">
        <w:rPr>
          <w:vertAlign w:val="subscript"/>
          <w:lang w:val="en-US"/>
        </w:rPr>
        <w:t>1</w:t>
      </w:r>
      <w:r w:rsidRPr="00F57844">
        <w:rPr>
          <w:lang w:val="en-US"/>
        </w:rPr>
        <w:t xml:space="preserve"> + b</w:t>
      </w:r>
      <w:r w:rsidRPr="00F57844">
        <w:rPr>
          <w:vertAlign w:val="subscript"/>
          <w:lang w:val="en-US"/>
        </w:rPr>
        <w:t>2</w:t>
      </w:r>
      <w:r w:rsidRPr="00F57844">
        <w:rPr>
          <w:lang w:val="en-US"/>
        </w:rPr>
        <w:t>X</w:t>
      </w:r>
      <w:r w:rsidRPr="00F57844">
        <w:rPr>
          <w:vertAlign w:val="subscript"/>
          <w:lang w:val="en-US"/>
        </w:rPr>
        <w:t>2</w:t>
      </w:r>
      <w:r w:rsidRPr="00F57844">
        <w:rPr>
          <w:lang w:val="en-US"/>
        </w:rPr>
        <w:t xml:space="preserve"> + ... + b</w:t>
      </w:r>
      <w:r w:rsidRPr="00F57844">
        <w:rPr>
          <w:vertAlign w:val="subscript"/>
          <w:lang w:val="en-US"/>
        </w:rPr>
        <w:t>k</w:t>
      </w:r>
      <w:r w:rsidRPr="00F57844">
        <w:rPr>
          <w:lang w:val="en-US"/>
        </w:rPr>
        <w:t>X</w:t>
      </w:r>
      <w:r w:rsidRPr="00F57844">
        <w:rPr>
          <w:vertAlign w:val="subscript"/>
          <w:lang w:val="en-US"/>
        </w:rPr>
        <w:t>k</w:t>
      </w:r>
    </w:p>
    <w:p w14:paraId="650E9D5C" w14:textId="77777777" w:rsidR="00552375" w:rsidRPr="00F57844" w:rsidRDefault="00552375" w:rsidP="00CF7F8D">
      <w:pPr>
        <w:pStyle w:val="BodyText"/>
        <w:spacing w:after="0"/>
        <w:rPr>
          <w:lang w:val="en-US"/>
        </w:rPr>
      </w:pPr>
      <w:r w:rsidRPr="00F57844">
        <w:t xml:space="preserve">Curvature can be produced in linear </w:t>
      </w:r>
      <w:r w:rsidRPr="00DB0FCD">
        <w:t>models</w:t>
      </w:r>
      <w:r w:rsidRPr="00F57844">
        <w:t xml:space="preserve"> by transforming the predictor variables.</w:t>
      </w:r>
      <w:r w:rsidRPr="00F57844">
        <w:rPr>
          <w:lang w:val="en-US"/>
        </w:rPr>
        <w:t xml:space="preserve"> For example, squared predictor variable can be included to produce a U-shaped curve.</w:t>
      </w:r>
    </w:p>
    <w:p w14:paraId="7CB7C728" w14:textId="77777777" w:rsidR="00552375" w:rsidRPr="006022C9" w:rsidRDefault="00552375" w:rsidP="00070C23">
      <w:pPr>
        <w:pStyle w:val="BodyText"/>
        <w:spacing w:before="80"/>
        <w:ind w:left="284"/>
        <w:rPr>
          <w:vertAlign w:val="superscript"/>
          <w:lang w:val="en-US"/>
        </w:rPr>
      </w:pPr>
      <w:r w:rsidRPr="006022C9">
        <w:rPr>
          <w:lang w:val="en-US"/>
        </w:rPr>
        <w:t>Y = b</w:t>
      </w:r>
      <w:r w:rsidRPr="006022C9">
        <w:rPr>
          <w:vertAlign w:val="subscript"/>
          <w:lang w:val="en-US"/>
        </w:rPr>
        <w:t xml:space="preserve"> o</w:t>
      </w:r>
      <w:r w:rsidRPr="006022C9">
        <w:rPr>
          <w:lang w:val="en-US"/>
        </w:rPr>
        <w:t xml:space="preserve"> + b</w:t>
      </w:r>
      <w:r w:rsidRPr="006022C9">
        <w:rPr>
          <w:vertAlign w:val="subscript"/>
          <w:lang w:val="en-US"/>
        </w:rPr>
        <w:t>1</w:t>
      </w:r>
      <w:r w:rsidRPr="006022C9">
        <w:rPr>
          <w:lang w:val="en-US"/>
        </w:rPr>
        <w:t>X</w:t>
      </w:r>
      <w:r w:rsidRPr="006022C9">
        <w:rPr>
          <w:vertAlign w:val="subscript"/>
          <w:lang w:val="en-US"/>
        </w:rPr>
        <w:t>1</w:t>
      </w:r>
      <w:r w:rsidRPr="006022C9">
        <w:rPr>
          <w:lang w:val="en-US"/>
        </w:rPr>
        <w:t xml:space="preserve"> + b</w:t>
      </w:r>
      <w:r w:rsidRPr="006022C9">
        <w:rPr>
          <w:vertAlign w:val="subscript"/>
          <w:lang w:val="en-US"/>
        </w:rPr>
        <w:t>2</w:t>
      </w:r>
      <w:r w:rsidRPr="006022C9">
        <w:rPr>
          <w:lang w:val="en-US"/>
        </w:rPr>
        <w:t>X</w:t>
      </w:r>
      <w:r w:rsidRPr="006022C9">
        <w:rPr>
          <w:vertAlign w:val="subscript"/>
          <w:lang w:val="en-US"/>
        </w:rPr>
        <w:t>1</w:t>
      </w:r>
      <w:r w:rsidRPr="006022C9">
        <w:rPr>
          <w:vertAlign w:val="superscript"/>
          <w:lang w:val="en-US"/>
        </w:rPr>
        <w:t>2</w:t>
      </w:r>
    </w:p>
    <w:p w14:paraId="31604996" w14:textId="2751539D" w:rsidR="00552375" w:rsidRPr="003C6D8A" w:rsidRDefault="00552375" w:rsidP="00552375">
      <w:pPr>
        <w:pStyle w:val="BodyText"/>
      </w:pPr>
      <w:r w:rsidRPr="00F57844">
        <w:lastRenderedPageBreak/>
        <w:t xml:space="preserve">To align with the NPS-FM periphyton attribute default river class a model needs to be </w:t>
      </w:r>
      <w:r w:rsidRPr="003C6D8A">
        <w:t>developed that predicts the 92nd percentile of periphyton biomass. For the productive river</w:t>
      </w:r>
      <w:r w:rsidR="00CF7F8D" w:rsidRPr="003C6D8A">
        <w:t> </w:t>
      </w:r>
      <w:r w:rsidRPr="003C6D8A">
        <w:t xml:space="preserve">class the model must fit the 83rd percentile of periphyton biomass. </w:t>
      </w:r>
    </w:p>
    <w:p w14:paraId="55F3C34D" w14:textId="77777777" w:rsidR="00552375" w:rsidRPr="00F57844" w:rsidRDefault="00552375" w:rsidP="00552375">
      <w:pPr>
        <w:pStyle w:val="Heading5"/>
      </w:pPr>
      <w:r>
        <w:t>Step 6:</w:t>
      </w:r>
      <w:r w:rsidRPr="00F57844">
        <w:t xml:space="preserve"> Identify best-fit model</w:t>
      </w:r>
    </w:p>
    <w:p w14:paraId="03984994" w14:textId="676805F5" w:rsidR="00552375" w:rsidRPr="006156AD" w:rsidRDefault="00552375" w:rsidP="00CF7F8D">
      <w:pPr>
        <w:pStyle w:val="BodyText"/>
      </w:pPr>
      <w:r w:rsidRPr="00F57844">
        <w:rPr>
          <w:lang w:val="en"/>
        </w:rPr>
        <w:t>In general, a model fits the data well if the differences between the observed values and the model</w:t>
      </w:r>
      <w:r w:rsidR="00CF7F8D">
        <w:rPr>
          <w:lang w:val="en"/>
        </w:rPr>
        <w:t>’</w:t>
      </w:r>
      <w:r w:rsidRPr="00F57844">
        <w:rPr>
          <w:lang w:val="en"/>
        </w:rPr>
        <w:t>s predicted values are small and unbiased. The first step in checking goodness-of-fit for a</w:t>
      </w:r>
      <w:r w:rsidR="00CF7F8D">
        <w:rPr>
          <w:lang w:val="en"/>
        </w:rPr>
        <w:t> </w:t>
      </w:r>
      <w:r w:rsidRPr="006156AD">
        <w:t>model is to check the residual versus fitted value plots. These can reveal unwanted residual patterns that indicate biased results. If these show no bias then the next step is to examine goodness-of-fit statistics. For linear models these are the R-squared value, the adjusted R</w:t>
      </w:r>
      <w:r w:rsidR="006156AD">
        <w:noBreakHyphen/>
      </w:r>
      <w:r w:rsidRPr="006156AD">
        <w:t xml:space="preserve">squared value and the predicted R-squared value. </w:t>
      </w:r>
    </w:p>
    <w:p w14:paraId="044B55C3" w14:textId="77777777" w:rsidR="00552375" w:rsidRDefault="00552375" w:rsidP="00552375">
      <w:pPr>
        <w:pStyle w:val="Heading5"/>
      </w:pPr>
      <w:r>
        <w:t>Step 7:</w:t>
      </w:r>
      <w:r w:rsidRPr="00F57844">
        <w:t xml:space="preserve"> Validate best-fit model</w:t>
      </w:r>
    </w:p>
    <w:p w14:paraId="5925C6A5" w14:textId="247FEFB5" w:rsidR="00552375" w:rsidRPr="00C00141" w:rsidRDefault="00552375" w:rsidP="00552375">
      <w:pPr>
        <w:pStyle w:val="BodyText"/>
      </w:pPr>
      <w:r w:rsidRPr="00C00141">
        <w:t>The best approach for validating a periphyton model is to test it with data from an independent set of periphyton monitoring sites. These are sites from the same river class which were not included in the dataset used to develop the model. This approach could entail collecting an entirely new dataset. Alternatively, it could involve randomly selecting a subset (usually 30% recommended) of the available dataset for a river class, excluding these from the dataset used to develop the model, then using this subset to validate the model. However, cross-validation procedures that use the entire dataset can also be used, such as leave-one-out cross-validation</w:t>
      </w:r>
      <w:r>
        <w:t xml:space="preserve"> (Pickard and Cook, </w:t>
      </w:r>
      <w:r w:rsidRPr="00C00141">
        <w:t>1984).</w:t>
      </w:r>
    </w:p>
    <w:p w14:paraId="1942999C" w14:textId="77777777" w:rsidR="00552375" w:rsidRDefault="00552375" w:rsidP="00552375">
      <w:pPr>
        <w:pStyle w:val="Heading5"/>
      </w:pPr>
      <w:r>
        <w:t>Step 8:</w:t>
      </w:r>
      <w:r w:rsidRPr="00F57844">
        <w:t xml:space="preserve"> Determine nutrient criteria for monitoring sites</w:t>
      </w:r>
      <w:r w:rsidRPr="00E770DA">
        <w:t xml:space="preserve"> </w:t>
      </w:r>
    </w:p>
    <w:p w14:paraId="2B0BBE34" w14:textId="17535383" w:rsidR="00552375" w:rsidRPr="00C00141" w:rsidRDefault="00552375" w:rsidP="00153BFB">
      <w:pPr>
        <w:pStyle w:val="BodyText"/>
        <w:spacing w:after="80"/>
      </w:pPr>
      <w:r w:rsidRPr="00C00141">
        <w:t>Once a best-fit model for predicting periphyton biomass has been validated, the nutrient criteria required to achieve a periphyton objective for monitoring sites should be determined from the model. If the model is a linear equation, then it can be rearranged to calculate the nutrient concentrations required to achieve a periphyton biomass objective (as either 50, 120</w:t>
      </w:r>
      <w:r w:rsidR="00153BFB">
        <w:t> </w:t>
      </w:r>
      <w:r w:rsidRPr="00C00141">
        <w:t>or 200 mg/m</w:t>
      </w:r>
      <w:r w:rsidRPr="003C6D8A">
        <w:rPr>
          <w:vertAlign w:val="superscript"/>
        </w:rPr>
        <w:t>2</w:t>
      </w:r>
      <w:r w:rsidRPr="00C00141">
        <w:t>). For example, using the linear model from Biggs (2000) which predicts periphyton biomass from days of accrual and DIN concentration:</w:t>
      </w:r>
    </w:p>
    <w:p w14:paraId="3B8762BF" w14:textId="77777777" w:rsidR="003C6D8A" w:rsidRDefault="00552375" w:rsidP="00153BFB">
      <w:pPr>
        <w:pStyle w:val="BodyText"/>
        <w:spacing w:before="80"/>
        <w:ind w:left="284"/>
      </w:pPr>
      <w:bookmarkStart w:id="27" w:name="_Hlk515116196"/>
      <w:r w:rsidRPr="00F57844">
        <w:t>Log</w:t>
      </w:r>
      <w:r w:rsidRPr="00F57844">
        <w:rPr>
          <w:vertAlign w:val="superscript"/>
        </w:rPr>
        <w:t>10</w:t>
      </w:r>
      <w:r w:rsidRPr="00F57844">
        <w:t xml:space="preserve"> (maximum chl. </w:t>
      </w:r>
      <w:r w:rsidRPr="0020267F">
        <w:rPr>
          <w:i/>
        </w:rPr>
        <w:t>a</w:t>
      </w:r>
      <w:r w:rsidRPr="00F57844">
        <w:t>) = 4.285 x (Log</w:t>
      </w:r>
      <w:r w:rsidRPr="00F57844">
        <w:rPr>
          <w:vertAlign w:val="superscript"/>
        </w:rPr>
        <w:t>10</w:t>
      </w:r>
      <w:r w:rsidRPr="00F57844">
        <w:t xml:space="preserve"> days of accrual) – 0.929 x (Log</w:t>
      </w:r>
      <w:r w:rsidRPr="00F57844">
        <w:rPr>
          <w:vertAlign w:val="superscript"/>
        </w:rPr>
        <w:t>10</w:t>
      </w:r>
      <w:r w:rsidRPr="00F57844">
        <w:t xml:space="preserve"> days of accrual)</w:t>
      </w:r>
      <w:r w:rsidRPr="00F57844">
        <w:rPr>
          <w:vertAlign w:val="superscript"/>
        </w:rPr>
        <w:t>2</w:t>
      </w:r>
      <w:r w:rsidR="003C6D8A">
        <w:rPr>
          <w:vertAlign w:val="superscript"/>
        </w:rPr>
        <w:t xml:space="preserve"> </w:t>
      </w:r>
      <w:r w:rsidRPr="00F57844">
        <w:t>+</w:t>
      </w:r>
      <w:r w:rsidR="003C6D8A">
        <w:t> </w:t>
      </w:r>
      <w:r w:rsidRPr="00F57844">
        <w:t>(0.504 x Log</w:t>
      </w:r>
      <w:r w:rsidRPr="00F57844">
        <w:rPr>
          <w:vertAlign w:val="superscript"/>
        </w:rPr>
        <w:t>10</w:t>
      </w:r>
      <w:r w:rsidRPr="00F57844">
        <w:t xml:space="preserve"> SIN) – 2.946</w:t>
      </w:r>
    </w:p>
    <w:p w14:paraId="1AA34279" w14:textId="53E3FC86" w:rsidR="00552375" w:rsidRPr="00F57844" w:rsidRDefault="00552375" w:rsidP="003C6D8A">
      <w:pPr>
        <w:pStyle w:val="BodyText"/>
      </w:pPr>
      <w:r w:rsidRPr="00F57844">
        <w:t>This can be rearranged to: Log</w:t>
      </w:r>
      <w:r w:rsidRPr="00F57844">
        <w:rPr>
          <w:vertAlign w:val="superscript"/>
        </w:rPr>
        <w:t>10</w:t>
      </w:r>
      <w:r w:rsidRPr="00F57844">
        <w:t>SIN = [Log</w:t>
      </w:r>
      <w:r w:rsidRPr="00F57844">
        <w:rPr>
          <w:vertAlign w:val="superscript"/>
        </w:rPr>
        <w:t>10</w:t>
      </w:r>
      <w:r w:rsidRPr="00F57844">
        <w:t xml:space="preserve"> (maximum chl. </w:t>
      </w:r>
      <w:r w:rsidRPr="0020267F">
        <w:rPr>
          <w:i/>
        </w:rPr>
        <w:t>a</w:t>
      </w:r>
      <w:r w:rsidRPr="00F57844">
        <w:t>) + 2.946 + 0.929 x (Log</w:t>
      </w:r>
      <w:r w:rsidRPr="00F57844">
        <w:rPr>
          <w:vertAlign w:val="superscript"/>
        </w:rPr>
        <w:t>10</w:t>
      </w:r>
      <w:r w:rsidRPr="00F57844">
        <w:t xml:space="preserve"> days of accrual)</w:t>
      </w:r>
      <w:r w:rsidRPr="00F57844">
        <w:rPr>
          <w:vertAlign w:val="superscript"/>
        </w:rPr>
        <w:t>2</w:t>
      </w:r>
      <w:r w:rsidRPr="00F57844">
        <w:t xml:space="preserve"> – 4.285 x (Log</w:t>
      </w:r>
      <w:r w:rsidRPr="00F57844">
        <w:rPr>
          <w:vertAlign w:val="superscript"/>
        </w:rPr>
        <w:t>10</w:t>
      </w:r>
      <w:r w:rsidRPr="00F57844">
        <w:t xml:space="preserve"> days of accrual)]/0.504</w:t>
      </w:r>
      <w:bookmarkEnd w:id="27"/>
    </w:p>
    <w:p w14:paraId="0439D728" w14:textId="77777777" w:rsidR="00552375" w:rsidRPr="00C00141" w:rsidRDefault="00552375" w:rsidP="003C6D8A">
      <w:pPr>
        <w:pStyle w:val="BodyText"/>
      </w:pPr>
      <w:r w:rsidRPr="00C00141">
        <w:t xml:space="preserve">Alternatively, or if the model includes both DIN and DRP, then the equation can be used to predict chlorophyll </w:t>
      </w:r>
      <w:r w:rsidRPr="00A9203D">
        <w:rPr>
          <w:i/>
        </w:rPr>
        <w:t>a</w:t>
      </w:r>
      <w:r w:rsidRPr="00C00141">
        <w:t xml:space="preserve"> </w:t>
      </w:r>
      <w:r w:rsidRPr="003C6D8A">
        <w:t>under</w:t>
      </w:r>
      <w:r w:rsidRPr="00C00141">
        <w:t xml:space="preserve"> a range of scenarios. See Kilroy et al. (2017) or Kilroy et al. (2018) for an example of this process. It is important that a model only be used to predict nutrient criteria within the range of the measured data used to develop the model.</w:t>
      </w:r>
    </w:p>
    <w:p w14:paraId="39FFB9AD" w14:textId="77777777" w:rsidR="00552375" w:rsidRPr="00F57844" w:rsidRDefault="00552375" w:rsidP="00552375">
      <w:pPr>
        <w:pStyle w:val="Heading5"/>
      </w:pPr>
      <w:r>
        <w:t>Step 9:</w:t>
      </w:r>
      <w:r w:rsidRPr="00F57844">
        <w:t xml:space="preserve"> Reconcile upstream-downstream criteria</w:t>
      </w:r>
    </w:p>
    <w:p w14:paraId="2282F8C4" w14:textId="06CC1156" w:rsidR="00552375" w:rsidRPr="00F57844" w:rsidRDefault="00552375" w:rsidP="00552375">
      <w:pPr>
        <w:pStyle w:val="BodyText"/>
      </w:pPr>
      <w:r w:rsidRPr="00F57844">
        <w:t>The nutrient criteria assigned to monitoring sites will need to be checked to ensure that they</w:t>
      </w:r>
      <w:r w:rsidR="003C6D8A">
        <w:t> </w:t>
      </w:r>
      <w:r w:rsidRPr="00F57844">
        <w:t>are consistent with periphyton objectives and nutrient criteria assigned to any sites downstream of them. In some situations, a more stringent nutrient criterion may need to be</w:t>
      </w:r>
      <w:r w:rsidR="00BB36C1">
        <w:t> </w:t>
      </w:r>
      <w:r w:rsidRPr="00F57844">
        <w:t xml:space="preserve">set for an upstream site than that required to meet its designated periphyton objective (Refer to Steps </w:t>
      </w:r>
      <w:r>
        <w:t>(</w:t>
      </w:r>
      <w:r w:rsidRPr="00F57844">
        <w:t>b</w:t>
      </w:r>
      <w:r>
        <w:t>)</w:t>
      </w:r>
      <w:r w:rsidRPr="00F57844">
        <w:t xml:space="preserve"> and </w:t>
      </w:r>
      <w:r>
        <w:t>(</w:t>
      </w:r>
      <w:r w:rsidRPr="00F57844">
        <w:t>c</w:t>
      </w:r>
      <w:r>
        <w:t>)</w:t>
      </w:r>
      <w:r w:rsidRPr="00F57844">
        <w:t xml:space="preserve"> below). </w:t>
      </w:r>
    </w:p>
    <w:p w14:paraId="158E45A8" w14:textId="7D4C50BB" w:rsidR="00552375" w:rsidRPr="00F1539B" w:rsidRDefault="00552375" w:rsidP="00552375">
      <w:pPr>
        <w:pStyle w:val="BodyText"/>
      </w:pPr>
      <w:r w:rsidRPr="00F57844">
        <w:lastRenderedPageBreak/>
        <w:t>A simple hypothetical example of this is where a lower periphyton objective (e</w:t>
      </w:r>
      <w:r>
        <w:t>g</w:t>
      </w:r>
      <w:r w:rsidRPr="00F57844">
        <w:t>, Band C) is set</w:t>
      </w:r>
      <w:r w:rsidR="00797118">
        <w:t> </w:t>
      </w:r>
      <w:r w:rsidRPr="00F57844">
        <w:t>for a tributary than for the main-stem of a river (e</w:t>
      </w:r>
      <w:r>
        <w:t>g</w:t>
      </w:r>
      <w:r w:rsidRPr="00F57844">
        <w:t xml:space="preserve">, Band B). In this case the nutrient criteria for the tributary </w:t>
      </w:r>
      <w:r w:rsidRPr="00F57844">
        <w:rPr>
          <w:i/>
        </w:rPr>
        <w:t>may</w:t>
      </w:r>
      <w:r w:rsidRPr="00F57844">
        <w:t xml:space="preserve"> need to be set to meet a Band B rather than Band C periphyton objective. However, this will depend on the contribution of other tributaries to the main-stem river (see</w:t>
      </w:r>
      <w:r>
        <w:t xml:space="preserve"> </w:t>
      </w:r>
      <w:r w:rsidRPr="0087675D">
        <w:fldChar w:fldCharType="begin"/>
      </w:r>
      <w:r w:rsidRPr="0087675D">
        <w:instrText xml:space="preserve"> REF _Ref515354031 \h </w:instrText>
      </w:r>
      <w:r>
        <w:instrText xml:space="preserve"> \* MERGEFORMAT </w:instrText>
      </w:r>
      <w:r w:rsidRPr="0087675D">
        <w:fldChar w:fldCharType="separate"/>
      </w:r>
      <w:r w:rsidR="001A7243">
        <w:rPr>
          <w:b/>
          <w:bCs/>
          <w:lang w:val="en-US"/>
        </w:rPr>
        <w:t>Error! Reference source not found.</w:t>
      </w:r>
      <w:r w:rsidRPr="0087675D">
        <w:fldChar w:fldCharType="end"/>
      </w:r>
      <w:r w:rsidRPr="00F1539B">
        <w:t xml:space="preserve">). If the periphyton objective set for another tributary is Band A then the nutrient criteria set to achieve that objective, combined with the nutrient criteria for the Band C tributary, may still allow a Band B periphyton objective to be met for the main-stem of the river. The outcome depends on the relative contribution of the two tributaries to the river discharge observed at the main-stem site. </w:t>
      </w:r>
    </w:p>
    <w:p w14:paraId="5D597C70" w14:textId="3C395C89" w:rsidR="00BB36C1" w:rsidRDefault="00552375" w:rsidP="00BB36C1">
      <w:pPr>
        <w:pStyle w:val="Figureheading"/>
      </w:pPr>
      <w:bookmarkStart w:id="28" w:name="_Toc73711476"/>
      <w:r w:rsidRPr="0062138A">
        <w:t xml:space="preserve">Figure </w:t>
      </w:r>
      <w:fldSimple w:instr=" SEQ Figure \* ARABIC ">
        <w:r w:rsidR="001A7243">
          <w:rPr>
            <w:noProof/>
          </w:rPr>
          <w:t>3</w:t>
        </w:r>
      </w:fldSimple>
      <w:r w:rsidRPr="0062138A">
        <w:t>:</w:t>
      </w:r>
      <w:r w:rsidRPr="0062138A">
        <w:tab/>
        <w:t>An illustration of the process to reconcile periphyton nutrient criteria for hard-bottom streams and rivers using a simple example</w:t>
      </w:r>
      <w:bookmarkEnd w:id="28"/>
    </w:p>
    <w:p w14:paraId="0E12F854" w14:textId="4D07B74B" w:rsidR="00552375" w:rsidRPr="00F57844" w:rsidRDefault="00552375" w:rsidP="00BB36C1">
      <w:pPr>
        <w:pStyle w:val="BodyText"/>
        <w:jc w:val="center"/>
      </w:pPr>
      <w:r w:rsidRPr="00F57844">
        <w:rPr>
          <w:noProof/>
        </w:rPr>
        <w:drawing>
          <wp:inline distT="0" distB="0" distL="0" distR="0" wp14:anchorId="46B556FB" wp14:editId="35D6B5B3">
            <wp:extent cx="5349240" cy="1891636"/>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7228" cy="1894461"/>
                    </a:xfrm>
                    <a:prstGeom prst="rect">
                      <a:avLst/>
                    </a:prstGeom>
                    <a:noFill/>
                  </pic:spPr>
                </pic:pic>
              </a:graphicData>
            </a:graphic>
          </wp:inline>
        </w:drawing>
      </w:r>
    </w:p>
    <w:p w14:paraId="08CD6E22" w14:textId="1B7F53F0" w:rsidR="00552375" w:rsidRDefault="00552375" w:rsidP="00984D09">
      <w:pPr>
        <w:pStyle w:val="Heading3"/>
      </w:pPr>
      <w:r>
        <w:t xml:space="preserve">3.1.2 </w:t>
      </w:r>
      <w:r w:rsidR="00E92272">
        <w:tab/>
      </w:r>
      <w:r>
        <w:t>Clause 3.13(3)(a)(ii) Soft-bottom streams and rivers</w:t>
      </w:r>
    </w:p>
    <w:p w14:paraId="4C06C9FE" w14:textId="62809774" w:rsidR="00552375" w:rsidRDefault="00552375" w:rsidP="00552375">
      <w:pPr>
        <w:pStyle w:val="BodyText"/>
      </w:pPr>
      <w:r>
        <w:t>Nutrient concentration targets should still be set for soft bottom streams</w:t>
      </w:r>
      <w:r w:rsidR="00D05864">
        <w:t xml:space="preserve"> or </w:t>
      </w:r>
      <w:r w:rsidR="00D61035">
        <w:t xml:space="preserve">other </w:t>
      </w:r>
      <w:r w:rsidR="00D05864">
        <w:t>areas where there is no conspicuous periphyton</w:t>
      </w:r>
      <w:r>
        <w:t>, per 3.13(3)(a)(ii). These streams and rivers are those where</w:t>
      </w:r>
      <w:r w:rsidR="00BB36C1">
        <w:t> </w:t>
      </w:r>
      <w:r>
        <w:t>macrophytes and phytoplankton are usually the dominant primary producers. Although periphyton can occur in soft-bottom rivers, usually as filaments adhering to or entangled in macrophytes (Biggs, 2000) at present there is limited information available on the ecological effects of this form of periphyton, typically termed epiphyton.</w:t>
      </w:r>
      <w:r w:rsidR="00DD47E9">
        <w:t xml:space="preserve"> </w:t>
      </w:r>
      <w:r>
        <w:t>The NOF periphyton attribute still applies in these soft bottomed streams and rivers and freshwater objectives, and therefore also nutrient criteria must be set. In soft-bottom streams and rivers the nutrient criteria required must consider those to achieve other freshwater objectives. These objectives must include other relevant NPS-FM appendix 2 attributes and also any regionally-derived attributes for local conditions. The former refers to the nitrate and ammonia river toxicity attributes</w:t>
      </w:r>
      <w:r w:rsidRPr="000618CC">
        <w:t>.</w:t>
      </w:r>
      <w:r>
        <w:t xml:space="preserve"> The latter could include regional attributes for macrophytes, epiphyton and phytoplankton as well as for dissolved oxygen, fish, macroinvertebrates and ecosystem metabolism. Information relevant to the development of such regional attributes is summarised below.</w:t>
      </w:r>
    </w:p>
    <w:p w14:paraId="3B800597" w14:textId="77777777" w:rsidR="00552375" w:rsidRDefault="00552375" w:rsidP="00984D09">
      <w:pPr>
        <w:pStyle w:val="Heading4"/>
      </w:pPr>
      <w:r>
        <w:rPr>
          <w:noProof/>
        </w:rPr>
        <w:t>Macrophytes</w:t>
      </w:r>
    </w:p>
    <w:p w14:paraId="39635669" w14:textId="727682F0" w:rsidR="00552375" w:rsidRPr="00C00141" w:rsidRDefault="00552375" w:rsidP="001E5A91">
      <w:pPr>
        <w:pStyle w:val="BodyText"/>
        <w:ind w:right="-57"/>
      </w:pPr>
      <w:r w:rsidRPr="00C00141">
        <w:t>Nuisance growths of aquatic macrophytes are most common in unshaded, nutrient-rich, lowland streams and rivers (Haslam</w:t>
      </w:r>
      <w:r>
        <w:t>,</w:t>
      </w:r>
      <w:r w:rsidRPr="00C00141">
        <w:t xml:space="preserve"> 1978). New Zealand provisional guidelines for nuisance macrophyte abundance are &gt;50% channel volume (or clogginess) and &gt;50% water surface cover</w:t>
      </w:r>
      <w:r w:rsidR="00435064">
        <w:t> </w:t>
      </w:r>
      <w:r w:rsidRPr="00C00141">
        <w:t>(Matheson et al.</w:t>
      </w:r>
      <w:r>
        <w:t>,</w:t>
      </w:r>
      <w:r w:rsidRPr="00C00141">
        <w:t xml:space="preserve"> 2012). These provisional guidelines are equivalent to recommendations for United Kingdom rivers (Dawson &amp; Kern-Hansen</w:t>
      </w:r>
      <w:r>
        <w:t>,</w:t>
      </w:r>
      <w:r w:rsidRPr="00C00141">
        <w:t xml:space="preserve"> 1979) and consistent with a recommended intermediate plant density to support healthy stream invertebrate and fish communities in New Zealand lowland streams (Collier et al.</w:t>
      </w:r>
      <w:r>
        <w:t>,</w:t>
      </w:r>
      <w:r w:rsidRPr="00C00141">
        <w:t xml:space="preserve"> 1999). Nevertheless, the provisional status of these</w:t>
      </w:r>
      <w:r w:rsidR="00BB36C1">
        <w:t> </w:t>
      </w:r>
      <w:r w:rsidRPr="00C00141">
        <w:t>guidelines reflects the need for further testing and evaluation.</w:t>
      </w:r>
    </w:p>
    <w:p w14:paraId="32F6CAD8" w14:textId="37AB289A" w:rsidR="00552375" w:rsidRPr="00C00141" w:rsidRDefault="00552375" w:rsidP="00552375">
      <w:pPr>
        <w:pStyle w:val="BodyText"/>
      </w:pPr>
      <w:r w:rsidRPr="00C00141">
        <w:lastRenderedPageBreak/>
        <w:t>Like periphyton, macrophytes require sufficient nutrients for growth but relationships between nutrients and macrophytes are further complicated as macrophytes can acquire nutrients from water, sediments or both depending on their life-form type (</w:t>
      </w:r>
      <w:r w:rsidRPr="00C00141">
        <w:fldChar w:fldCharType="begin"/>
      </w:r>
      <w:r w:rsidRPr="00C00141">
        <w:instrText xml:space="preserve"> REF _Ref515315514 \h  \* MERGEFORMAT </w:instrText>
      </w:r>
      <w:r w:rsidRPr="00C00141">
        <w:fldChar w:fldCharType="separate"/>
      </w:r>
      <w:r w:rsidR="001A7243" w:rsidRPr="00294E44">
        <w:t xml:space="preserve">Table </w:t>
      </w:r>
      <w:r w:rsidR="001A7243">
        <w:rPr>
          <w:noProof/>
        </w:rPr>
        <w:t>2</w:t>
      </w:r>
      <w:r w:rsidRPr="00C00141">
        <w:fldChar w:fldCharType="end"/>
      </w:r>
      <w:r w:rsidRPr="00C00141">
        <w:t>).</w:t>
      </w:r>
    </w:p>
    <w:p w14:paraId="40D08BFF" w14:textId="59AD7EA6" w:rsidR="00552375" w:rsidRPr="00294E44" w:rsidRDefault="00552375" w:rsidP="00552375">
      <w:pPr>
        <w:pStyle w:val="Tableheading"/>
      </w:pPr>
      <w:bookmarkStart w:id="29" w:name="_Ref515315514"/>
      <w:bookmarkStart w:id="30" w:name="_Toc519683019"/>
      <w:bookmarkStart w:id="31" w:name="_Toc520810474"/>
      <w:bookmarkStart w:id="32" w:name="_Toc520810678"/>
      <w:bookmarkStart w:id="33" w:name="_Toc520898751"/>
      <w:bookmarkStart w:id="34" w:name="_Toc73713298"/>
      <w:r w:rsidRPr="00294E44">
        <w:t xml:space="preserve">Table </w:t>
      </w:r>
      <w:fldSimple w:instr=" SEQ Table \* ARABIC ">
        <w:r w:rsidR="001A7243">
          <w:rPr>
            <w:noProof/>
          </w:rPr>
          <w:t>2</w:t>
        </w:r>
      </w:fldSimple>
      <w:bookmarkEnd w:id="29"/>
      <w:r w:rsidRPr="00294E44">
        <w:t>:</w:t>
      </w:r>
      <w:r>
        <w:tab/>
      </w:r>
      <w:r w:rsidRPr="00294E44">
        <w:t>Macrophyte life form types with primary nutrient source and example species</w:t>
      </w:r>
      <w:bookmarkEnd w:id="30"/>
      <w:bookmarkEnd w:id="31"/>
      <w:bookmarkEnd w:id="32"/>
      <w:bookmarkEnd w:id="33"/>
      <w:bookmarkEnd w:id="34"/>
    </w:p>
    <w:tbl>
      <w:tblPr>
        <w:tblStyle w:val="TableGrid"/>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785"/>
        <w:gridCol w:w="2063"/>
        <w:gridCol w:w="4714"/>
      </w:tblGrid>
      <w:tr w:rsidR="00552375" w:rsidRPr="00397EE8" w14:paraId="601762B7" w14:textId="77777777" w:rsidTr="00BB36C1">
        <w:trPr>
          <w:tblHeader/>
        </w:trPr>
        <w:tc>
          <w:tcPr>
            <w:tcW w:w="1042" w:type="pct"/>
            <w:shd w:val="clear" w:color="auto" w:fill="1C556C" w:themeFill="accent1"/>
          </w:tcPr>
          <w:p w14:paraId="1B979313" w14:textId="77777777" w:rsidR="00552375" w:rsidRPr="00397EE8" w:rsidRDefault="00552375" w:rsidP="00552375">
            <w:pPr>
              <w:pStyle w:val="TableTextbold"/>
              <w:rPr>
                <w:color w:val="FFFFFF" w:themeColor="background1"/>
              </w:rPr>
            </w:pPr>
            <w:bookmarkStart w:id="35" w:name="_Hlk512841802"/>
            <w:bookmarkStart w:id="36" w:name="_Hlk512850701"/>
            <w:r w:rsidRPr="00397EE8">
              <w:rPr>
                <w:color w:val="FFFFFF" w:themeColor="background1"/>
              </w:rPr>
              <w:t>Life-form</w:t>
            </w:r>
          </w:p>
        </w:tc>
        <w:tc>
          <w:tcPr>
            <w:tcW w:w="1205" w:type="pct"/>
            <w:shd w:val="clear" w:color="auto" w:fill="1C556C" w:themeFill="accent1"/>
          </w:tcPr>
          <w:p w14:paraId="20F206C9" w14:textId="77777777" w:rsidR="00552375" w:rsidRPr="00397EE8" w:rsidRDefault="00552375" w:rsidP="00552375">
            <w:pPr>
              <w:pStyle w:val="TableTextbold"/>
              <w:rPr>
                <w:color w:val="FFFFFF" w:themeColor="background1"/>
              </w:rPr>
            </w:pPr>
            <w:r w:rsidRPr="00397EE8">
              <w:rPr>
                <w:color w:val="FFFFFF" w:themeColor="background1"/>
              </w:rPr>
              <w:t>Primary nutrient source</w:t>
            </w:r>
          </w:p>
        </w:tc>
        <w:tc>
          <w:tcPr>
            <w:tcW w:w="2753" w:type="pct"/>
            <w:shd w:val="clear" w:color="auto" w:fill="1C556C" w:themeFill="accent1"/>
          </w:tcPr>
          <w:p w14:paraId="7FFB2069" w14:textId="77777777" w:rsidR="00552375" w:rsidRPr="00397EE8" w:rsidRDefault="00552375" w:rsidP="00552375">
            <w:pPr>
              <w:pStyle w:val="TableTextbold"/>
              <w:rPr>
                <w:color w:val="FFFFFF" w:themeColor="background1"/>
              </w:rPr>
            </w:pPr>
            <w:r w:rsidRPr="00397EE8">
              <w:rPr>
                <w:color w:val="FFFFFF" w:themeColor="background1"/>
              </w:rPr>
              <w:t>Example species in NZ rivers</w:t>
            </w:r>
          </w:p>
        </w:tc>
      </w:tr>
      <w:tr w:rsidR="00552375" w:rsidRPr="006B4810" w14:paraId="3C9BC477" w14:textId="77777777" w:rsidTr="00BB36C1">
        <w:tc>
          <w:tcPr>
            <w:tcW w:w="1042" w:type="pct"/>
            <w:shd w:val="clear" w:color="auto" w:fill="auto"/>
          </w:tcPr>
          <w:p w14:paraId="7C32E902" w14:textId="77777777" w:rsidR="00552375" w:rsidRPr="006B4810" w:rsidRDefault="00552375" w:rsidP="00552375">
            <w:pPr>
              <w:pStyle w:val="TableText"/>
            </w:pPr>
            <w:r>
              <w:t>Free-floating</w:t>
            </w:r>
          </w:p>
        </w:tc>
        <w:tc>
          <w:tcPr>
            <w:tcW w:w="1205" w:type="pct"/>
            <w:shd w:val="clear" w:color="auto" w:fill="auto"/>
          </w:tcPr>
          <w:p w14:paraId="4821EC75" w14:textId="77777777" w:rsidR="00552375" w:rsidRPr="006B4810" w:rsidRDefault="00552375" w:rsidP="00552375">
            <w:pPr>
              <w:pStyle w:val="TableText"/>
            </w:pPr>
            <w:r>
              <w:t>Water</w:t>
            </w:r>
          </w:p>
        </w:tc>
        <w:tc>
          <w:tcPr>
            <w:tcW w:w="2753" w:type="pct"/>
          </w:tcPr>
          <w:p w14:paraId="587932B9" w14:textId="77777777" w:rsidR="00552375" w:rsidRPr="006B4810" w:rsidRDefault="00552375" w:rsidP="00552375">
            <w:pPr>
              <w:pStyle w:val="TableText"/>
            </w:pPr>
            <w:r>
              <w:t xml:space="preserve">Duckweed </w:t>
            </w:r>
            <w:r w:rsidRPr="006D1A2D">
              <w:rPr>
                <w:i/>
              </w:rPr>
              <w:t>(Lemna minor)</w:t>
            </w:r>
            <w:r>
              <w:rPr>
                <w:i/>
              </w:rPr>
              <w:t>*</w:t>
            </w:r>
            <w:r>
              <w:t>, Mosquito fern (</w:t>
            </w:r>
            <w:r w:rsidRPr="00D77228">
              <w:rPr>
                <w:i/>
              </w:rPr>
              <w:t xml:space="preserve">Azolla </w:t>
            </w:r>
            <w:r w:rsidRPr="005075EA">
              <w:rPr>
                <w:i/>
              </w:rPr>
              <w:t>pinnata</w:t>
            </w:r>
            <w:r>
              <w:t xml:space="preserve">). </w:t>
            </w:r>
          </w:p>
        </w:tc>
      </w:tr>
      <w:tr w:rsidR="00552375" w14:paraId="1C3CC307" w14:textId="77777777" w:rsidTr="00BB36C1">
        <w:tc>
          <w:tcPr>
            <w:tcW w:w="1042" w:type="pct"/>
            <w:shd w:val="clear" w:color="auto" w:fill="auto"/>
          </w:tcPr>
          <w:p w14:paraId="3ECCDA3A" w14:textId="77777777" w:rsidR="00552375" w:rsidRDefault="00552375" w:rsidP="00552375">
            <w:pPr>
              <w:pStyle w:val="TableText"/>
            </w:pPr>
            <w:r>
              <w:t>Floating-leaved</w:t>
            </w:r>
          </w:p>
        </w:tc>
        <w:tc>
          <w:tcPr>
            <w:tcW w:w="1205" w:type="pct"/>
            <w:shd w:val="clear" w:color="auto" w:fill="auto"/>
          </w:tcPr>
          <w:p w14:paraId="53DCCA78" w14:textId="77777777" w:rsidR="00552375" w:rsidRDefault="00552375" w:rsidP="00552375">
            <w:pPr>
              <w:pStyle w:val="TableText"/>
            </w:pPr>
            <w:r>
              <w:t>Sediment</w:t>
            </w:r>
          </w:p>
        </w:tc>
        <w:tc>
          <w:tcPr>
            <w:tcW w:w="2753" w:type="pct"/>
          </w:tcPr>
          <w:p w14:paraId="585050E8" w14:textId="77777777" w:rsidR="00552375" w:rsidRDefault="00552375" w:rsidP="00552375">
            <w:pPr>
              <w:pStyle w:val="TableText"/>
              <w:rPr>
                <w:lang w:val="en-US"/>
              </w:rPr>
            </w:pPr>
            <w:r>
              <w:rPr>
                <w:lang w:val="en-US"/>
              </w:rPr>
              <w:t>Swamp lily (</w:t>
            </w:r>
            <w:r w:rsidRPr="00D77228">
              <w:rPr>
                <w:i/>
                <w:lang w:val="en-US"/>
              </w:rPr>
              <w:t>Otellia ovalifolia</w:t>
            </w:r>
            <w:r>
              <w:rPr>
                <w:lang w:val="en-US"/>
              </w:rPr>
              <w:t>), Cape pondweed (</w:t>
            </w:r>
            <w:r w:rsidRPr="00D77228">
              <w:rPr>
                <w:i/>
                <w:lang w:val="en-US"/>
              </w:rPr>
              <w:t>Aponogeton distachyos</w:t>
            </w:r>
            <w:r>
              <w:rPr>
                <w:lang w:val="en-US"/>
              </w:rPr>
              <w:t>).</w:t>
            </w:r>
          </w:p>
        </w:tc>
      </w:tr>
      <w:tr w:rsidR="00552375" w:rsidRPr="006B4810" w14:paraId="0C97A6F6" w14:textId="77777777" w:rsidTr="00BB36C1">
        <w:tc>
          <w:tcPr>
            <w:tcW w:w="1042" w:type="pct"/>
            <w:shd w:val="clear" w:color="auto" w:fill="auto"/>
          </w:tcPr>
          <w:p w14:paraId="6212A8DA" w14:textId="77777777" w:rsidR="00552375" w:rsidRDefault="00552375" w:rsidP="00552375">
            <w:pPr>
              <w:pStyle w:val="TableText"/>
            </w:pPr>
            <w:r>
              <w:t>Erect emergent</w:t>
            </w:r>
          </w:p>
        </w:tc>
        <w:tc>
          <w:tcPr>
            <w:tcW w:w="1205" w:type="pct"/>
            <w:shd w:val="clear" w:color="auto" w:fill="auto"/>
          </w:tcPr>
          <w:p w14:paraId="00E48DB6" w14:textId="77777777" w:rsidR="00552375" w:rsidRDefault="00552375" w:rsidP="00552375">
            <w:pPr>
              <w:pStyle w:val="TableText"/>
            </w:pPr>
            <w:r>
              <w:t>Sediment</w:t>
            </w:r>
          </w:p>
        </w:tc>
        <w:tc>
          <w:tcPr>
            <w:tcW w:w="2753" w:type="pct"/>
          </w:tcPr>
          <w:p w14:paraId="5B1D42C7" w14:textId="77777777" w:rsidR="00552375" w:rsidRPr="00D77228" w:rsidRDefault="00552375" w:rsidP="00552375">
            <w:pPr>
              <w:pStyle w:val="TableText"/>
            </w:pPr>
            <w:r>
              <w:t xml:space="preserve">Reed canary grass </w:t>
            </w:r>
            <w:r w:rsidRPr="006D1A2D">
              <w:rPr>
                <w:i/>
              </w:rPr>
              <w:t>(Phalaris arundinacea)</w:t>
            </w:r>
            <w:r>
              <w:rPr>
                <w:i/>
              </w:rPr>
              <w:t xml:space="preserve">, </w:t>
            </w:r>
            <w:r>
              <w:t>Reed sweet grass (</w:t>
            </w:r>
            <w:r w:rsidRPr="00D77228">
              <w:rPr>
                <w:i/>
              </w:rPr>
              <w:t>Glyceria maxima</w:t>
            </w:r>
            <w:r>
              <w:t>).</w:t>
            </w:r>
          </w:p>
        </w:tc>
      </w:tr>
      <w:tr w:rsidR="00552375" w14:paraId="32BFCE8A" w14:textId="77777777" w:rsidTr="00BB36C1">
        <w:tc>
          <w:tcPr>
            <w:tcW w:w="1042" w:type="pct"/>
            <w:shd w:val="clear" w:color="auto" w:fill="auto"/>
          </w:tcPr>
          <w:p w14:paraId="30ECE211" w14:textId="77777777" w:rsidR="00552375" w:rsidRDefault="00552375" w:rsidP="00552375">
            <w:pPr>
              <w:pStyle w:val="TableText"/>
            </w:pPr>
            <w:r>
              <w:t>Sprawling emergent</w:t>
            </w:r>
          </w:p>
        </w:tc>
        <w:tc>
          <w:tcPr>
            <w:tcW w:w="1205" w:type="pct"/>
            <w:shd w:val="clear" w:color="auto" w:fill="auto"/>
          </w:tcPr>
          <w:p w14:paraId="0AA97095" w14:textId="77777777" w:rsidR="00552375" w:rsidRDefault="00552375" w:rsidP="00552375">
            <w:pPr>
              <w:pStyle w:val="TableText"/>
            </w:pPr>
            <w:r>
              <w:t>Sediment and Water</w:t>
            </w:r>
          </w:p>
        </w:tc>
        <w:tc>
          <w:tcPr>
            <w:tcW w:w="2753" w:type="pct"/>
          </w:tcPr>
          <w:p w14:paraId="2150C5C5" w14:textId="77777777" w:rsidR="00552375" w:rsidRDefault="00552375" w:rsidP="00552375">
            <w:pPr>
              <w:pStyle w:val="TableText"/>
            </w:pPr>
            <w:r>
              <w:t>Water pepper (</w:t>
            </w:r>
            <w:r w:rsidRPr="006D1A2D">
              <w:rPr>
                <w:i/>
              </w:rPr>
              <w:t>Per</w:t>
            </w:r>
            <w:r>
              <w:rPr>
                <w:i/>
              </w:rPr>
              <w:t>si</w:t>
            </w:r>
            <w:r w:rsidRPr="006D1A2D">
              <w:rPr>
                <w:i/>
              </w:rPr>
              <w:t>caria hydropiper</w:t>
            </w:r>
            <w:r>
              <w:rPr>
                <w:i/>
              </w:rPr>
              <w:t>)</w:t>
            </w:r>
            <w:r>
              <w:t>, Watercress (</w:t>
            </w:r>
            <w:r w:rsidRPr="006D1A2D">
              <w:rPr>
                <w:i/>
              </w:rPr>
              <w:t>Nasturtium</w:t>
            </w:r>
            <w:r>
              <w:t xml:space="preserve"> spp.).</w:t>
            </w:r>
          </w:p>
        </w:tc>
      </w:tr>
      <w:tr w:rsidR="00552375" w:rsidRPr="006B4810" w14:paraId="15C528D2" w14:textId="77777777" w:rsidTr="00BB36C1">
        <w:tc>
          <w:tcPr>
            <w:tcW w:w="1042" w:type="pct"/>
            <w:shd w:val="clear" w:color="auto" w:fill="auto"/>
          </w:tcPr>
          <w:p w14:paraId="036351EA" w14:textId="77777777" w:rsidR="00552375" w:rsidRPr="006B4810" w:rsidRDefault="00552375" w:rsidP="00552375">
            <w:pPr>
              <w:pStyle w:val="TableText"/>
            </w:pPr>
            <w:r>
              <w:t>Submerged</w:t>
            </w:r>
          </w:p>
        </w:tc>
        <w:tc>
          <w:tcPr>
            <w:tcW w:w="1205" w:type="pct"/>
            <w:shd w:val="clear" w:color="auto" w:fill="auto"/>
          </w:tcPr>
          <w:p w14:paraId="144A1FF4" w14:textId="77777777" w:rsidR="00552375" w:rsidRPr="006B4810" w:rsidRDefault="00552375" w:rsidP="00552375">
            <w:pPr>
              <w:pStyle w:val="TableText"/>
            </w:pPr>
            <w:r>
              <w:t>Sediment and Water</w:t>
            </w:r>
          </w:p>
        </w:tc>
        <w:tc>
          <w:tcPr>
            <w:tcW w:w="2753" w:type="pct"/>
          </w:tcPr>
          <w:p w14:paraId="7AB891FA" w14:textId="77777777" w:rsidR="00552375" w:rsidRPr="000E0530" w:rsidRDefault="00552375" w:rsidP="00552375">
            <w:pPr>
              <w:pStyle w:val="TableText"/>
              <w:rPr>
                <w:lang w:val="en-US"/>
              </w:rPr>
            </w:pPr>
            <w:r>
              <w:rPr>
                <w:lang w:val="en-US"/>
              </w:rPr>
              <w:t>Hornwort (</w:t>
            </w:r>
            <w:r w:rsidRPr="006E682B">
              <w:rPr>
                <w:i/>
                <w:lang w:val="en-US"/>
              </w:rPr>
              <w:t>Ceratophyllum demersum</w:t>
            </w:r>
            <w:r>
              <w:rPr>
                <w:lang w:val="en-US"/>
              </w:rPr>
              <w:t>), Starwort (</w:t>
            </w:r>
            <w:r w:rsidRPr="006E682B">
              <w:rPr>
                <w:i/>
                <w:lang w:val="en-US"/>
              </w:rPr>
              <w:t>Callitriche stagnalis</w:t>
            </w:r>
            <w:r>
              <w:rPr>
                <w:lang w:val="en-US"/>
              </w:rPr>
              <w:t>), Smooth-leaved pondweed (</w:t>
            </w:r>
            <w:r w:rsidRPr="006D1A2D">
              <w:rPr>
                <w:i/>
                <w:lang w:val="en-US"/>
              </w:rPr>
              <w:t>Potamogeton ochreatus</w:t>
            </w:r>
            <w:r>
              <w:rPr>
                <w:lang w:val="en-US"/>
              </w:rPr>
              <w:t>)*</w:t>
            </w:r>
          </w:p>
        </w:tc>
      </w:tr>
      <w:tr w:rsidR="00552375" w:rsidRPr="006B4810" w14:paraId="77074969" w14:textId="77777777" w:rsidTr="00BB36C1">
        <w:tc>
          <w:tcPr>
            <w:tcW w:w="1042" w:type="pct"/>
            <w:shd w:val="clear" w:color="auto" w:fill="auto"/>
          </w:tcPr>
          <w:p w14:paraId="47BBC3A6" w14:textId="77777777" w:rsidR="00552375" w:rsidRDefault="00552375" w:rsidP="00552375">
            <w:pPr>
              <w:pStyle w:val="TableText"/>
            </w:pPr>
            <w:r>
              <w:t>Characeans*</w:t>
            </w:r>
          </w:p>
        </w:tc>
        <w:tc>
          <w:tcPr>
            <w:tcW w:w="1205" w:type="pct"/>
            <w:shd w:val="clear" w:color="auto" w:fill="auto"/>
          </w:tcPr>
          <w:p w14:paraId="094D9C76" w14:textId="77777777" w:rsidR="00552375" w:rsidRDefault="00552375" w:rsidP="00552375">
            <w:pPr>
              <w:pStyle w:val="TableText"/>
            </w:pPr>
            <w:r>
              <w:t>Sediment and Water</w:t>
            </w:r>
          </w:p>
        </w:tc>
        <w:tc>
          <w:tcPr>
            <w:tcW w:w="2753" w:type="pct"/>
          </w:tcPr>
          <w:p w14:paraId="01781697" w14:textId="77777777" w:rsidR="00552375" w:rsidRDefault="00552375" w:rsidP="00552375">
            <w:pPr>
              <w:pStyle w:val="TableText"/>
              <w:rPr>
                <w:lang w:val="en-US"/>
              </w:rPr>
            </w:pPr>
            <w:r w:rsidRPr="0024368A">
              <w:rPr>
                <w:i/>
                <w:lang w:val="en-US"/>
              </w:rPr>
              <w:t>Nitella</w:t>
            </w:r>
            <w:r>
              <w:rPr>
                <w:lang w:val="en-US"/>
              </w:rPr>
              <w:t xml:space="preserve"> spp. (</w:t>
            </w:r>
            <w:r w:rsidRPr="0024368A">
              <w:rPr>
                <w:i/>
                <w:lang w:val="en-US"/>
              </w:rPr>
              <w:t>Nitella</w:t>
            </w:r>
            <w:r>
              <w:rPr>
                <w:lang w:val="en-US"/>
              </w:rPr>
              <w:t xml:space="preserve"> aff. </w:t>
            </w:r>
            <w:r w:rsidRPr="0024368A">
              <w:rPr>
                <w:i/>
                <w:lang w:val="en-US"/>
              </w:rPr>
              <w:t>cristata</w:t>
            </w:r>
            <w:r>
              <w:rPr>
                <w:lang w:val="en-US"/>
              </w:rPr>
              <w:t xml:space="preserve">, </w:t>
            </w:r>
            <w:r w:rsidRPr="0024368A">
              <w:rPr>
                <w:i/>
                <w:lang w:val="en-US"/>
              </w:rPr>
              <w:t>Nitella stuartii</w:t>
            </w:r>
            <w:r>
              <w:rPr>
                <w:lang w:val="en-US"/>
              </w:rPr>
              <w:t>).</w:t>
            </w:r>
          </w:p>
        </w:tc>
      </w:tr>
    </w:tbl>
    <w:bookmarkEnd w:id="35"/>
    <w:p w14:paraId="6D9847F0" w14:textId="4DEE164E" w:rsidR="00552375" w:rsidRPr="00A03F3C" w:rsidRDefault="00552375" w:rsidP="00BD12A5">
      <w:pPr>
        <w:pStyle w:val="Note"/>
      </w:pPr>
      <w:r w:rsidRPr="00A03F3C">
        <w:t>* native species</w:t>
      </w:r>
    </w:p>
    <w:bookmarkEnd w:id="36"/>
    <w:p w14:paraId="060CC53E" w14:textId="4021732A" w:rsidR="00552375" w:rsidRPr="00C00141" w:rsidRDefault="00552375" w:rsidP="00435064">
      <w:pPr>
        <w:pStyle w:val="BodyText"/>
      </w:pPr>
      <w:r w:rsidRPr="0011285B">
        <w:t>Like periphyton, macrophyte biomass accrual and community composition is regulated by several</w:t>
      </w:r>
      <w:r w:rsidRPr="00C00141">
        <w:t xml:space="preserve"> factors other than nutrients, in particular light availability and hydrological disturbance </w:t>
      </w:r>
      <w:r w:rsidRPr="00797118">
        <w:t>parameters (Matheson et al., 2012). Despite this complexity, research indicates that the</w:t>
      </w:r>
      <w:r w:rsidRPr="00C00141">
        <w:t xml:space="preserve"> risk</w:t>
      </w:r>
      <w:r w:rsidR="000F45C0">
        <w:t> </w:t>
      </w:r>
      <w:r w:rsidRPr="00C00141">
        <w:t>of</w:t>
      </w:r>
      <w:r w:rsidR="000F45C0">
        <w:t> </w:t>
      </w:r>
      <w:r w:rsidRPr="00C00141">
        <w:t>nuisance macrophyte growth generally increases as water nutrient concentrations increase, at least in the concentration range anticipated for most small to medium-sized watercourses (</w:t>
      </w:r>
      <w:r w:rsidRPr="00C00141">
        <w:fldChar w:fldCharType="begin"/>
      </w:r>
      <w:r w:rsidRPr="00C00141">
        <w:instrText xml:space="preserve"> REF _Ref515327455 \h  \* MERGEFORMAT </w:instrText>
      </w:r>
      <w:r w:rsidRPr="00C00141">
        <w:fldChar w:fldCharType="separate"/>
      </w:r>
      <w:r w:rsidR="001A7243" w:rsidRPr="000E4058">
        <w:t xml:space="preserve">Table </w:t>
      </w:r>
      <w:r w:rsidR="001A7243">
        <w:rPr>
          <w:noProof/>
        </w:rPr>
        <w:t>3</w:t>
      </w:r>
      <w:r w:rsidRPr="00C00141">
        <w:fldChar w:fldCharType="end"/>
      </w:r>
      <w:r w:rsidRPr="00C00141">
        <w:t>). Furthermore, many introduced macrophyte species prefer nutrient-enriched conditions (e</w:t>
      </w:r>
      <w:r>
        <w:t>g</w:t>
      </w:r>
      <w:r w:rsidRPr="00C00141">
        <w:t>, Ceratophyllum demersum and Callitriche stagnalis, Lacoul and Freedman</w:t>
      </w:r>
      <w:r>
        <w:t>,</w:t>
      </w:r>
      <w:r w:rsidRPr="00C00141">
        <w:t xml:space="preserve"> 2006</w:t>
      </w:r>
      <w:r>
        <w:t>;</w:t>
      </w:r>
      <w:r w:rsidRPr="00C00141">
        <w:t xml:space="preserve"> and see Ellenber</w:t>
      </w:r>
      <w:r>
        <w:t xml:space="preserve">g N indicator values, Ellenberg, </w:t>
      </w:r>
      <w:r w:rsidRPr="00C00141">
        <w:t xml:space="preserve">1988). This </w:t>
      </w:r>
      <w:r>
        <w:t>aligns</w:t>
      </w:r>
      <w:r w:rsidRPr="00C00141">
        <w:t xml:space="preserve"> with </w:t>
      </w:r>
      <w:r w:rsidRPr="00797118">
        <w:t>findings from a Canadian study (Carr et al., 2003) which concluded that nutrient abatement</w:t>
      </w:r>
      <w:r w:rsidRPr="00C00141">
        <w:t xml:space="preserve"> programs, especially focused on nitrogen, may be successful in reducing nuisance biomass of macrophytes. At high nutrient concentrations, in larger soft-bottom rivers, the growth of macrophytes is likely to be constrained by velocity, turbid water, competition with phytoplankton and, possibly, toxicity effects.</w:t>
      </w:r>
    </w:p>
    <w:p w14:paraId="32F78329" w14:textId="0C56666E" w:rsidR="00552375" w:rsidRPr="000E4058" w:rsidRDefault="00552375" w:rsidP="00552375">
      <w:pPr>
        <w:pStyle w:val="Tableheading"/>
      </w:pPr>
      <w:bookmarkStart w:id="37" w:name="_Ref515327455"/>
      <w:bookmarkStart w:id="38" w:name="_Toc519683020"/>
      <w:bookmarkStart w:id="39" w:name="_Toc520810475"/>
      <w:bookmarkStart w:id="40" w:name="_Toc520810679"/>
      <w:bookmarkStart w:id="41" w:name="_Toc520898752"/>
      <w:bookmarkStart w:id="42" w:name="_Toc73713299"/>
      <w:r w:rsidRPr="000E4058">
        <w:t xml:space="preserve">Table </w:t>
      </w:r>
      <w:fldSimple w:instr=" SEQ Table \* ARABIC ">
        <w:r w:rsidR="001A7243">
          <w:rPr>
            <w:noProof/>
          </w:rPr>
          <w:t>3</w:t>
        </w:r>
      </w:fldSimple>
      <w:bookmarkEnd w:id="37"/>
      <w:r w:rsidRPr="000E4058">
        <w:t xml:space="preserve">: </w:t>
      </w:r>
      <w:r>
        <w:tab/>
      </w:r>
      <w:r w:rsidRPr="000E4058">
        <w:t>Nutrient concentrations that may constrain macrophyte growth and biomass</w:t>
      </w:r>
      <w:bookmarkEnd w:id="38"/>
      <w:bookmarkEnd w:id="39"/>
      <w:bookmarkEnd w:id="40"/>
      <w:bookmarkEnd w:id="41"/>
      <w:bookmarkEnd w:id="42"/>
    </w:p>
    <w:tbl>
      <w:tblPr>
        <w:tblStyle w:val="TableGrid"/>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113"/>
        <w:gridCol w:w="1308"/>
        <w:gridCol w:w="4667"/>
        <w:gridCol w:w="1474"/>
      </w:tblGrid>
      <w:tr w:rsidR="00552375" w:rsidRPr="000F58D8" w14:paraId="5C720CC9" w14:textId="77777777" w:rsidTr="000F45C0">
        <w:trPr>
          <w:tblHeader/>
        </w:trPr>
        <w:tc>
          <w:tcPr>
            <w:tcW w:w="1113" w:type="dxa"/>
            <w:shd w:val="clear" w:color="auto" w:fill="1C556C" w:themeFill="accent1"/>
            <w:vAlign w:val="bottom"/>
          </w:tcPr>
          <w:p w14:paraId="5C6F991B" w14:textId="77777777" w:rsidR="00552375" w:rsidRPr="000F58D8" w:rsidRDefault="00552375" w:rsidP="00552375">
            <w:pPr>
              <w:pStyle w:val="TableTextbold"/>
              <w:rPr>
                <w:color w:val="FFFFFF" w:themeColor="background1"/>
              </w:rPr>
            </w:pPr>
            <w:r w:rsidRPr="000F58D8">
              <w:rPr>
                <w:color w:val="FFFFFF" w:themeColor="background1"/>
              </w:rPr>
              <w:t xml:space="preserve">Nutrient </w:t>
            </w:r>
          </w:p>
        </w:tc>
        <w:tc>
          <w:tcPr>
            <w:tcW w:w="1308" w:type="dxa"/>
            <w:shd w:val="clear" w:color="auto" w:fill="1C556C" w:themeFill="accent1"/>
            <w:vAlign w:val="bottom"/>
          </w:tcPr>
          <w:p w14:paraId="40517926" w14:textId="77777777" w:rsidR="00552375" w:rsidRPr="000F58D8" w:rsidRDefault="00552375" w:rsidP="00552375">
            <w:pPr>
              <w:pStyle w:val="TableTextbold"/>
              <w:rPr>
                <w:color w:val="FFFFFF" w:themeColor="background1"/>
              </w:rPr>
            </w:pPr>
            <w:r w:rsidRPr="000F58D8">
              <w:rPr>
                <w:color w:val="FFFFFF" w:themeColor="background1"/>
              </w:rPr>
              <w:t>Concentration (</w:t>
            </w:r>
            <w:r w:rsidRPr="000F58D8">
              <w:rPr>
                <w:rFonts w:ascii="Times New Roman" w:hAnsi="Times New Roman"/>
                <w:color w:val="FFFFFF" w:themeColor="background1"/>
              </w:rPr>
              <w:t>m</w:t>
            </w:r>
            <w:r w:rsidRPr="000F58D8">
              <w:rPr>
                <w:color w:val="FFFFFF" w:themeColor="background1"/>
              </w:rPr>
              <w:t>g/m</w:t>
            </w:r>
            <w:r w:rsidRPr="000F58D8">
              <w:rPr>
                <w:color w:val="FFFFFF" w:themeColor="background1"/>
                <w:vertAlign w:val="superscript"/>
              </w:rPr>
              <w:t>3</w:t>
            </w:r>
            <w:r w:rsidRPr="000F58D8">
              <w:rPr>
                <w:color w:val="FFFFFF" w:themeColor="background1"/>
              </w:rPr>
              <w:t>)</w:t>
            </w:r>
          </w:p>
        </w:tc>
        <w:tc>
          <w:tcPr>
            <w:tcW w:w="4667" w:type="dxa"/>
            <w:shd w:val="clear" w:color="auto" w:fill="1C556C" w:themeFill="accent1"/>
            <w:vAlign w:val="bottom"/>
          </w:tcPr>
          <w:p w14:paraId="10A18691" w14:textId="77777777" w:rsidR="00552375" w:rsidRPr="000F58D8" w:rsidRDefault="00552375" w:rsidP="00552375">
            <w:pPr>
              <w:pStyle w:val="TableTextbold"/>
              <w:rPr>
                <w:color w:val="FFFFFF" w:themeColor="background1"/>
              </w:rPr>
            </w:pPr>
            <w:r w:rsidRPr="000F58D8">
              <w:rPr>
                <w:color w:val="FFFFFF" w:themeColor="background1"/>
              </w:rPr>
              <w:t>Growth or biomass response</w:t>
            </w:r>
          </w:p>
        </w:tc>
        <w:tc>
          <w:tcPr>
            <w:tcW w:w="1474" w:type="dxa"/>
            <w:shd w:val="clear" w:color="auto" w:fill="1C556C" w:themeFill="accent1"/>
            <w:vAlign w:val="bottom"/>
          </w:tcPr>
          <w:p w14:paraId="1FB42166" w14:textId="77777777" w:rsidR="00552375" w:rsidRPr="000F58D8" w:rsidRDefault="00552375" w:rsidP="00552375">
            <w:pPr>
              <w:pStyle w:val="TableTextbold"/>
              <w:rPr>
                <w:color w:val="FFFFFF" w:themeColor="background1"/>
              </w:rPr>
            </w:pPr>
            <w:r w:rsidRPr="000F58D8">
              <w:rPr>
                <w:color w:val="FFFFFF" w:themeColor="background1"/>
              </w:rPr>
              <w:t>Reference</w:t>
            </w:r>
          </w:p>
        </w:tc>
      </w:tr>
      <w:tr w:rsidR="00552375" w:rsidRPr="006B4810" w14:paraId="773902DD" w14:textId="77777777" w:rsidTr="000F45C0">
        <w:tc>
          <w:tcPr>
            <w:tcW w:w="1113" w:type="dxa"/>
            <w:shd w:val="clear" w:color="auto" w:fill="auto"/>
          </w:tcPr>
          <w:p w14:paraId="1E6166D8" w14:textId="77777777" w:rsidR="00552375" w:rsidRPr="006B4810" w:rsidRDefault="00552375" w:rsidP="00552375">
            <w:pPr>
              <w:pStyle w:val="TableText"/>
            </w:pPr>
            <w:r>
              <w:t>Nitrate</w:t>
            </w:r>
          </w:p>
        </w:tc>
        <w:tc>
          <w:tcPr>
            <w:tcW w:w="1308" w:type="dxa"/>
            <w:shd w:val="clear" w:color="auto" w:fill="auto"/>
          </w:tcPr>
          <w:p w14:paraId="19B32E8F" w14:textId="77777777" w:rsidR="00552375" w:rsidRPr="006B4810" w:rsidRDefault="00552375" w:rsidP="00552375">
            <w:pPr>
              <w:pStyle w:val="TableText"/>
            </w:pPr>
            <w:r>
              <w:t>&gt;1000</w:t>
            </w:r>
          </w:p>
        </w:tc>
        <w:tc>
          <w:tcPr>
            <w:tcW w:w="4667" w:type="dxa"/>
          </w:tcPr>
          <w:p w14:paraId="0A0DDF5F" w14:textId="77777777" w:rsidR="00552375" w:rsidRPr="006B4810" w:rsidRDefault="00552375" w:rsidP="00552375">
            <w:pPr>
              <w:pStyle w:val="TableText"/>
            </w:pPr>
            <w:r>
              <w:t>Not limiting.</w:t>
            </w:r>
          </w:p>
        </w:tc>
        <w:tc>
          <w:tcPr>
            <w:tcW w:w="1474" w:type="dxa"/>
          </w:tcPr>
          <w:p w14:paraId="513EF48F" w14:textId="77777777" w:rsidR="00552375" w:rsidRPr="006B4810" w:rsidRDefault="00552375" w:rsidP="00552375">
            <w:pPr>
              <w:pStyle w:val="TableText"/>
            </w:pPr>
            <w:r>
              <w:t>Westlake (1981)</w:t>
            </w:r>
          </w:p>
        </w:tc>
      </w:tr>
      <w:tr w:rsidR="00552375" w14:paraId="3923CD9B" w14:textId="77777777" w:rsidTr="000F45C0">
        <w:tc>
          <w:tcPr>
            <w:tcW w:w="1113" w:type="dxa"/>
            <w:shd w:val="clear" w:color="auto" w:fill="auto"/>
          </w:tcPr>
          <w:p w14:paraId="612FCE38" w14:textId="77777777" w:rsidR="00552375" w:rsidRDefault="00552375" w:rsidP="00552375">
            <w:pPr>
              <w:pStyle w:val="TableText"/>
            </w:pPr>
            <w:r>
              <w:t>DIN</w:t>
            </w:r>
          </w:p>
        </w:tc>
        <w:tc>
          <w:tcPr>
            <w:tcW w:w="1308" w:type="dxa"/>
            <w:shd w:val="clear" w:color="auto" w:fill="auto"/>
          </w:tcPr>
          <w:p w14:paraId="020736F4" w14:textId="77777777" w:rsidR="00552375" w:rsidRDefault="00552375" w:rsidP="00552375">
            <w:pPr>
              <w:pStyle w:val="TableText"/>
            </w:pPr>
            <w:r>
              <w:t>&lt;1000</w:t>
            </w:r>
          </w:p>
        </w:tc>
        <w:tc>
          <w:tcPr>
            <w:tcW w:w="4667" w:type="dxa"/>
          </w:tcPr>
          <w:p w14:paraId="69D3E4BD" w14:textId="77777777" w:rsidR="00552375" w:rsidRDefault="00552375" w:rsidP="00552375">
            <w:pPr>
              <w:pStyle w:val="TableText"/>
              <w:rPr>
                <w:lang w:val="en-US"/>
              </w:rPr>
            </w:pPr>
            <w:r>
              <w:rPr>
                <w:lang w:val="en-US"/>
              </w:rPr>
              <w:t>Reduction in river macrophyte biomass (</w:t>
            </w:r>
            <w:r w:rsidRPr="005A3FAC">
              <w:rPr>
                <w:i/>
                <w:lang w:val="en-US"/>
              </w:rPr>
              <w:t>Potamogeton</w:t>
            </w:r>
            <w:r>
              <w:rPr>
                <w:lang w:val="en-US"/>
              </w:rPr>
              <w:t xml:space="preserve"> spp.) following improved N removal from WWTP discharge.</w:t>
            </w:r>
          </w:p>
        </w:tc>
        <w:tc>
          <w:tcPr>
            <w:tcW w:w="1474" w:type="dxa"/>
          </w:tcPr>
          <w:p w14:paraId="00FB060D" w14:textId="77777777" w:rsidR="00552375" w:rsidRDefault="00552375" w:rsidP="00552375">
            <w:pPr>
              <w:pStyle w:val="TableText"/>
            </w:pPr>
            <w:r>
              <w:t>Soziak (2002)</w:t>
            </w:r>
          </w:p>
        </w:tc>
      </w:tr>
      <w:tr w:rsidR="00552375" w:rsidRPr="006B4810" w14:paraId="567BCB7A" w14:textId="77777777" w:rsidTr="000F45C0">
        <w:tc>
          <w:tcPr>
            <w:tcW w:w="1113" w:type="dxa"/>
            <w:shd w:val="clear" w:color="auto" w:fill="auto"/>
          </w:tcPr>
          <w:p w14:paraId="2D938595" w14:textId="77777777" w:rsidR="00552375" w:rsidRDefault="00552375" w:rsidP="00552375">
            <w:pPr>
              <w:pStyle w:val="TableText"/>
            </w:pPr>
            <w:r>
              <w:t>DRP</w:t>
            </w:r>
          </w:p>
        </w:tc>
        <w:tc>
          <w:tcPr>
            <w:tcW w:w="1308" w:type="dxa"/>
            <w:shd w:val="clear" w:color="auto" w:fill="auto"/>
          </w:tcPr>
          <w:p w14:paraId="0F787501" w14:textId="77777777" w:rsidR="00552375" w:rsidRDefault="00552375" w:rsidP="00552375">
            <w:pPr>
              <w:pStyle w:val="TableText"/>
            </w:pPr>
            <w:r>
              <w:t>100</w:t>
            </w:r>
          </w:p>
        </w:tc>
        <w:tc>
          <w:tcPr>
            <w:tcW w:w="4667" w:type="dxa"/>
          </w:tcPr>
          <w:p w14:paraId="1B2D72F8" w14:textId="77777777" w:rsidR="00552375" w:rsidRPr="006B4810" w:rsidRDefault="00552375" w:rsidP="00552375">
            <w:pPr>
              <w:pStyle w:val="TableText"/>
            </w:pPr>
            <w:r>
              <w:rPr>
                <w:lang w:val="en-US"/>
              </w:rPr>
              <w:t>D</w:t>
            </w:r>
            <w:r w:rsidRPr="00655003">
              <w:rPr>
                <w:lang w:val="en-US"/>
              </w:rPr>
              <w:t>ata suggest</w:t>
            </w:r>
            <w:r>
              <w:rPr>
                <w:lang w:val="en-US"/>
              </w:rPr>
              <w:t>s</w:t>
            </w:r>
            <w:r w:rsidRPr="00655003">
              <w:rPr>
                <w:lang w:val="en-US"/>
              </w:rPr>
              <w:t xml:space="preserve"> that a reduction in biomass of </w:t>
            </w:r>
            <w:r>
              <w:rPr>
                <w:lang w:val="en-US"/>
              </w:rPr>
              <w:t>water crowfoot (</w:t>
            </w:r>
            <w:r w:rsidRPr="00655003">
              <w:rPr>
                <w:i/>
                <w:iCs/>
                <w:lang w:val="en-US"/>
              </w:rPr>
              <w:t>Ranunculus penicillatus</w:t>
            </w:r>
            <w:r>
              <w:rPr>
                <w:lang w:val="en-US"/>
              </w:rPr>
              <w:t>)</w:t>
            </w:r>
            <w:r w:rsidRPr="00655003">
              <w:rPr>
                <w:lang w:val="en-US"/>
              </w:rPr>
              <w:t xml:space="preserve"> in UK rivers is likely below this threshold.</w:t>
            </w:r>
          </w:p>
        </w:tc>
        <w:tc>
          <w:tcPr>
            <w:tcW w:w="1474" w:type="dxa"/>
          </w:tcPr>
          <w:p w14:paraId="39A05223" w14:textId="77777777" w:rsidR="00552375" w:rsidRPr="006B4810" w:rsidRDefault="00552375" w:rsidP="00552375">
            <w:pPr>
              <w:pStyle w:val="TableText"/>
            </w:pPr>
            <w:r>
              <w:t xml:space="preserve">O’Hare </w:t>
            </w:r>
            <w:r w:rsidRPr="001D0EDF">
              <w:rPr>
                <w:i/>
              </w:rPr>
              <w:t>et al.</w:t>
            </w:r>
            <w:r>
              <w:t xml:space="preserve"> (2010)</w:t>
            </w:r>
          </w:p>
        </w:tc>
      </w:tr>
      <w:tr w:rsidR="00552375" w14:paraId="57E87B48" w14:textId="77777777" w:rsidTr="000F45C0">
        <w:tc>
          <w:tcPr>
            <w:tcW w:w="1113" w:type="dxa"/>
            <w:shd w:val="clear" w:color="auto" w:fill="auto"/>
          </w:tcPr>
          <w:p w14:paraId="6639DB17" w14:textId="77777777" w:rsidR="00552375" w:rsidRDefault="00552375" w:rsidP="00552375">
            <w:pPr>
              <w:pStyle w:val="TableText"/>
            </w:pPr>
            <w:r>
              <w:t>DIN &amp; DRP</w:t>
            </w:r>
          </w:p>
        </w:tc>
        <w:tc>
          <w:tcPr>
            <w:tcW w:w="1308" w:type="dxa"/>
            <w:shd w:val="clear" w:color="auto" w:fill="auto"/>
          </w:tcPr>
          <w:p w14:paraId="5496DE0A" w14:textId="77777777" w:rsidR="00552375" w:rsidRDefault="00552375" w:rsidP="00552375">
            <w:pPr>
              <w:pStyle w:val="TableText"/>
            </w:pPr>
            <w:r>
              <w:t>750 &amp; 15</w:t>
            </w:r>
          </w:p>
        </w:tc>
        <w:tc>
          <w:tcPr>
            <w:tcW w:w="4667" w:type="dxa"/>
          </w:tcPr>
          <w:p w14:paraId="3AD119EC" w14:textId="77777777" w:rsidR="00552375" w:rsidRDefault="00552375" w:rsidP="00552375">
            <w:pPr>
              <w:pStyle w:val="TableText"/>
            </w:pPr>
            <w:r w:rsidRPr="000E0530">
              <w:rPr>
                <w:lang w:val="en-US"/>
              </w:rPr>
              <w:t xml:space="preserve">Complying with these </w:t>
            </w:r>
            <w:r>
              <w:rPr>
                <w:lang w:val="en-US"/>
              </w:rPr>
              <w:t>concentrations</w:t>
            </w:r>
            <w:r w:rsidRPr="000E0530">
              <w:rPr>
                <w:lang w:val="en-US"/>
              </w:rPr>
              <w:t xml:space="preserve"> </w:t>
            </w:r>
            <w:r>
              <w:rPr>
                <w:lang w:val="en-US"/>
              </w:rPr>
              <w:t xml:space="preserve">is </w:t>
            </w:r>
            <w:r w:rsidRPr="000E0530">
              <w:rPr>
                <w:lang w:val="en-US"/>
              </w:rPr>
              <w:t xml:space="preserve">predicted to increase </w:t>
            </w:r>
            <w:r>
              <w:rPr>
                <w:lang w:val="en-US"/>
              </w:rPr>
              <w:t xml:space="preserve">the </w:t>
            </w:r>
            <w:r w:rsidRPr="000E0530">
              <w:rPr>
                <w:lang w:val="en-US"/>
              </w:rPr>
              <w:t xml:space="preserve">number of monitoring sites meeting </w:t>
            </w:r>
            <w:r>
              <w:rPr>
                <w:lang w:val="en-US"/>
              </w:rPr>
              <w:t>Canterbury regional</w:t>
            </w:r>
            <w:r w:rsidRPr="000E0530">
              <w:rPr>
                <w:lang w:val="en-US"/>
              </w:rPr>
              <w:t xml:space="preserve"> objective of &lt;50% macrophyte cover.</w:t>
            </w:r>
          </w:p>
        </w:tc>
        <w:tc>
          <w:tcPr>
            <w:tcW w:w="1474" w:type="dxa"/>
          </w:tcPr>
          <w:p w14:paraId="02DC48FB" w14:textId="77777777" w:rsidR="00552375" w:rsidRDefault="00552375" w:rsidP="00552375">
            <w:pPr>
              <w:pStyle w:val="TableText"/>
            </w:pPr>
            <w:r>
              <w:t>Booker &amp; Snelder (2012)</w:t>
            </w:r>
          </w:p>
        </w:tc>
      </w:tr>
      <w:tr w:rsidR="00552375" w:rsidRPr="006B4810" w14:paraId="4615C371" w14:textId="77777777" w:rsidTr="000F45C0">
        <w:tc>
          <w:tcPr>
            <w:tcW w:w="1113" w:type="dxa"/>
            <w:shd w:val="clear" w:color="auto" w:fill="auto"/>
          </w:tcPr>
          <w:p w14:paraId="0CCE588C" w14:textId="77777777" w:rsidR="00552375" w:rsidRPr="006B4810" w:rsidRDefault="00552375" w:rsidP="00552375">
            <w:pPr>
              <w:pStyle w:val="TableText"/>
            </w:pPr>
            <w:r>
              <w:t>DIN &amp; DRP</w:t>
            </w:r>
          </w:p>
        </w:tc>
        <w:tc>
          <w:tcPr>
            <w:tcW w:w="1308" w:type="dxa"/>
            <w:shd w:val="clear" w:color="auto" w:fill="auto"/>
          </w:tcPr>
          <w:p w14:paraId="02280E4C" w14:textId="6D8E05AD" w:rsidR="00552375" w:rsidRPr="006B4810" w:rsidRDefault="00552375" w:rsidP="000F45C0">
            <w:pPr>
              <w:pStyle w:val="TableText"/>
            </w:pPr>
            <w:r>
              <w:t>&lt;100 &amp; &lt;10</w:t>
            </w:r>
            <w:r w:rsidR="000F45C0">
              <w:br/>
            </w:r>
            <w:r>
              <w:t>&gt;1000 &amp; &gt;100</w:t>
            </w:r>
          </w:p>
        </w:tc>
        <w:tc>
          <w:tcPr>
            <w:tcW w:w="4667" w:type="dxa"/>
          </w:tcPr>
          <w:p w14:paraId="55B93E05" w14:textId="77777777" w:rsidR="00552375" w:rsidRPr="000E0530" w:rsidRDefault="00552375" w:rsidP="00552375">
            <w:pPr>
              <w:pStyle w:val="TableText"/>
              <w:rPr>
                <w:lang w:val="en-US"/>
              </w:rPr>
            </w:pPr>
            <w:r>
              <w:rPr>
                <w:lang w:val="en-US"/>
              </w:rPr>
              <w:t>Approximate low-risk</w:t>
            </w:r>
            <w:r w:rsidRPr="000E0530">
              <w:rPr>
                <w:lang w:val="en-US"/>
              </w:rPr>
              <w:t xml:space="preserve"> </w:t>
            </w:r>
            <w:r>
              <w:rPr>
                <w:lang w:val="en-US"/>
              </w:rPr>
              <w:t xml:space="preserve">&amp; high-risk water </w:t>
            </w:r>
            <w:r w:rsidRPr="000E0530">
              <w:rPr>
                <w:lang w:val="en-US"/>
              </w:rPr>
              <w:t xml:space="preserve">concentrations </w:t>
            </w:r>
            <w:r>
              <w:rPr>
                <w:lang w:val="en-US"/>
              </w:rPr>
              <w:t>for nuisance macrophyte growth based on literature review &amp; expert opinion.</w:t>
            </w:r>
          </w:p>
        </w:tc>
        <w:tc>
          <w:tcPr>
            <w:tcW w:w="1474" w:type="dxa"/>
          </w:tcPr>
          <w:p w14:paraId="3E8D1970" w14:textId="77777777" w:rsidR="00552375" w:rsidRPr="006B4810" w:rsidRDefault="00552375" w:rsidP="00552375">
            <w:pPr>
              <w:pStyle w:val="TableText"/>
            </w:pPr>
            <w:r>
              <w:t xml:space="preserve">Matheson </w:t>
            </w:r>
            <w:r w:rsidRPr="001D0EDF">
              <w:rPr>
                <w:i/>
              </w:rPr>
              <w:t>et al.</w:t>
            </w:r>
            <w:r>
              <w:t xml:space="preserve"> (2012)</w:t>
            </w:r>
          </w:p>
        </w:tc>
      </w:tr>
    </w:tbl>
    <w:p w14:paraId="4BF79327" w14:textId="77777777" w:rsidR="00552375" w:rsidRPr="00C00141" w:rsidRDefault="00552375" w:rsidP="00984D09">
      <w:pPr>
        <w:pStyle w:val="Heading4"/>
      </w:pPr>
      <w:r w:rsidRPr="00C00141">
        <w:lastRenderedPageBreak/>
        <w:t>Epiphyton</w:t>
      </w:r>
    </w:p>
    <w:p w14:paraId="73D5157C" w14:textId="2196E8F0" w:rsidR="00552375" w:rsidRPr="00C00141" w:rsidRDefault="00552375" w:rsidP="003740A2">
      <w:pPr>
        <w:pStyle w:val="BodyText"/>
        <w:ind w:right="-57"/>
      </w:pPr>
      <w:r w:rsidRPr="00C00141">
        <w:t>In nutrient-enriched, macrophyte dominated watercourses, long filamentous algae</w:t>
      </w:r>
      <w:r w:rsidRPr="00C00141" w:rsidDel="0011285B">
        <w:t xml:space="preserve"> </w:t>
      </w:r>
      <w:r w:rsidRPr="00C00141">
        <w:t>can sometimes conspicuous</w:t>
      </w:r>
      <w:r>
        <w:t>ly</w:t>
      </w:r>
      <w:r w:rsidRPr="00C00141">
        <w:t xml:space="preserve"> grow, although </w:t>
      </w:r>
      <w:r>
        <w:t>this</w:t>
      </w:r>
      <w:r w:rsidRPr="00C00141">
        <w:t xml:space="preserve"> may not be common (see Biggs and Price</w:t>
      </w:r>
      <w:r>
        <w:t>,</w:t>
      </w:r>
      <w:r w:rsidRPr="00C00141">
        <w:t xml:space="preserve"> 1987). Nevertheless, substantial growths of the red filamentous alga, Compsopogon spp. occur </w:t>
      </w:r>
      <w:r w:rsidRPr="00797118">
        <w:t>amongst beds of macrophytes in the Piako and Waitoa Rivers in Waikato (Matheson et al.,</w:t>
      </w:r>
      <w:r w:rsidRPr="00C00141">
        <w:t xml:space="preserve"> 2009</w:t>
      </w:r>
      <w:r>
        <w:t>;</w:t>
      </w:r>
      <w:r w:rsidRPr="00C00141">
        <w:t xml:space="preserve"> Matheson and Wells</w:t>
      </w:r>
      <w:r>
        <w:t>,</w:t>
      </w:r>
      <w:r w:rsidRPr="00C00141">
        <w:t xml:space="preserve"> 2017) and elsewhere (Chapman &amp; Cameron</w:t>
      </w:r>
      <w:r>
        <w:t>,</w:t>
      </w:r>
      <w:r w:rsidRPr="00C00141">
        <w:t xml:space="preserve"> 1967), and the green filamentous alga, Microspora spp., can grow abundantly amongst macrophytes in spring-fed streams (Biggs</w:t>
      </w:r>
      <w:r>
        <w:t>,</w:t>
      </w:r>
      <w:r w:rsidRPr="00C00141">
        <w:t xml:space="preserve"> 2000). In the Piako River, concentrations of DIN of 200 mg/m</w:t>
      </w:r>
      <w:r w:rsidRPr="007833F7">
        <w:rPr>
          <w:vertAlign w:val="superscript"/>
        </w:rPr>
        <w:t>3</w:t>
      </w:r>
      <w:r w:rsidRPr="00C00141">
        <w:t xml:space="preserve"> and DRP 50</w:t>
      </w:r>
      <w:r w:rsidR="000F45C0">
        <w:t> </w:t>
      </w:r>
      <w:r w:rsidRPr="00C00141">
        <w:t>mg/m</w:t>
      </w:r>
      <w:r w:rsidRPr="007833F7">
        <w:rPr>
          <w:vertAlign w:val="superscript"/>
        </w:rPr>
        <w:t>3</w:t>
      </w:r>
      <w:r w:rsidRPr="00C00141">
        <w:t xml:space="preserve"> have been associated with reduced abundance of Compsopogon (</w:t>
      </w:r>
      <w:r w:rsidRPr="00797118">
        <w:t>Matheson et al.,</w:t>
      </w:r>
      <w:r w:rsidRPr="00C00141">
        <w:t xml:space="preserve"> 2009). However, in general, the occurrence, impact and response to nutrients of epiphytic algal growths in soft-bottom rivers has not been well-studied and requires further investigation.</w:t>
      </w:r>
    </w:p>
    <w:p w14:paraId="50A6197A" w14:textId="77777777" w:rsidR="00552375" w:rsidRPr="00C00141" w:rsidRDefault="00552375" w:rsidP="00984D09">
      <w:pPr>
        <w:pStyle w:val="Heading4"/>
      </w:pPr>
      <w:r w:rsidRPr="00C00141">
        <w:t>Phytoplankton</w:t>
      </w:r>
    </w:p>
    <w:p w14:paraId="0F2C38A9" w14:textId="6299B240" w:rsidR="00552375" w:rsidRPr="00C00141" w:rsidRDefault="00552375" w:rsidP="00552375">
      <w:pPr>
        <w:pStyle w:val="BodyText"/>
      </w:pPr>
      <w:r w:rsidRPr="00C00141">
        <w:t>Nuisance phytoplankton blooms are generally only considered problematic in large, impounded river systems (e</w:t>
      </w:r>
      <w:r>
        <w:t>g</w:t>
      </w:r>
      <w:r w:rsidRPr="00C00141">
        <w:t>, Waikato hydrolakes and lower river) with relatively high nutrient</w:t>
      </w:r>
      <w:r w:rsidR="003740A2">
        <w:t> </w:t>
      </w:r>
      <w:r w:rsidRPr="00C00141">
        <w:t xml:space="preserve">levels and water residence times. Consequently, few </w:t>
      </w:r>
      <w:r>
        <w:t>r</w:t>
      </w:r>
      <w:r w:rsidRPr="00C00141">
        <w:t xml:space="preserve">egional </w:t>
      </w:r>
      <w:r>
        <w:t>c</w:t>
      </w:r>
      <w:r w:rsidRPr="00C00141">
        <w:t xml:space="preserve">ouncils systematically measure riverine phytoplankton abundance as part of </w:t>
      </w:r>
      <w:r w:rsidRPr="00DF24E3">
        <w:t>their state of environment</w:t>
      </w:r>
      <w:r w:rsidRPr="00C00141">
        <w:t xml:space="preserve"> monitoring programmes. All regions that have or could have nuisance phytoplankton blooms should include this in their monitoring programme. In recognition of the lake-fed nature of the Waikato River and the potential influence of hydro lakes along that river system, the Waikato River Collaborative Stakeholder Group have adopted the NPS-FM Lake Phytoplankton, TN and TP attributes for Ecosystem Health along the entire main stem of the Waikato River (excluding Waipa River) (Waikato River Collaborative Stakeholder Group</w:t>
      </w:r>
      <w:r>
        <w:t>,</w:t>
      </w:r>
      <w:r w:rsidRPr="00C00141">
        <w:t xml:space="preserve"> 2016).</w:t>
      </w:r>
    </w:p>
    <w:p w14:paraId="2E866EFB" w14:textId="7FDBB451" w:rsidR="00552375" w:rsidRDefault="00552375" w:rsidP="000F45C0">
      <w:pPr>
        <w:pStyle w:val="Heading2"/>
      </w:pPr>
      <w:bookmarkStart w:id="43" w:name="_Toc520810801"/>
      <w:bookmarkStart w:id="44" w:name="_Toc73711454"/>
      <w:r>
        <w:t xml:space="preserve">3.2 </w:t>
      </w:r>
      <w:r w:rsidR="00E92272">
        <w:tab/>
      </w:r>
      <w:r>
        <w:t>Clause 3.13(3)(b): Are there sensitive downstream receiving environments?</w:t>
      </w:r>
      <w:bookmarkEnd w:id="43"/>
      <w:bookmarkEnd w:id="44"/>
    </w:p>
    <w:p w14:paraId="765C66E0" w14:textId="47123FC9" w:rsidR="00552375" w:rsidRDefault="00552375" w:rsidP="00FF7259">
      <w:pPr>
        <w:pStyle w:val="Heading3"/>
        <w:spacing w:before="240" w:after="240"/>
      </w:pPr>
      <w:r>
        <w:t xml:space="preserve">3.2.1 </w:t>
      </w:r>
      <w:r w:rsidR="000F45C0">
        <w:tab/>
      </w:r>
      <w:r>
        <w:t xml:space="preserve">Potentially sensitive downstream receiving environments </w:t>
      </w:r>
    </w:p>
    <w:tbl>
      <w:tblPr>
        <w:tblW w:w="8505" w:type="dxa"/>
        <w:tblBorders>
          <w:top w:val="single" w:sz="4" w:space="0" w:color="CFE5E5"/>
          <w:left w:val="single" w:sz="4" w:space="0" w:color="CFE5E5"/>
          <w:bottom w:val="single" w:sz="4" w:space="0" w:color="CFE5E5"/>
          <w:right w:val="single" w:sz="4" w:space="0" w:color="CFE5E5"/>
        </w:tblBorders>
        <w:shd w:val="clear" w:color="auto" w:fill="CFE5E5"/>
        <w:tblLook w:val="04A0" w:firstRow="1" w:lastRow="0" w:firstColumn="1" w:lastColumn="0" w:noHBand="0" w:noVBand="1"/>
      </w:tblPr>
      <w:tblGrid>
        <w:gridCol w:w="8505"/>
      </w:tblGrid>
      <w:tr w:rsidR="00E640F2" w:rsidRPr="006B77BB" w14:paraId="107022DF" w14:textId="77777777" w:rsidTr="00E640F2">
        <w:tc>
          <w:tcPr>
            <w:tcW w:w="8505" w:type="dxa"/>
            <w:shd w:val="clear" w:color="auto" w:fill="CFE5E5"/>
          </w:tcPr>
          <w:p w14:paraId="6419B9F7" w14:textId="77777777" w:rsidR="00E640F2" w:rsidRDefault="00E640F2" w:rsidP="00E640F2">
            <w:pPr>
              <w:pStyle w:val="Greenheading-casestudytables"/>
              <w:keepNext w:val="0"/>
            </w:pPr>
            <w:r w:rsidRPr="00E90C6B">
              <w:t>Key points</w:t>
            </w:r>
          </w:p>
          <w:p w14:paraId="4A001CD6" w14:textId="77777777" w:rsidR="00E640F2" w:rsidRDefault="00E640F2" w:rsidP="00E640F2">
            <w:pPr>
              <w:pStyle w:val="Greentext-casestudytables"/>
            </w:pPr>
            <w:r>
              <w:t>Potentially sensitive downstream receiving environments include:</w:t>
            </w:r>
          </w:p>
          <w:p w14:paraId="015F0AFF" w14:textId="77777777" w:rsidR="00E640F2" w:rsidRDefault="00E640F2" w:rsidP="00E640F2">
            <w:pPr>
              <w:pStyle w:val="Greenbullet-casestudytables"/>
            </w:pPr>
            <w:r>
              <w:t>rivers – ie, mainstem streams or rivers in downstream FMUs</w:t>
            </w:r>
          </w:p>
          <w:p w14:paraId="36359687" w14:textId="77777777" w:rsidR="00E640F2" w:rsidRDefault="00E640F2" w:rsidP="00E640F2">
            <w:pPr>
              <w:pStyle w:val="Greenbullet-casestudytables"/>
            </w:pPr>
            <w:r>
              <w:t>wetlands – limited to those connected to surface waters of FMUs</w:t>
            </w:r>
          </w:p>
          <w:p w14:paraId="40DC943B" w14:textId="77777777" w:rsidR="00E640F2" w:rsidRDefault="00E640F2" w:rsidP="00E640F2">
            <w:pPr>
              <w:pStyle w:val="Greenbullet-casestudytables"/>
            </w:pPr>
            <w:r>
              <w:t>lakes – limited to those connected to surface waters of FMUs</w:t>
            </w:r>
          </w:p>
          <w:p w14:paraId="692F82E8" w14:textId="77777777" w:rsidR="00E640F2" w:rsidRDefault="00E640F2" w:rsidP="00E640F2">
            <w:pPr>
              <w:pStyle w:val="Greenbullet-casestudytables"/>
            </w:pPr>
            <w:r>
              <w:t>estuaries – excludes intermittently closed and open lakes and lagoons (ICOLLS).</w:t>
            </w:r>
          </w:p>
          <w:p w14:paraId="5EBDF890" w14:textId="77777777" w:rsidR="00E640F2" w:rsidRDefault="00E640F2" w:rsidP="00E640F2">
            <w:pPr>
              <w:pStyle w:val="Greentext-casestudytables"/>
              <w:spacing w:before="0"/>
            </w:pPr>
            <w:r>
              <w:t xml:space="preserve">Inclusion of qualifying wetland receiving environments is currently limited by a lack of information regarding trophic state and </w:t>
            </w:r>
            <w:r w:rsidRPr="00B018D5">
              <w:t>corresponding</w:t>
            </w:r>
            <w:r>
              <w:t xml:space="preserve"> nutrient criteria.</w:t>
            </w:r>
          </w:p>
          <w:p w14:paraId="5532944D" w14:textId="4AB18661" w:rsidR="00E640F2" w:rsidRPr="00C15722" w:rsidRDefault="00E640F2" w:rsidP="00E640F2">
            <w:pPr>
              <w:pStyle w:val="Greentext-casestudytables"/>
              <w:spacing w:before="0" w:after="240"/>
            </w:pPr>
            <w:r w:rsidRPr="00490904">
              <w:t xml:space="preserve">Ground water environments (even shallow recharge aquifers) are not considered to be nutrient receiving environments in terms of trophic state. An absence of light means groundwater environments cannot support autotrophic communities. In river-recharged groundwaters, nitrate and ammonium toxicity are likely to be the main nutrient considerations regarding ecosystem health. </w:t>
            </w:r>
            <w:r w:rsidRPr="00653950">
              <w:rPr>
                <w:szCs w:val="20"/>
              </w:rPr>
              <w:t>However, care should be taken that nutrient levels do not become higher than desirable</w:t>
            </w:r>
            <w:r w:rsidRPr="00653950">
              <w:rPr>
                <w:rStyle w:val="CommentReference"/>
                <w:rFonts w:eastAsia="Times New Roman" w:cs="Times New Roman"/>
                <w:color w:val="auto"/>
                <w:szCs w:val="20"/>
                <w:lang w:eastAsia="en-AU"/>
              </w:rPr>
              <w:t xml:space="preserve"> </w:t>
            </w:r>
            <w:r w:rsidRPr="00653950">
              <w:t xml:space="preserve">for the purpose of </w:t>
            </w:r>
            <w:r>
              <w:t>Clause 3.13</w:t>
            </w:r>
            <w:r w:rsidRPr="00653950">
              <w:t xml:space="preserve"> where groundwater re-emerges into surface waterbodies.</w:t>
            </w:r>
            <w:r w:rsidRPr="00C86A8E">
              <w:t xml:space="preserve"> </w:t>
            </w:r>
          </w:p>
        </w:tc>
      </w:tr>
    </w:tbl>
    <w:p w14:paraId="2DF67924" w14:textId="7D37D2EC" w:rsidR="00552375" w:rsidRDefault="00552375" w:rsidP="00E640F2">
      <w:pPr>
        <w:pStyle w:val="BodyText"/>
      </w:pPr>
      <w:r>
        <w:lastRenderedPageBreak/>
        <w:t>However, as groundwater is a potential source of nutrients, care should be taken that concentrations are not exceeded where groundwater re-emerges into waterbodies lower</w:t>
      </w:r>
      <w:r w:rsidR="00EA1E18">
        <w:t> </w:t>
      </w:r>
      <w:r>
        <w:t>in</w:t>
      </w:r>
      <w:r w:rsidR="00E640F2">
        <w:t> </w:t>
      </w:r>
      <w:r>
        <w:t>the</w:t>
      </w:r>
      <w:r w:rsidR="00E640F2">
        <w:t> </w:t>
      </w:r>
      <w:r>
        <w:t>FMU.</w:t>
      </w:r>
    </w:p>
    <w:p w14:paraId="63923471" w14:textId="77777777" w:rsidR="00552375" w:rsidRDefault="00552375" w:rsidP="00E640F2">
      <w:pPr>
        <w:pStyle w:val="BodyText"/>
      </w:pPr>
      <w:r>
        <w:t>Typically, nutrient sensitive downstream environments may arise because of:</w:t>
      </w:r>
    </w:p>
    <w:p w14:paraId="7AF2AF22" w14:textId="7AD80850" w:rsidR="00552375" w:rsidRDefault="00552375" w:rsidP="00E640F2">
      <w:pPr>
        <w:pStyle w:val="Bullet"/>
      </w:pPr>
      <w:r>
        <w:t>supply</w:t>
      </w:r>
      <w:r w:rsidR="00DD47E9">
        <w:t xml:space="preserve"> </w:t>
      </w:r>
      <w:r>
        <w:t>of limiting nutrient (ie, change in nutrient limitation status of the waterbody)</w:t>
      </w:r>
    </w:p>
    <w:p w14:paraId="4B35B49F" w14:textId="77777777" w:rsidR="00552375" w:rsidRDefault="00552375" w:rsidP="00E640F2">
      <w:pPr>
        <w:pStyle w:val="Bullet"/>
      </w:pPr>
      <w:r>
        <w:t>long (or longer) residence times enabling more time for uptake and proliferation of primary producers</w:t>
      </w:r>
    </w:p>
    <w:p w14:paraId="665F089B" w14:textId="77777777" w:rsidR="00552375" w:rsidRDefault="00552375" w:rsidP="00E640F2">
      <w:pPr>
        <w:pStyle w:val="Bullet"/>
      </w:pPr>
      <w:r>
        <w:t>change in habitat suitability (eg, fresh to marine, lotic to lentic, soft- to hard-bottom substrate).</w:t>
      </w:r>
    </w:p>
    <w:p w14:paraId="66DA2222" w14:textId="77777777" w:rsidR="00552375" w:rsidRDefault="00552375" w:rsidP="00E640F2">
      <w:pPr>
        <w:pStyle w:val="BodyText"/>
      </w:pPr>
      <w:r>
        <w:t xml:space="preserve">In addition to lakes and estuaries mentioned as examples in Clause 3.13, other receiving </w:t>
      </w:r>
      <w:r w:rsidRPr="00E640F2">
        <w:t>environments</w:t>
      </w:r>
      <w:r>
        <w:t xml:space="preserve"> that should be considered include:</w:t>
      </w:r>
    </w:p>
    <w:p w14:paraId="595C6DE8" w14:textId="77777777" w:rsidR="00552375" w:rsidRDefault="00552375" w:rsidP="00E640F2">
      <w:pPr>
        <w:pStyle w:val="Bullet"/>
      </w:pPr>
      <w:r>
        <w:t>larger streams or rivers in downstream FMUs (eg, mainstem rivers)</w:t>
      </w:r>
    </w:p>
    <w:p w14:paraId="49F14B47" w14:textId="1306300A" w:rsidR="00552375" w:rsidRPr="00E640F2" w:rsidRDefault="00552375" w:rsidP="00A85F06">
      <w:pPr>
        <w:pStyle w:val="Bullet"/>
        <w:spacing w:after="240"/>
      </w:pPr>
      <w:r>
        <w:t>wetlands (in some instances) – limited to marshes and swamps (see box</w:t>
      </w:r>
      <w:r w:rsidRPr="00044183">
        <w:t xml:space="preserve"> below</w:t>
      </w:r>
      <w:r w:rsidRPr="00BF4422">
        <w:rPr>
          <w:color w:val="595959"/>
        </w:rP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640F2" w14:paraId="32D421C2" w14:textId="77777777" w:rsidTr="00A85F06">
        <w:tc>
          <w:tcPr>
            <w:tcW w:w="0" w:type="auto"/>
            <w:shd w:val="clear" w:color="auto" w:fill="D2DDE2"/>
          </w:tcPr>
          <w:p w14:paraId="3C9A0840" w14:textId="77777777" w:rsidR="00A85F06" w:rsidRPr="00F214A9" w:rsidRDefault="00A85F06" w:rsidP="00A85F06">
            <w:pPr>
              <w:pStyle w:val="Blueboxheading"/>
              <w:keepNext w:val="0"/>
            </w:pPr>
            <w:r w:rsidRPr="00F214A9">
              <w:t>Wetlands and nutrient effects</w:t>
            </w:r>
          </w:p>
          <w:p w14:paraId="7C3B5809" w14:textId="2300BE12" w:rsidR="00A85F06" w:rsidRDefault="00A85F06" w:rsidP="00A85F06">
            <w:pPr>
              <w:pStyle w:val="Blueboxtext"/>
              <w:spacing w:before="80"/>
            </w:pPr>
            <w:r>
              <w:t>Wetlands are distinguished by three main components:</w:t>
            </w:r>
            <w:r w:rsidRPr="00F214A9">
              <w:t xml:space="preserve"> </w:t>
            </w:r>
            <w:r w:rsidRPr="00FD3441">
              <w:t>hydrology, soils, and vegetation. Wetland hydrology effectively determines soil development, the assemblage of plants and animals that inhabit the site, and the type and intensity of biochemical processes (</w:t>
            </w:r>
            <w:r w:rsidRPr="009B4DF7">
              <w:t>US EPA</w:t>
            </w:r>
            <w:r>
              <w:t>,</w:t>
            </w:r>
            <w:r w:rsidRPr="00FD3441">
              <w:t xml:space="preserve"> 2008). The main functional wetland types in New Zealand are bogs, fens, swamps and marshes (</w:t>
            </w:r>
            <w:r>
              <w:t>Johnson and Gerbeaux, 2004</w:t>
            </w:r>
            <w:r w:rsidRPr="00FD3441">
              <w:t xml:space="preserve">). The relationship between wetland type and water source is illustrated </w:t>
            </w:r>
            <w:r>
              <w:t>in the diagram below</w:t>
            </w:r>
            <w:r w:rsidRPr="00FD3441">
              <w:t xml:space="preserve"> (</w:t>
            </w:r>
            <w:r>
              <w:t xml:space="preserve">relabelled figure 2.2 from </w:t>
            </w:r>
            <w:r w:rsidRPr="009B4DF7">
              <w:t>US EPA</w:t>
            </w:r>
            <w:r>
              <w:t>,</w:t>
            </w:r>
            <w:r w:rsidRPr="009B4DF7">
              <w:t xml:space="preserve"> 2008)</w:t>
            </w:r>
            <w:r w:rsidRPr="00FD3441">
              <w:t>. As indicated, only wetlands dominated by surface flows (i</w:t>
            </w:r>
            <w:r>
              <w:t>e,</w:t>
            </w:r>
            <w:r w:rsidRPr="00FD3441">
              <w:t xml:space="preserve"> swamps and marshes) are relevant as FMU receiving</w:t>
            </w:r>
            <w:r>
              <w:t> </w:t>
            </w:r>
            <w:r w:rsidRPr="00FD3441">
              <w:t>environments.</w:t>
            </w:r>
          </w:p>
          <w:p w14:paraId="0BAD5AD7" w14:textId="77777777" w:rsidR="00A85F06" w:rsidRDefault="00A85F06" w:rsidP="00A85F06">
            <w:pPr>
              <w:pStyle w:val="Blueboxtext"/>
              <w:spacing w:before="80"/>
              <w:jc w:val="center"/>
            </w:pPr>
            <w:r w:rsidRPr="00140BE7">
              <w:rPr>
                <w:noProof/>
              </w:rPr>
              <w:drawing>
                <wp:inline distT="0" distB="0" distL="0" distR="0" wp14:anchorId="6734844F" wp14:editId="2BF9D50E">
                  <wp:extent cx="2512612" cy="1789116"/>
                  <wp:effectExtent l="0" t="0" r="2540" b="1905"/>
                  <wp:docPr id="4" name="Picture 4">
                    <a:extLst xmlns:a="http://schemas.openxmlformats.org/drawingml/2006/main">
                      <a:ext uri="{FF2B5EF4-FFF2-40B4-BE49-F238E27FC236}">
                        <a16:creationId xmlns:a16="http://schemas.microsoft.com/office/drawing/2014/main" id="{C725EFCB-53D8-475E-BF00-6B9780467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725EFCB-53D8-475E-BF00-6B9780467078}"/>
                              </a:ext>
                            </a:extLst>
                          </pic:cNvPr>
                          <pic:cNvPicPr>
                            <a:picLocks noChangeAspect="1"/>
                          </pic:cNvPicPr>
                        </pic:nvPicPr>
                        <pic:blipFill rotWithShape="1">
                          <a:blip r:embed="rId40"/>
                          <a:srcRect l="7706" r="2086"/>
                          <a:stretch/>
                        </pic:blipFill>
                        <pic:spPr bwMode="auto">
                          <a:xfrm>
                            <a:off x="0" y="0"/>
                            <a:ext cx="2564896" cy="1826345"/>
                          </a:xfrm>
                          <a:prstGeom prst="rect">
                            <a:avLst/>
                          </a:prstGeom>
                          <a:ln>
                            <a:noFill/>
                          </a:ln>
                          <a:extLst>
                            <a:ext uri="{53640926-AAD7-44D8-BBD7-CCE9431645EC}">
                              <a14:shadowObscured xmlns:a14="http://schemas.microsoft.com/office/drawing/2010/main"/>
                            </a:ext>
                          </a:extLst>
                        </pic:spPr>
                      </pic:pic>
                    </a:graphicData>
                  </a:graphic>
                </wp:inline>
              </w:drawing>
            </w:r>
          </w:p>
          <w:p w14:paraId="1482B077" w14:textId="35FF0D94" w:rsidR="00A85F06" w:rsidRDefault="00A85F06" w:rsidP="00A85F06">
            <w:pPr>
              <w:pStyle w:val="Blueboxtext"/>
            </w:pPr>
            <w:r>
              <w:t xml:space="preserve">Although wetlands are zones </w:t>
            </w:r>
            <w:r w:rsidRPr="00FD3441">
              <w:t xml:space="preserve">of nutrient transformation and removal, excess nutrients are second only to hydrological disturbance as a cause of loss of natural character in wetlands. Despite </w:t>
            </w:r>
            <w:r>
              <w:t>the</w:t>
            </w:r>
            <w:r w:rsidRPr="00FD3441">
              <w:t xml:space="preserve"> progress in recent decades in pollution control in lakes and streams, wetlands are</w:t>
            </w:r>
            <w:r w:rsidR="00F663B3">
              <w:t> </w:t>
            </w:r>
            <w:r w:rsidRPr="00FD3441">
              <w:t>very sensitive to the amount of nutrients they receive, and many New Zealand wetlands continue to suffer excess nutrient inputs (</w:t>
            </w:r>
            <w:r>
              <w:t>Sorrell, 2010</w:t>
            </w:r>
            <w:r w:rsidRPr="00FD3441">
              <w:t>)</w:t>
            </w:r>
            <w:r>
              <w:t xml:space="preserve">. </w:t>
            </w:r>
          </w:p>
          <w:p w14:paraId="6F5BE103" w14:textId="1368DB68" w:rsidR="00E640F2" w:rsidRPr="00345928" w:rsidRDefault="00A85F06" w:rsidP="00A85F06">
            <w:pPr>
              <w:pStyle w:val="Blueboxtext"/>
              <w:spacing w:before="80" w:after="240"/>
            </w:pPr>
            <w:r>
              <w:t xml:space="preserve">Wetlands exhibit </w:t>
            </w:r>
            <w:r w:rsidRPr="00FD3441">
              <w:t>trophic responses to increasing nutrient concentrations at multiple levels. The biotic response to nutrient enrichment generally occurs in a sequential manner as nutrient uptake occurs first, followed by increased biomass production, and then followed by a shift in</w:t>
            </w:r>
            <w:r w:rsidR="00F663B3">
              <w:t> </w:t>
            </w:r>
            <w:r w:rsidRPr="00FD3441">
              <w:t>species composition typically dominated by those adapted to high nutrient environments (</w:t>
            </w:r>
            <w:r w:rsidRPr="009B4DF7">
              <w:t>US EPA</w:t>
            </w:r>
            <w:r>
              <w:t>,</w:t>
            </w:r>
            <w:r w:rsidRPr="009B4DF7">
              <w:t xml:space="preserve"> 2008)</w:t>
            </w:r>
            <w:r w:rsidRPr="00FD3441">
              <w:t>. Nutrient enrichment, therefore, usually causes loss of plant species and the community to change from a diverse multi-species mixture to one that is dominated by a few</w:t>
            </w:r>
            <w:r w:rsidR="00F663B3">
              <w:t> </w:t>
            </w:r>
            <w:r w:rsidRPr="00FD3441">
              <w:t>fast-growing competitors (</w:t>
            </w:r>
            <w:r>
              <w:t>Sorrell, 2010</w:t>
            </w:r>
            <w:r w:rsidRPr="00FD3441">
              <w:t>).</w:t>
            </w:r>
          </w:p>
        </w:tc>
      </w:tr>
    </w:tbl>
    <w:p w14:paraId="0D1383D3" w14:textId="02129A43" w:rsidR="00552375" w:rsidRPr="002968BA" w:rsidRDefault="00552375" w:rsidP="00552375">
      <w:pPr>
        <w:pStyle w:val="BodyText"/>
      </w:pPr>
      <w:r>
        <w:lastRenderedPageBreak/>
        <w:t>Clause 3.13Clause 3.13</w:t>
      </w:r>
      <w:r w:rsidRPr="002968BA">
        <w:t xml:space="preserve"> requires that setting instream nutrient criteria in FMUs must consider, and hence provide for, the trophic outcomes sought for downstream receiving environments</w:t>
      </w:r>
      <w:r>
        <w:t>.</w:t>
      </w:r>
      <w:r w:rsidRPr="002968BA">
        <w:t xml:space="preserve"> </w:t>
      </w:r>
      <w:r>
        <w:t>I</w:t>
      </w:r>
      <w:r w:rsidRPr="002968BA">
        <w:t>t</w:t>
      </w:r>
      <w:r w:rsidR="00F663B3">
        <w:t> </w:t>
      </w:r>
      <w:r w:rsidRPr="002968BA">
        <w:t xml:space="preserve">is therefore implicit that the downstream receiving environments are connected to the flowing waters of the FMU. There is no benefit </w:t>
      </w:r>
      <w:r>
        <w:t xml:space="preserve">in </w:t>
      </w:r>
      <w:r w:rsidRPr="002968BA">
        <w:t>setting instream criteria for an upstream FMU</w:t>
      </w:r>
      <w:r w:rsidR="00F663B3">
        <w:t> </w:t>
      </w:r>
      <w:r w:rsidRPr="002968BA">
        <w:t>if these waters do not directly influence nutrient concentrations/loads in a downstream receiving environment. This is reasonably straightforward for lakes</w:t>
      </w:r>
      <w:r>
        <w:t xml:space="preserve"> and estuaries</w:t>
      </w:r>
      <w:r w:rsidRPr="002968BA">
        <w:t xml:space="preserve">, </w:t>
      </w:r>
      <w:r>
        <w:t>but it is more</w:t>
      </w:r>
      <w:r w:rsidR="003740A2">
        <w:t> </w:t>
      </w:r>
      <w:r w:rsidRPr="002968BA">
        <w:t>complicated for wetlands</w:t>
      </w:r>
      <w:r>
        <w:t>.</w:t>
      </w:r>
      <w:r w:rsidRPr="002968BA">
        <w:t xml:space="preserve"> </w:t>
      </w:r>
      <w:r>
        <w:t>For</w:t>
      </w:r>
      <w:r w:rsidRPr="002968BA">
        <w:t xml:space="preserve"> example, many </w:t>
      </w:r>
      <w:r>
        <w:t>wetland</w:t>
      </w:r>
      <w:r w:rsidRPr="002968BA">
        <w:t xml:space="preserve"> systems may only be connected to streams</w:t>
      </w:r>
      <w:r>
        <w:t xml:space="preserve"> or </w:t>
      </w:r>
      <w:r w:rsidRPr="002968BA">
        <w:t xml:space="preserve">rivers during high flow events. While certain wetlands </w:t>
      </w:r>
      <w:r>
        <w:t>should q</w:t>
      </w:r>
      <w:r w:rsidRPr="002968BA">
        <w:t xml:space="preserve">ualify as downstream receiving environments under </w:t>
      </w:r>
      <w:r>
        <w:t>Clause 3.13</w:t>
      </w:r>
      <w:r w:rsidRPr="002968BA">
        <w:t>, the lack of information regard</w:t>
      </w:r>
      <w:r>
        <w:t>ing nutrient-related</w:t>
      </w:r>
      <w:r w:rsidRPr="002968BA">
        <w:t xml:space="preserve"> </w:t>
      </w:r>
      <w:r>
        <w:t>responses</w:t>
      </w:r>
      <w:r w:rsidRPr="002968BA">
        <w:t xml:space="preserve"> and corresponding nutrient criteria, </w:t>
      </w:r>
      <w:r>
        <w:t>currently</w:t>
      </w:r>
      <w:r w:rsidRPr="002968BA">
        <w:t xml:space="preserve"> limit</w:t>
      </w:r>
      <w:r>
        <w:t>s</w:t>
      </w:r>
      <w:r w:rsidRPr="002968BA">
        <w:t xml:space="preserve"> </w:t>
      </w:r>
      <w:r>
        <w:t>the extent to which t</w:t>
      </w:r>
      <w:r w:rsidRPr="002968BA">
        <w:t xml:space="preserve">hese receiving environments can be considered. </w:t>
      </w:r>
      <w:r>
        <w:t>As such a precautionary approach should be taken. P</w:t>
      </w:r>
      <w:r w:rsidRPr="002968BA">
        <w:t xml:space="preserve">otentially </w:t>
      </w:r>
      <w:r>
        <w:t>useful wetland</w:t>
      </w:r>
      <w:r w:rsidRPr="002968BA">
        <w:t xml:space="preserve"> documents include: </w:t>
      </w:r>
      <w:r w:rsidRPr="00044183">
        <w:rPr>
          <w:i/>
        </w:rPr>
        <w:t>Wetland restoration: a handbook for New Zealand freshwater systems</w:t>
      </w:r>
      <w:r w:rsidRPr="002968BA">
        <w:t xml:space="preserve"> </w:t>
      </w:r>
      <w:r>
        <w:t>(Clarkson and Peters, 2010</w:t>
      </w:r>
      <w:r w:rsidRPr="002968BA">
        <w:t xml:space="preserve">), and </w:t>
      </w:r>
      <w:r w:rsidRPr="00044183">
        <w:rPr>
          <w:i/>
        </w:rPr>
        <w:t>Nutrient Criteria Technical Guidance Manual – Wetlands</w:t>
      </w:r>
      <w:r w:rsidRPr="002968BA">
        <w:t xml:space="preserve"> (</w:t>
      </w:r>
      <w:r w:rsidRPr="000334D4">
        <w:t>US EPA</w:t>
      </w:r>
      <w:r>
        <w:t>,</w:t>
      </w:r>
      <w:r w:rsidRPr="000334D4">
        <w:t xml:space="preserve"> 2008</w:t>
      </w:r>
      <w:r w:rsidRPr="002968BA">
        <w:t>)</w:t>
      </w:r>
      <w:r>
        <w:t>.</w:t>
      </w:r>
      <w:r w:rsidRPr="002968BA">
        <w:t xml:space="preserve"> </w:t>
      </w:r>
    </w:p>
    <w:p w14:paraId="40B4F844" w14:textId="035B9C32" w:rsidR="00552375" w:rsidRDefault="00552375" w:rsidP="00552375">
      <w:pPr>
        <w:pStyle w:val="BodyText"/>
      </w:pPr>
      <w:r>
        <w:t>Groundwater is typically a source of nutrients to FMU surface waters. Rivers and streams can</w:t>
      </w:r>
      <w:r w:rsidR="00F663B3">
        <w:t> </w:t>
      </w:r>
      <w:r>
        <w:t>recharge shallow aquifers, and so groundwater could be considered as a downstream receiving</w:t>
      </w:r>
      <w:r w:rsidR="00F663B3">
        <w:t> </w:t>
      </w:r>
      <w:r>
        <w:t>environment for FMU surface water. However, unlike other surface water receiving environments, the absence of light in ground water environments means that nutrient enrichment from surface waters could not result in plant responses (ie, primary production). Nutrient additions to groundwater may influence heterotrophic communities (ie, nitrification and denitrification), but the main effect is likely to be seen at high concentrations where the nitrate and ammonium toxicity may occur (note that the NPS-FM nitrate and ammonia toxicity attributes only apply to lakes and rivers).</w:t>
      </w:r>
      <w:r w:rsidR="00DD47E9">
        <w:t xml:space="preserve"> </w:t>
      </w:r>
      <w:r>
        <w:t>Accordingly, groundwaters are not considered further</w:t>
      </w:r>
      <w:r w:rsidR="00783628">
        <w:t> </w:t>
      </w:r>
      <w:r>
        <w:t>as receiving environments for implementation of Clause 3.13Clause 3.13. However, as</w:t>
      </w:r>
      <w:r w:rsidR="00783628">
        <w:t> </w:t>
      </w:r>
      <w:r>
        <w:t>groundwater is a potential source of nutrients, care should be taken that concentrations are</w:t>
      </w:r>
      <w:r w:rsidR="00783628">
        <w:t> </w:t>
      </w:r>
      <w:r>
        <w:t>not exceeded where groundwater re-emerges into waterbodies lower in the FMU.</w:t>
      </w:r>
    </w:p>
    <w:p w14:paraId="79A50E88" w14:textId="77777777" w:rsidR="00552375" w:rsidRPr="00C95C1C" w:rsidRDefault="00552375" w:rsidP="00783628">
      <w:pPr>
        <w:pStyle w:val="BodyText"/>
      </w:pPr>
      <w:r w:rsidRPr="00C95C1C">
        <w:t xml:space="preserve">Water bodies that </w:t>
      </w:r>
      <w:r w:rsidRPr="00783628">
        <w:t>should</w:t>
      </w:r>
      <w:r w:rsidRPr="00C95C1C">
        <w:t xml:space="preserve"> not qualify as downstream receiving environments include:</w:t>
      </w:r>
    </w:p>
    <w:p w14:paraId="4C2B82B3" w14:textId="77777777" w:rsidR="00552375" w:rsidRDefault="00552375" w:rsidP="00783628">
      <w:pPr>
        <w:pStyle w:val="Bullet"/>
      </w:pPr>
      <w:r>
        <w:t xml:space="preserve">palustrine wetlands and lakes </w:t>
      </w:r>
      <w:r w:rsidRPr="005E1380">
        <w:t>(</w:t>
      </w:r>
      <w:r>
        <w:t>eg,</w:t>
      </w:r>
      <w:r w:rsidRPr="005E1380">
        <w:t xml:space="preserve"> dune lakes) that are predominately rain water or ground water fed, and not connected to surface water of the upstream F</w:t>
      </w:r>
      <w:r>
        <w:t>M</w:t>
      </w:r>
      <w:r w:rsidRPr="005E1380">
        <w:t>U/s</w:t>
      </w:r>
      <w:r>
        <w:t xml:space="preserve"> </w:t>
      </w:r>
    </w:p>
    <w:p w14:paraId="3C41DA47" w14:textId="77777777" w:rsidR="00552375" w:rsidRDefault="00552375" w:rsidP="00783628">
      <w:pPr>
        <w:pStyle w:val="Bullet"/>
      </w:pPr>
      <w:r>
        <w:t>groundwater (including shallow aquifers recharged by rivers).</w:t>
      </w:r>
    </w:p>
    <w:p w14:paraId="455FBA0C" w14:textId="77777777" w:rsidR="00552375" w:rsidRDefault="00552375" w:rsidP="00783628">
      <w:pPr>
        <w:pStyle w:val="BodyText"/>
      </w:pPr>
      <w:r>
        <w:t xml:space="preserve">Downstream receiving </w:t>
      </w:r>
      <w:r w:rsidRPr="00783628">
        <w:t>environments</w:t>
      </w:r>
      <w:r>
        <w:t xml:space="preserve"> that are considered include the following:</w:t>
      </w:r>
    </w:p>
    <w:p w14:paraId="0471398D" w14:textId="77777777" w:rsidR="00552375" w:rsidRDefault="00552375" w:rsidP="00783628">
      <w:pPr>
        <w:pStyle w:val="Bullet"/>
      </w:pPr>
      <w:r>
        <w:t xml:space="preserve">lakes receiving river or stream inflows </w:t>
      </w:r>
    </w:p>
    <w:p w14:paraId="06B98BE0" w14:textId="77777777" w:rsidR="00552375" w:rsidRDefault="00552375" w:rsidP="00783628">
      <w:pPr>
        <w:pStyle w:val="Bullet"/>
      </w:pPr>
      <w:r>
        <w:t>riverine receiving waters (eg, larger mainstem rivers)</w:t>
      </w:r>
    </w:p>
    <w:p w14:paraId="1737C5F4" w14:textId="77777777" w:rsidR="00552375" w:rsidRDefault="00552375" w:rsidP="00783628">
      <w:pPr>
        <w:pStyle w:val="Bullet"/>
      </w:pPr>
      <w:r>
        <w:t>estuaries (includes the four typologies defined in the Estuarine Trophic Index (ETI) tools)</w:t>
      </w:r>
    </w:p>
    <w:p w14:paraId="51B1D03F" w14:textId="77777777" w:rsidR="00552375" w:rsidRDefault="00552375" w:rsidP="00783628">
      <w:pPr>
        <w:pStyle w:val="Bullet"/>
      </w:pPr>
      <w:r>
        <w:t>riverine wetlands.</w:t>
      </w:r>
    </w:p>
    <w:p w14:paraId="2D8ED9FA" w14:textId="77777777" w:rsidR="00552375" w:rsidRDefault="00552375" w:rsidP="00783628">
      <w:pPr>
        <w:pStyle w:val="BodyText"/>
      </w:pPr>
      <w:r>
        <w:t xml:space="preserve">Nutrient susceptibility and eutrophication of these downstream receiving environments are discussed briefly in the </w:t>
      </w:r>
      <w:r w:rsidRPr="00783628">
        <w:t>next</w:t>
      </w:r>
      <w:r>
        <w:t xml:space="preserve"> section.</w:t>
      </w:r>
    </w:p>
    <w:p w14:paraId="5C4D2489" w14:textId="5BA25356" w:rsidR="00552375" w:rsidRDefault="00552375" w:rsidP="00C33B7A">
      <w:pPr>
        <w:pStyle w:val="Heading3"/>
        <w:spacing w:after="240"/>
      </w:pPr>
      <w:bookmarkStart w:id="45" w:name="_3.2.2__Trophic"/>
      <w:bookmarkStart w:id="46" w:name="_Hlk513047787"/>
      <w:bookmarkStart w:id="47" w:name="_Hlk514424528"/>
      <w:bookmarkEnd w:id="45"/>
      <w:r>
        <w:lastRenderedPageBreak/>
        <w:t xml:space="preserve">3.2.2 </w:t>
      </w:r>
      <w:r w:rsidR="00783628">
        <w:tab/>
      </w:r>
      <w:r>
        <w:t>Trophic</w:t>
      </w:r>
      <w:bookmarkEnd w:id="46"/>
      <w:r>
        <w:t xml:space="preserve"> state measures and corresponding nutrient criteria</w:t>
      </w:r>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659"/>
      </w:tblGrid>
      <w:tr w:rsidR="00767AFB" w:rsidRPr="006B77BB" w14:paraId="692928BC" w14:textId="77777777" w:rsidTr="00767AFB">
        <w:tc>
          <w:tcPr>
            <w:tcW w:w="8505" w:type="dxa"/>
            <w:shd w:val="clear" w:color="auto" w:fill="CFE5E5"/>
          </w:tcPr>
          <w:p w14:paraId="3894FD8F" w14:textId="77777777" w:rsidR="00767AFB" w:rsidRDefault="00767AFB" w:rsidP="00767AFB">
            <w:pPr>
              <w:pStyle w:val="Greenheading-casestudytables"/>
              <w:spacing w:after="120"/>
            </w:pPr>
            <w:r w:rsidRPr="00E90C6B">
              <w:t>Key points</w:t>
            </w:r>
          </w:p>
          <w:p w14:paraId="46D015F7" w14:textId="6E324D64" w:rsidR="00767AFB" w:rsidRDefault="00767AFB" w:rsidP="00767AFB">
            <w:pPr>
              <w:pStyle w:val="Greenbullet-casestudytables"/>
            </w:pPr>
            <w:r>
              <w:t xml:space="preserve">Nutrient criteria </w:t>
            </w:r>
            <w:r w:rsidRPr="00380B84">
              <w:t>that correspond to the trophic state objectives (i</w:t>
            </w:r>
            <w:r>
              <w:t>e,</w:t>
            </w:r>
            <w:r w:rsidRPr="00380B84">
              <w:t xml:space="preserve"> bands) for downstream receiving environments are available for streams</w:t>
            </w:r>
            <w:r>
              <w:t xml:space="preserve"> and </w:t>
            </w:r>
            <w:r w:rsidRPr="00380B84">
              <w:t>rivers (</w:t>
            </w:r>
            <w:r>
              <w:t>s</w:t>
            </w:r>
            <w:r w:rsidRPr="00380B84">
              <w:t xml:space="preserve">tep </w:t>
            </w:r>
            <w:r>
              <w:t>(</w:t>
            </w:r>
            <w:r w:rsidRPr="00380B84">
              <w:t>a</w:t>
            </w:r>
            <w:r>
              <w:t>)</w:t>
            </w:r>
            <w:r w:rsidRPr="00380B84">
              <w:t>), lakes</w:t>
            </w:r>
            <w:r w:rsidR="00182845">
              <w:t> </w:t>
            </w:r>
            <w:r w:rsidRPr="00380B84">
              <w:t>and estuaries, but not wetlands</w:t>
            </w:r>
            <w:r>
              <w:t>.</w:t>
            </w:r>
          </w:p>
          <w:p w14:paraId="751C799E" w14:textId="77777777" w:rsidR="00767AFB" w:rsidRDefault="00767AFB" w:rsidP="00182845">
            <w:pPr>
              <w:pStyle w:val="Greenbullet-casestudytables"/>
            </w:pPr>
            <w:r w:rsidRPr="006C29DB">
              <w:t xml:space="preserve">Nutrient criteria for lakes (NPS-FM) and indicative nitrogen criteria for estuaries </w:t>
            </w:r>
            <w:r w:rsidR="00182845">
              <w:br/>
            </w:r>
            <w:r w:rsidRPr="006C29DB">
              <w:t>(ETI – Tool 1) are summarised below.</w:t>
            </w:r>
            <w:r w:rsidRPr="00DF516A">
              <w:t xml:space="preserve"> </w:t>
            </w:r>
          </w:p>
          <w:p w14:paraId="53F13FCB" w14:textId="36742E9F" w:rsidR="00182845" w:rsidRPr="00C15722" w:rsidRDefault="00182845" w:rsidP="00182845">
            <w:pPr>
              <w:pStyle w:val="Greentext-casestudytables"/>
              <w:spacing w:after="240"/>
            </w:pPr>
            <w:r w:rsidRPr="00DF516A">
              <w:rPr>
                <w:noProof/>
              </w:rPr>
              <w:drawing>
                <wp:inline distT="0" distB="0" distL="0" distR="0" wp14:anchorId="222D69AC" wp14:editId="466D8D2B">
                  <wp:extent cx="5000757" cy="21707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4779"/>
                          <a:stretch/>
                        </pic:blipFill>
                        <pic:spPr bwMode="auto">
                          <a:xfrm>
                            <a:off x="0" y="0"/>
                            <a:ext cx="5005623" cy="21728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5002DE" w14:textId="77777777" w:rsidR="00552375" w:rsidRPr="00C95C1C" w:rsidRDefault="00552375" w:rsidP="00182845">
      <w:pPr>
        <w:pStyle w:val="BodyText"/>
        <w:spacing w:before="240"/>
      </w:pPr>
      <w:r w:rsidRPr="00C95C1C">
        <w:t xml:space="preserve">Under </w:t>
      </w:r>
      <w:r>
        <w:t>subcaluse 3(b)</w:t>
      </w:r>
      <w:r w:rsidRPr="00C95C1C">
        <w:t xml:space="preserve"> of </w:t>
      </w:r>
      <w:r>
        <w:t>Clause 3.13</w:t>
      </w:r>
      <w:r w:rsidRPr="00C95C1C">
        <w:t>, to set nutrient criteria for the downstream receiving environments discussed in the previous section, it is necessary to have information on trophic-state responses (i</w:t>
      </w:r>
      <w:r>
        <w:t>e,</w:t>
      </w:r>
      <w:r w:rsidRPr="00C95C1C">
        <w:t xml:space="preserve"> different states or bands spanning from good to severely impacted) so that regional councils can define what trophic outcomes are sought for these environments. </w:t>
      </w:r>
    </w:p>
    <w:p w14:paraId="648AC36E" w14:textId="77777777" w:rsidR="00552375" w:rsidRPr="00C95C1C" w:rsidRDefault="00552375" w:rsidP="00552375">
      <w:pPr>
        <w:pStyle w:val="BodyText"/>
      </w:pPr>
      <w:r w:rsidRPr="00C95C1C">
        <w:t xml:space="preserve">Step </w:t>
      </w:r>
      <w:r>
        <w:t>(</w:t>
      </w:r>
      <w:r w:rsidRPr="00C95C1C">
        <w:t>a</w:t>
      </w:r>
      <w:r>
        <w:t>)</w:t>
      </w:r>
      <w:r w:rsidRPr="00C95C1C">
        <w:t xml:space="preserve"> of t</w:t>
      </w:r>
      <w:r>
        <w:t>his</w:t>
      </w:r>
      <w:r w:rsidRPr="00C95C1C">
        <w:t xml:space="preserve"> guidance document (Section 3.1)</w:t>
      </w:r>
      <w:r>
        <w:t xml:space="preserve"> deals with d</w:t>
      </w:r>
      <w:r w:rsidRPr="00C95C1C">
        <w:t xml:space="preserve">ownstream riverine receiving environments. </w:t>
      </w:r>
    </w:p>
    <w:p w14:paraId="3A78496C" w14:textId="77777777" w:rsidR="00552375" w:rsidRPr="00C95C1C" w:rsidRDefault="00552375" w:rsidP="00552375">
      <w:pPr>
        <w:pStyle w:val="BodyText"/>
      </w:pPr>
      <w:r w:rsidRPr="00C95C1C">
        <w:t xml:space="preserve">For wetlands, no trophic state definitions (or bands) have been defined, and so there are no nutrient criteria available for regional councils to apply to these receiving environments. </w:t>
      </w:r>
      <w:r>
        <w:t>In the United States, the Environment Protection Agency (US EPA)</w:t>
      </w:r>
      <w:r w:rsidRPr="00C95C1C">
        <w:t xml:space="preserve"> has produced a comprehensive document on how to approach setting nutrient criteria in wetlands</w:t>
      </w:r>
      <w:r>
        <w:t xml:space="preserve"> (US EPA, </w:t>
      </w:r>
      <w:r w:rsidRPr="00C95C1C">
        <w:t>2008</w:t>
      </w:r>
      <w:r>
        <w:t>)</w:t>
      </w:r>
      <w:r w:rsidRPr="00C95C1C">
        <w:t xml:space="preserve">, and this is discussed further in the Wetlands section. </w:t>
      </w:r>
    </w:p>
    <w:p w14:paraId="33A594BE" w14:textId="2FBF309E" w:rsidR="00552375" w:rsidRPr="00C95C1C" w:rsidRDefault="00552375" w:rsidP="00552375">
      <w:pPr>
        <w:pStyle w:val="BodyText"/>
      </w:pPr>
      <w:r w:rsidRPr="00C95C1C">
        <w:t>For lakes, NPS-FM trophic state objectives have been enumerated and expressed as attribut</w:t>
      </w:r>
      <w:r>
        <w:t xml:space="preserve">e states for phytoplankton (chl. </w:t>
      </w:r>
      <w:r w:rsidRPr="0020267F">
        <w:rPr>
          <w:i/>
        </w:rPr>
        <w:t>a</w:t>
      </w:r>
      <w:r w:rsidRPr="00C95C1C">
        <w:t>), total nitrogen (TN) and total phosphorus (TP) concentrations (MfE</w:t>
      </w:r>
      <w:r>
        <w:t>,</w:t>
      </w:r>
      <w:r w:rsidRPr="00C95C1C">
        <w:t xml:space="preserve"> 2018). In addition, these three factors are central to the Trophic Level Index (TLI) for lakes</w:t>
      </w:r>
      <w:r w:rsidR="007C22FA">
        <w:t> </w:t>
      </w:r>
      <w:r w:rsidRPr="00C95C1C">
        <w:t>that provides a single index of change in lake trophic status. Section 3.3 discusses interconversion between in-river concentrations (i</w:t>
      </w:r>
      <w:r>
        <w:t>e</w:t>
      </w:r>
      <w:r w:rsidRPr="00C95C1C">
        <w:t>, inflow concentrations from an FMU) and estimated in-lake concentrations. Because lakes have nitrogen and phosphorus concentration-based criteria, a sensitive lake receiving environment could potentially result in reductions to N</w:t>
      </w:r>
      <w:r w:rsidR="007C22FA">
        <w:t> </w:t>
      </w:r>
      <w:r w:rsidRPr="00C95C1C">
        <w:t>and P instream concentrations set to achieve periphyton objectives in upstream FMUs.</w:t>
      </w:r>
    </w:p>
    <w:p w14:paraId="72481510" w14:textId="1319F3A2" w:rsidR="00552375" w:rsidRPr="00C95C1C" w:rsidRDefault="00552375" w:rsidP="00552375">
      <w:pPr>
        <w:pStyle w:val="BodyText"/>
      </w:pPr>
      <w:r w:rsidRPr="00C95C1C">
        <w:t xml:space="preserve">For estuary receiving environments, an Envirolink Tools project has developed a national Estuarine Trophic Index (ETI) that has defined trophic-state bands (A, B, C and D) that are comparable to NPS-FM band narratives. Using a combination of modelling and real estuary trophic monitoring data, the ETI (Tool 1) has defined potential TN concentrations that correspond to the different estuary trophic states. Potential TN concentrations are average </w:t>
      </w:r>
      <w:r w:rsidRPr="00C95C1C">
        <w:lastRenderedPageBreak/>
        <w:t>concentrations predicted for an estuary. They represent a hypothetical, homogenous concentration resulting from the mixing of riverine and oceanic waters, and they do not account for within-estuary nutrient dynamics (i</w:t>
      </w:r>
      <w:r>
        <w:t>e,</w:t>
      </w:r>
      <w:r w:rsidRPr="00C95C1C">
        <w:t xml:space="preserve"> sinks and/or sources). As such, potential TN</w:t>
      </w:r>
      <w:r w:rsidR="00680DA7">
        <w:t> </w:t>
      </w:r>
      <w:r w:rsidRPr="00C95C1C">
        <w:t>concentrations will be different to measured concentrations, however this does not preclude their use as an initial scoping tool for reconciling estuarine nutrient criteria with instream nutrient concentrations for upstream FMUs. Importantly, the ETI only considers nitrogen because this is generally accepted as being the limiting nutrient in estuaries (Howarth</w:t>
      </w:r>
      <w:r w:rsidR="001252FE">
        <w:t> </w:t>
      </w:r>
      <w:r w:rsidRPr="00C95C1C">
        <w:t>and Marino</w:t>
      </w:r>
      <w:r>
        <w:t>,</w:t>
      </w:r>
      <w:r w:rsidRPr="00C95C1C">
        <w:t xml:space="preserve"> 2006). Consideration of estuarine receiving environment nutrient susceptibility, via</w:t>
      </w:r>
      <w:r w:rsidR="00680DA7">
        <w:t> </w:t>
      </w:r>
      <w:r w:rsidRPr="00C95C1C">
        <w:t>the ETI process outlined in this guidance, will only result in revisions to FMU</w:t>
      </w:r>
      <w:r w:rsidR="00EA1E18">
        <w:t> </w:t>
      </w:r>
      <w:r w:rsidRPr="00C95C1C">
        <w:t>instream criteria set for nitrogen; and not phosphorus. Phosphorus criteria are more likely</w:t>
      </w:r>
      <w:r w:rsidR="00EA1E18">
        <w:t> </w:t>
      </w:r>
      <w:r w:rsidRPr="00C95C1C">
        <w:t>to be more restrictive in river or N limited lake environments rather than estuaries.</w:t>
      </w:r>
      <w:r w:rsidR="00DD47E9">
        <w:t xml:space="preserve"> </w:t>
      </w:r>
    </w:p>
    <w:p w14:paraId="525CF10F" w14:textId="032AC20B" w:rsidR="00552375" w:rsidRPr="00C95C1C" w:rsidRDefault="00552375" w:rsidP="00552375">
      <w:pPr>
        <w:pStyle w:val="BodyText"/>
      </w:pPr>
      <w:r w:rsidRPr="00C95C1C">
        <w:t xml:space="preserve">Available trophic-state bands, and corresponding nutrient criteria, for downstream receiving environments that should be considered under </w:t>
      </w:r>
      <w:r>
        <w:t>Clause 3.13Clause 3.13</w:t>
      </w:r>
      <w:r w:rsidRPr="00C95C1C">
        <w:t xml:space="preserve"> are summarised in </w:t>
      </w:r>
      <w:r w:rsidRPr="00C95C1C">
        <w:fldChar w:fldCharType="begin"/>
      </w:r>
      <w:r w:rsidRPr="00C95C1C">
        <w:instrText xml:space="preserve"> REF _Ref513627909 \h  \* MERGEFORMAT </w:instrText>
      </w:r>
      <w:r w:rsidRPr="00C95C1C">
        <w:fldChar w:fldCharType="separate"/>
      </w:r>
      <w:r w:rsidR="001A7243" w:rsidRPr="00A14ABF">
        <w:t xml:space="preserve">Table </w:t>
      </w:r>
      <w:r w:rsidR="001A7243">
        <w:rPr>
          <w:noProof/>
        </w:rPr>
        <w:t>4</w:t>
      </w:r>
      <w:r w:rsidRPr="00C95C1C">
        <w:fldChar w:fldCharType="end"/>
      </w:r>
      <w:r w:rsidRPr="00C95C1C">
        <w:t>.</w:t>
      </w:r>
    </w:p>
    <w:p w14:paraId="5298BC2B" w14:textId="43F7CFE7" w:rsidR="00552375" w:rsidRDefault="00552375" w:rsidP="00552375">
      <w:pPr>
        <w:pStyle w:val="Tableheading"/>
      </w:pPr>
      <w:bookmarkStart w:id="48" w:name="_Ref513627909"/>
      <w:bookmarkStart w:id="49" w:name="_Toc519683021"/>
      <w:bookmarkStart w:id="50" w:name="_Toc520810476"/>
      <w:bookmarkStart w:id="51" w:name="_Toc520810680"/>
      <w:bookmarkStart w:id="52" w:name="_Toc520898753"/>
      <w:bookmarkStart w:id="53" w:name="_Toc73713300"/>
      <w:r w:rsidRPr="00A14ABF">
        <w:t xml:space="preserve">Table </w:t>
      </w:r>
      <w:fldSimple w:instr=" SEQ Table \* ARABIC ">
        <w:r w:rsidR="001A7243">
          <w:rPr>
            <w:noProof/>
          </w:rPr>
          <w:t>4</w:t>
        </w:r>
      </w:fldSimple>
      <w:bookmarkEnd w:id="48"/>
      <w:r w:rsidRPr="00A14ABF">
        <w:t xml:space="preserve">: </w:t>
      </w:r>
      <w:r>
        <w:tab/>
      </w:r>
      <w:r w:rsidRPr="00A14ABF">
        <w:t>Summary of trophic bands and nutrient criteria for downstream receiving environments</w:t>
      </w:r>
      <w:bookmarkEnd w:id="49"/>
      <w:bookmarkEnd w:id="50"/>
      <w:bookmarkEnd w:id="51"/>
      <w:bookmarkEnd w:id="52"/>
      <w:bookmarkEnd w:id="53"/>
    </w:p>
    <w:tbl>
      <w:tblPr>
        <w:tblStyle w:val="TableGrid"/>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312"/>
        <w:gridCol w:w="2196"/>
        <w:gridCol w:w="2396"/>
        <w:gridCol w:w="2658"/>
      </w:tblGrid>
      <w:tr w:rsidR="00552375" w:rsidRPr="009C5D82" w14:paraId="53BC9044" w14:textId="77777777" w:rsidTr="00680DA7">
        <w:trPr>
          <w:tblHeader/>
        </w:trPr>
        <w:tc>
          <w:tcPr>
            <w:tcW w:w="743" w:type="pct"/>
            <w:shd w:val="clear" w:color="auto" w:fill="1C556C" w:themeFill="accent1"/>
            <w:vAlign w:val="bottom"/>
          </w:tcPr>
          <w:p w14:paraId="487790CB" w14:textId="77777777" w:rsidR="00552375" w:rsidRPr="009C5D82" w:rsidRDefault="00552375" w:rsidP="00552375">
            <w:pPr>
              <w:pStyle w:val="TableTextbold"/>
              <w:rPr>
                <w:color w:val="FFFFFF" w:themeColor="background1"/>
              </w:rPr>
            </w:pPr>
            <w:r w:rsidRPr="009C5D82">
              <w:rPr>
                <w:color w:val="FFFFFF" w:themeColor="background1"/>
              </w:rPr>
              <w:t>Receiving environment</w:t>
            </w:r>
          </w:p>
        </w:tc>
        <w:tc>
          <w:tcPr>
            <w:tcW w:w="1290" w:type="pct"/>
            <w:shd w:val="clear" w:color="auto" w:fill="1C556C" w:themeFill="accent1"/>
            <w:vAlign w:val="bottom"/>
          </w:tcPr>
          <w:p w14:paraId="2DFA870D" w14:textId="77777777" w:rsidR="00552375" w:rsidRPr="009C5D82" w:rsidRDefault="00552375" w:rsidP="00552375">
            <w:pPr>
              <w:pStyle w:val="TableTextbold"/>
              <w:rPr>
                <w:color w:val="FFFFFF" w:themeColor="background1"/>
              </w:rPr>
            </w:pPr>
            <w:r w:rsidRPr="009C5D82">
              <w:rPr>
                <w:color w:val="FFFFFF" w:themeColor="background1"/>
              </w:rPr>
              <w:t>Trophic bands</w:t>
            </w:r>
          </w:p>
        </w:tc>
        <w:tc>
          <w:tcPr>
            <w:tcW w:w="1407" w:type="pct"/>
            <w:shd w:val="clear" w:color="auto" w:fill="1C556C" w:themeFill="accent1"/>
            <w:vAlign w:val="bottom"/>
          </w:tcPr>
          <w:p w14:paraId="7F1BC640" w14:textId="77777777" w:rsidR="00552375" w:rsidRPr="009C5D82" w:rsidRDefault="00552375" w:rsidP="00552375">
            <w:pPr>
              <w:pStyle w:val="TableTextbold"/>
              <w:rPr>
                <w:color w:val="FFFFFF" w:themeColor="background1"/>
              </w:rPr>
            </w:pPr>
            <w:r w:rsidRPr="009C5D82">
              <w:rPr>
                <w:color w:val="FFFFFF" w:themeColor="background1"/>
              </w:rPr>
              <w:t>Nutrient criteria</w:t>
            </w:r>
          </w:p>
        </w:tc>
        <w:tc>
          <w:tcPr>
            <w:tcW w:w="1560" w:type="pct"/>
            <w:shd w:val="clear" w:color="auto" w:fill="1C556C" w:themeFill="accent1"/>
            <w:vAlign w:val="bottom"/>
          </w:tcPr>
          <w:p w14:paraId="67917EDB" w14:textId="77777777" w:rsidR="00552375" w:rsidRPr="009C5D82" w:rsidRDefault="00552375" w:rsidP="00552375">
            <w:pPr>
              <w:pStyle w:val="TableTextbold"/>
              <w:rPr>
                <w:color w:val="FFFFFF" w:themeColor="background1"/>
              </w:rPr>
            </w:pPr>
            <w:r w:rsidRPr="009C5D82">
              <w:rPr>
                <w:color w:val="FFFFFF" w:themeColor="background1"/>
              </w:rPr>
              <w:t xml:space="preserve">Suitable for implementing </w:t>
            </w:r>
            <w:r>
              <w:rPr>
                <w:color w:val="FFFFFF" w:themeColor="background1"/>
              </w:rPr>
              <w:t>Clause 3.13</w:t>
            </w:r>
          </w:p>
        </w:tc>
      </w:tr>
      <w:tr w:rsidR="00552375" w:rsidRPr="006B4810" w14:paraId="43FF85E3" w14:textId="77777777" w:rsidTr="00680DA7">
        <w:tc>
          <w:tcPr>
            <w:tcW w:w="743" w:type="pct"/>
            <w:shd w:val="clear" w:color="auto" w:fill="auto"/>
          </w:tcPr>
          <w:p w14:paraId="03F77273" w14:textId="77777777" w:rsidR="00552375" w:rsidRPr="00FB2E20" w:rsidRDefault="00552375" w:rsidP="00552375">
            <w:pPr>
              <w:pStyle w:val="TableText"/>
            </w:pPr>
            <w:r w:rsidRPr="00FB2E20">
              <w:t>Rivers/streams</w:t>
            </w:r>
          </w:p>
        </w:tc>
        <w:tc>
          <w:tcPr>
            <w:tcW w:w="1290" w:type="pct"/>
            <w:shd w:val="clear" w:color="auto" w:fill="auto"/>
          </w:tcPr>
          <w:p w14:paraId="46EE4EEA" w14:textId="77777777" w:rsidR="00552375" w:rsidRPr="006B4810" w:rsidRDefault="00552375" w:rsidP="00552375">
            <w:pPr>
              <w:pStyle w:val="TableText"/>
            </w:pPr>
            <w:r w:rsidRPr="00865840">
              <w:rPr>
                <w:szCs w:val="18"/>
              </w:rPr>
              <w:t>NPS-FM trophic state attribute bands (A-D) based on chl-</w:t>
            </w:r>
            <w:r w:rsidRPr="0020267F">
              <w:rPr>
                <w:i/>
                <w:szCs w:val="18"/>
              </w:rPr>
              <w:t>a</w:t>
            </w:r>
            <w:r w:rsidRPr="00865840">
              <w:rPr>
                <w:szCs w:val="18"/>
              </w:rPr>
              <w:t xml:space="preserve"> concentrations</w:t>
            </w:r>
            <w:r>
              <w:rPr>
                <w:szCs w:val="18"/>
              </w:rPr>
              <w:t>.</w:t>
            </w:r>
          </w:p>
        </w:tc>
        <w:tc>
          <w:tcPr>
            <w:tcW w:w="1407" w:type="pct"/>
          </w:tcPr>
          <w:p w14:paraId="3F563622" w14:textId="77777777" w:rsidR="00552375" w:rsidRPr="006B4810" w:rsidRDefault="00552375" w:rsidP="00552375">
            <w:pPr>
              <w:pStyle w:val="TableText"/>
            </w:pPr>
            <w:r w:rsidRPr="00865840">
              <w:rPr>
                <w:szCs w:val="18"/>
              </w:rPr>
              <w:t xml:space="preserve">Several existing guideline/ target/trigger values for N and </w:t>
            </w:r>
            <w:r>
              <w:rPr>
                <w:szCs w:val="18"/>
              </w:rPr>
              <w:t>P (refer to section 3.1 of this guidance which deals with step (a)).</w:t>
            </w:r>
          </w:p>
        </w:tc>
        <w:tc>
          <w:tcPr>
            <w:tcW w:w="1560" w:type="pct"/>
          </w:tcPr>
          <w:p w14:paraId="696788FF" w14:textId="77777777" w:rsidR="00552375" w:rsidRPr="006B4810" w:rsidRDefault="00552375" w:rsidP="00552375">
            <w:pPr>
              <w:pStyle w:val="TableText"/>
            </w:pPr>
            <w:r w:rsidRPr="00865840">
              <w:rPr>
                <w:b/>
                <w:szCs w:val="18"/>
              </w:rPr>
              <w:t>Yes</w:t>
            </w:r>
            <w:r w:rsidRPr="00865840">
              <w:rPr>
                <w:szCs w:val="18"/>
              </w:rPr>
              <w:t xml:space="preserve"> </w:t>
            </w:r>
            <w:r>
              <w:rPr>
                <w:szCs w:val="18"/>
              </w:rPr>
              <w:t>–</w:t>
            </w:r>
            <w:r w:rsidRPr="00865840">
              <w:rPr>
                <w:szCs w:val="18"/>
              </w:rPr>
              <w:t xml:space="preserve"> although nutrient criteria should be derived</w:t>
            </w:r>
            <w:r>
              <w:rPr>
                <w:szCs w:val="18"/>
              </w:rPr>
              <w:t xml:space="preserve"> at regional-scale</w:t>
            </w:r>
            <w:r w:rsidRPr="00865840">
              <w:rPr>
                <w:szCs w:val="18"/>
              </w:rPr>
              <w:t xml:space="preserve"> in acc</w:t>
            </w:r>
            <w:r>
              <w:rPr>
                <w:szCs w:val="18"/>
              </w:rPr>
              <w:t>ordance with methods outlined for</w:t>
            </w:r>
            <w:r w:rsidRPr="00865840">
              <w:rPr>
                <w:szCs w:val="18"/>
              </w:rPr>
              <w:t xml:space="preserve"> </w:t>
            </w:r>
            <w:r>
              <w:rPr>
                <w:szCs w:val="18"/>
              </w:rPr>
              <w:t>s</w:t>
            </w:r>
            <w:r w:rsidRPr="00865840">
              <w:rPr>
                <w:szCs w:val="18"/>
              </w:rPr>
              <w:t xml:space="preserve">tep </w:t>
            </w:r>
            <w:r>
              <w:rPr>
                <w:szCs w:val="18"/>
              </w:rPr>
              <w:t>(a)</w:t>
            </w:r>
            <w:r w:rsidDel="0025790D">
              <w:rPr>
                <w:szCs w:val="18"/>
              </w:rPr>
              <w:t>.</w:t>
            </w:r>
          </w:p>
        </w:tc>
      </w:tr>
      <w:tr w:rsidR="00552375" w14:paraId="69C4DE33" w14:textId="77777777" w:rsidTr="00680DA7">
        <w:tc>
          <w:tcPr>
            <w:tcW w:w="743" w:type="pct"/>
            <w:shd w:val="clear" w:color="auto" w:fill="auto"/>
          </w:tcPr>
          <w:p w14:paraId="3CC03AD8" w14:textId="77777777" w:rsidR="00552375" w:rsidRPr="00FB2E20" w:rsidRDefault="00552375" w:rsidP="00552375">
            <w:pPr>
              <w:pStyle w:val="TableText"/>
            </w:pPr>
            <w:r w:rsidRPr="00FB2E20">
              <w:t>Wetlands</w:t>
            </w:r>
          </w:p>
        </w:tc>
        <w:tc>
          <w:tcPr>
            <w:tcW w:w="1290" w:type="pct"/>
            <w:shd w:val="clear" w:color="auto" w:fill="auto"/>
          </w:tcPr>
          <w:p w14:paraId="359E4118" w14:textId="77777777" w:rsidR="00552375" w:rsidRDefault="00552375" w:rsidP="00552375">
            <w:pPr>
              <w:pStyle w:val="TableText"/>
            </w:pPr>
            <w:r w:rsidRPr="00865840">
              <w:rPr>
                <w:szCs w:val="18"/>
              </w:rPr>
              <w:t>Not available</w:t>
            </w:r>
            <w:r>
              <w:rPr>
                <w:szCs w:val="18"/>
              </w:rPr>
              <w:t>.</w:t>
            </w:r>
          </w:p>
        </w:tc>
        <w:tc>
          <w:tcPr>
            <w:tcW w:w="1407" w:type="pct"/>
          </w:tcPr>
          <w:p w14:paraId="1333FA48" w14:textId="77777777" w:rsidR="00552375" w:rsidRDefault="00552375" w:rsidP="00552375">
            <w:pPr>
              <w:pStyle w:val="TableText"/>
              <w:rPr>
                <w:lang w:val="en-US"/>
              </w:rPr>
            </w:pPr>
            <w:r w:rsidRPr="00865840">
              <w:rPr>
                <w:szCs w:val="18"/>
              </w:rPr>
              <w:t>Not available</w:t>
            </w:r>
            <w:r>
              <w:rPr>
                <w:szCs w:val="18"/>
              </w:rPr>
              <w:t>.</w:t>
            </w:r>
          </w:p>
        </w:tc>
        <w:tc>
          <w:tcPr>
            <w:tcW w:w="1560" w:type="pct"/>
          </w:tcPr>
          <w:p w14:paraId="4C155759" w14:textId="36CF682D" w:rsidR="00552375" w:rsidRDefault="00552375" w:rsidP="00552375">
            <w:pPr>
              <w:pStyle w:val="TableText"/>
              <w:rPr>
                <w:lang w:val="en-US"/>
              </w:rPr>
            </w:pPr>
            <w:r w:rsidRPr="00A14ABF">
              <w:rPr>
                <w:b/>
                <w:szCs w:val="18"/>
              </w:rPr>
              <w:t>No</w:t>
            </w:r>
            <w:r>
              <w:rPr>
                <w:szCs w:val="18"/>
              </w:rPr>
              <w:t xml:space="preserve"> – requires trophic-state objectives and corresponding nutrient criteria to be derived.</w:t>
            </w:r>
            <w:r w:rsidR="00DD47E9">
              <w:rPr>
                <w:szCs w:val="18"/>
              </w:rPr>
              <w:t xml:space="preserve"> </w:t>
            </w:r>
            <w:r>
              <w:rPr>
                <w:szCs w:val="18"/>
              </w:rPr>
              <w:t>Precautionary principle is advised.</w:t>
            </w:r>
          </w:p>
        </w:tc>
      </w:tr>
      <w:tr w:rsidR="00552375" w:rsidRPr="00D77228" w14:paraId="671EBF0C" w14:textId="77777777" w:rsidTr="00680DA7">
        <w:tc>
          <w:tcPr>
            <w:tcW w:w="743" w:type="pct"/>
            <w:shd w:val="clear" w:color="auto" w:fill="auto"/>
          </w:tcPr>
          <w:p w14:paraId="408D47CF" w14:textId="77777777" w:rsidR="00552375" w:rsidRPr="00FB2E20" w:rsidRDefault="00552375" w:rsidP="00552375">
            <w:pPr>
              <w:pStyle w:val="TableText"/>
            </w:pPr>
            <w:r w:rsidRPr="00FB2E20">
              <w:t>Lake</w:t>
            </w:r>
          </w:p>
        </w:tc>
        <w:tc>
          <w:tcPr>
            <w:tcW w:w="1290" w:type="pct"/>
            <w:shd w:val="clear" w:color="auto" w:fill="auto"/>
          </w:tcPr>
          <w:p w14:paraId="07089EA7" w14:textId="77777777" w:rsidR="00552375" w:rsidRDefault="00552375" w:rsidP="00552375">
            <w:pPr>
              <w:pStyle w:val="TableText"/>
            </w:pPr>
            <w:r w:rsidRPr="00865840">
              <w:rPr>
                <w:szCs w:val="18"/>
              </w:rPr>
              <w:t>NPS-FM trophic state attribute bands (A-D) based on chl-</w:t>
            </w:r>
            <w:r w:rsidRPr="0020267F">
              <w:rPr>
                <w:i/>
                <w:szCs w:val="18"/>
              </w:rPr>
              <w:t xml:space="preserve">a </w:t>
            </w:r>
            <w:r w:rsidRPr="00865840">
              <w:rPr>
                <w:szCs w:val="18"/>
              </w:rPr>
              <w:t>concentrations</w:t>
            </w:r>
            <w:r>
              <w:rPr>
                <w:szCs w:val="18"/>
              </w:rPr>
              <w:t>.</w:t>
            </w:r>
            <w:r w:rsidRPr="00865840">
              <w:rPr>
                <w:szCs w:val="18"/>
              </w:rPr>
              <w:t xml:space="preserve"> </w:t>
            </w:r>
          </w:p>
        </w:tc>
        <w:tc>
          <w:tcPr>
            <w:tcW w:w="1407" w:type="pct"/>
          </w:tcPr>
          <w:p w14:paraId="70BB26F6" w14:textId="77777777" w:rsidR="00552375" w:rsidRPr="00D77228" w:rsidRDefault="00552375" w:rsidP="00552375">
            <w:pPr>
              <w:pStyle w:val="TableText"/>
            </w:pPr>
            <w:r w:rsidRPr="00865840">
              <w:rPr>
                <w:szCs w:val="18"/>
              </w:rPr>
              <w:t>NPS-FM trophic state bands (A-D) for both TN and TP concentrations</w:t>
            </w:r>
            <w:r>
              <w:rPr>
                <w:szCs w:val="18"/>
              </w:rPr>
              <w:t>.</w:t>
            </w:r>
          </w:p>
        </w:tc>
        <w:tc>
          <w:tcPr>
            <w:tcW w:w="1560" w:type="pct"/>
          </w:tcPr>
          <w:p w14:paraId="56D29158" w14:textId="164C9230" w:rsidR="00552375" w:rsidRPr="00D77228" w:rsidRDefault="00552375" w:rsidP="00552375">
            <w:pPr>
              <w:pStyle w:val="TableText"/>
            </w:pPr>
            <w:r w:rsidRPr="00865840">
              <w:rPr>
                <w:b/>
                <w:szCs w:val="18"/>
              </w:rPr>
              <w:t>Yes</w:t>
            </w:r>
            <w:r w:rsidR="00DD47E9">
              <w:rPr>
                <w:b/>
                <w:szCs w:val="18"/>
              </w:rPr>
              <w:t xml:space="preserve"> </w:t>
            </w:r>
          </w:p>
        </w:tc>
      </w:tr>
      <w:tr w:rsidR="00552375" w14:paraId="4EADF659" w14:textId="77777777" w:rsidTr="00680DA7">
        <w:tc>
          <w:tcPr>
            <w:tcW w:w="743" w:type="pct"/>
            <w:shd w:val="clear" w:color="auto" w:fill="auto"/>
          </w:tcPr>
          <w:p w14:paraId="219426A6" w14:textId="77777777" w:rsidR="00552375" w:rsidRPr="00FB2E20" w:rsidRDefault="00552375" w:rsidP="00552375">
            <w:pPr>
              <w:pStyle w:val="TableText"/>
            </w:pPr>
            <w:r w:rsidRPr="00FB2E20">
              <w:t>Estuary</w:t>
            </w:r>
          </w:p>
        </w:tc>
        <w:tc>
          <w:tcPr>
            <w:tcW w:w="1290" w:type="pct"/>
            <w:shd w:val="clear" w:color="auto" w:fill="auto"/>
          </w:tcPr>
          <w:p w14:paraId="4B9B6860" w14:textId="77777777" w:rsidR="00552375" w:rsidRDefault="00552375" w:rsidP="00552375">
            <w:pPr>
              <w:pStyle w:val="TableText"/>
            </w:pPr>
            <w:r w:rsidRPr="00865840">
              <w:rPr>
                <w:szCs w:val="18"/>
              </w:rPr>
              <w:t xml:space="preserve">ETI trophic states defined for estuaries susceptible </w:t>
            </w:r>
            <w:r>
              <w:rPr>
                <w:szCs w:val="18"/>
              </w:rPr>
              <w:t xml:space="preserve">to </w:t>
            </w:r>
            <w:r w:rsidRPr="00865840">
              <w:rPr>
                <w:szCs w:val="18"/>
              </w:rPr>
              <w:t xml:space="preserve">macroalgal and phytoplankton </w:t>
            </w:r>
            <w:r>
              <w:rPr>
                <w:szCs w:val="18"/>
              </w:rPr>
              <w:t>blooms.</w:t>
            </w:r>
          </w:p>
        </w:tc>
        <w:tc>
          <w:tcPr>
            <w:tcW w:w="1407" w:type="pct"/>
          </w:tcPr>
          <w:p w14:paraId="23FFFBF3" w14:textId="77777777" w:rsidR="00552375" w:rsidRDefault="00552375" w:rsidP="00552375">
            <w:pPr>
              <w:pStyle w:val="TableText"/>
            </w:pPr>
            <w:r w:rsidRPr="00865840">
              <w:rPr>
                <w:szCs w:val="18"/>
              </w:rPr>
              <w:t>Indicative criteria corresponding to trophic</w:t>
            </w:r>
            <w:r>
              <w:rPr>
                <w:szCs w:val="18"/>
              </w:rPr>
              <w:t>-state susceptibility</w:t>
            </w:r>
            <w:r w:rsidRPr="00865840">
              <w:rPr>
                <w:szCs w:val="18"/>
              </w:rPr>
              <w:t xml:space="preserve"> bands have been developed for nitrogen (expressed as </w:t>
            </w:r>
            <w:r w:rsidRPr="00146332">
              <w:rPr>
                <w:i/>
                <w:szCs w:val="18"/>
              </w:rPr>
              <w:t>potential</w:t>
            </w:r>
            <w:r w:rsidRPr="00865840">
              <w:rPr>
                <w:szCs w:val="18"/>
              </w:rPr>
              <w:t xml:space="preserve"> TN concentrations). </w:t>
            </w:r>
          </w:p>
        </w:tc>
        <w:tc>
          <w:tcPr>
            <w:tcW w:w="1560" w:type="pct"/>
          </w:tcPr>
          <w:p w14:paraId="2E716149" w14:textId="3E22DC95" w:rsidR="00552375" w:rsidRDefault="00552375" w:rsidP="00552375">
            <w:pPr>
              <w:pStyle w:val="TableText"/>
            </w:pPr>
            <w:r w:rsidRPr="00865840">
              <w:rPr>
                <w:b/>
                <w:szCs w:val="18"/>
              </w:rPr>
              <w:t xml:space="preserve">Yes </w:t>
            </w:r>
            <w:r w:rsidRPr="00865840">
              <w:rPr>
                <w:szCs w:val="18"/>
              </w:rPr>
              <w:t xml:space="preserve">– although the suitability of indicative </w:t>
            </w:r>
            <w:r>
              <w:rPr>
                <w:szCs w:val="18"/>
              </w:rPr>
              <w:t>nitrogen</w:t>
            </w:r>
            <w:r w:rsidRPr="00865840">
              <w:rPr>
                <w:szCs w:val="18"/>
              </w:rPr>
              <w:t xml:space="preserve"> criteria </w:t>
            </w:r>
            <w:r>
              <w:rPr>
                <w:szCs w:val="18"/>
              </w:rPr>
              <w:t xml:space="preserve">at </w:t>
            </w:r>
            <w:r w:rsidRPr="00865840">
              <w:rPr>
                <w:szCs w:val="18"/>
              </w:rPr>
              <w:t>region</w:t>
            </w:r>
            <w:r>
              <w:rPr>
                <w:szCs w:val="18"/>
              </w:rPr>
              <w:t>al</w:t>
            </w:r>
            <w:r w:rsidRPr="00865840">
              <w:rPr>
                <w:szCs w:val="18"/>
              </w:rPr>
              <w:t>/estuar</w:t>
            </w:r>
            <w:r>
              <w:rPr>
                <w:szCs w:val="18"/>
              </w:rPr>
              <w:t>y-scale</w:t>
            </w:r>
            <w:r w:rsidRPr="00865840">
              <w:rPr>
                <w:szCs w:val="18"/>
              </w:rPr>
              <w:t xml:space="preserve"> should be evaluated and</w:t>
            </w:r>
            <w:r>
              <w:rPr>
                <w:szCs w:val="18"/>
              </w:rPr>
              <w:t>,</w:t>
            </w:r>
            <w:r w:rsidRPr="00865840">
              <w:rPr>
                <w:szCs w:val="18"/>
              </w:rPr>
              <w:t xml:space="preserve"> where necessary</w:t>
            </w:r>
            <w:r>
              <w:rPr>
                <w:szCs w:val="18"/>
              </w:rPr>
              <w:t>, implemented.</w:t>
            </w:r>
            <w:r w:rsidR="00DD47E9">
              <w:rPr>
                <w:szCs w:val="18"/>
              </w:rPr>
              <w:t xml:space="preserve"> </w:t>
            </w:r>
          </w:p>
        </w:tc>
      </w:tr>
    </w:tbl>
    <w:p w14:paraId="02D0A374" w14:textId="77777777" w:rsidR="00552375" w:rsidRPr="007A5029" w:rsidRDefault="00552375" w:rsidP="00C33B7A">
      <w:pPr>
        <w:pStyle w:val="Heading4"/>
        <w:spacing w:before="360"/>
      </w:pPr>
      <w:r w:rsidRPr="007A5029">
        <w:t>Rivers and streams</w:t>
      </w:r>
    </w:p>
    <w:p w14:paraId="191B5AEE" w14:textId="38CF1ED5" w:rsidR="00552375" w:rsidRDefault="00552375" w:rsidP="00552375">
      <w:pPr>
        <w:pStyle w:val="BodyText"/>
      </w:pPr>
      <w:r>
        <w:t>Downstream riverine receiving environments need to be considered whether these are within the same FMU or in an adjacent (downstream) FMU. In either case, their consideration in setting instream criteria for FMUs is the same, and the process for this is covered in step (a) (</w:t>
      </w:r>
      <w:r w:rsidR="00126EC1">
        <w:t>s</w:t>
      </w:r>
      <w:r>
        <w:t>ection 3.1).</w:t>
      </w:r>
    </w:p>
    <w:p w14:paraId="497C225F" w14:textId="7B94521E" w:rsidR="00552375" w:rsidRDefault="00552375" w:rsidP="00984D09">
      <w:pPr>
        <w:pStyle w:val="Heading4"/>
      </w:pPr>
      <w:r>
        <w:lastRenderedPageBreak/>
        <w:t>Wetlands</w:t>
      </w:r>
    </w:p>
    <w:tbl>
      <w:tblPr>
        <w:tblStyle w:val="TableGrid"/>
        <w:tblpPr w:leftFromText="181" w:rightFromText="181" w:vertAnchor="text" w:horzAnchor="page" w:tblpX="6391" w:tblpY="6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50"/>
      </w:tblGrid>
      <w:tr w:rsidR="00AC40C1" w14:paraId="61F1EED3" w14:textId="77777777" w:rsidTr="0006423C">
        <w:tc>
          <w:tcPr>
            <w:tcW w:w="3650" w:type="dxa"/>
          </w:tcPr>
          <w:p w14:paraId="1CAE3347" w14:textId="3E38801E" w:rsidR="00AC40C1" w:rsidRDefault="00AC40C1" w:rsidP="00EE622E">
            <w:pPr>
              <w:pStyle w:val="Figureheading"/>
              <w:spacing w:before="0"/>
              <w:ind w:left="0" w:firstLine="0"/>
            </w:pPr>
            <w:bookmarkStart w:id="54" w:name="_Toc73711477"/>
            <w:r w:rsidRPr="00624C0B">
              <w:t xml:space="preserve">Figure </w:t>
            </w:r>
            <w:fldSimple w:instr=" SEQ Figure \* ARABIC ">
              <w:r w:rsidR="001A7243">
                <w:rPr>
                  <w:noProof/>
                </w:rPr>
                <w:t>4</w:t>
              </w:r>
            </w:fldSimple>
            <w:r w:rsidRPr="00624C0B">
              <w:t xml:space="preserve">: </w:t>
            </w:r>
            <w:r>
              <w:tab/>
            </w:r>
            <w:r w:rsidRPr="00624C0B">
              <w:t>Flowchart</w:t>
            </w:r>
            <w:r w:rsidRPr="00575381">
              <w:t xml:space="preserve"> identifying the recommended process to deve</w:t>
            </w:r>
            <w:r>
              <w:t>lop wetland nutrient criteria</w:t>
            </w:r>
            <w:r w:rsidRPr="00575381">
              <w:t>.</w:t>
            </w:r>
            <w:bookmarkEnd w:id="54"/>
          </w:p>
        </w:tc>
      </w:tr>
      <w:tr w:rsidR="00AC40C1" w14:paraId="2F196BE3" w14:textId="77777777" w:rsidTr="0006423C">
        <w:tc>
          <w:tcPr>
            <w:tcW w:w="3650" w:type="dxa"/>
          </w:tcPr>
          <w:p w14:paraId="03C006EC" w14:textId="77777777" w:rsidR="00EE622E" w:rsidRDefault="00AC40C1" w:rsidP="00EE622E">
            <w:pPr>
              <w:pStyle w:val="BodyText"/>
              <w:keepNext/>
              <w:spacing w:after="240"/>
              <w:jc w:val="center"/>
            </w:pPr>
            <w:r>
              <w:rPr>
                <w:noProof/>
              </w:rPr>
              <w:drawing>
                <wp:inline distT="0" distB="0" distL="0" distR="0" wp14:anchorId="7D4CB7C1" wp14:editId="03327495">
                  <wp:extent cx="1798320" cy="4956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8320" cy="4956175"/>
                          </a:xfrm>
                          <a:prstGeom prst="rect">
                            <a:avLst/>
                          </a:prstGeom>
                          <a:noFill/>
                        </pic:spPr>
                      </pic:pic>
                    </a:graphicData>
                  </a:graphic>
                </wp:inline>
              </w:drawing>
            </w:r>
          </w:p>
          <w:p w14:paraId="19641229" w14:textId="3821EB75" w:rsidR="00AC40C1" w:rsidRDefault="00EE622E" w:rsidP="00EE622E">
            <w:pPr>
              <w:pStyle w:val="Caption"/>
              <w:jc w:val="center"/>
            </w:pPr>
            <w:r>
              <w:t xml:space="preserve">Source </w:t>
            </w:r>
            <w:fldSimple w:instr=" SEQ Source \* ARABIC ">
              <w:r w:rsidR="001A7243">
                <w:rPr>
                  <w:noProof/>
                </w:rPr>
                <w:t>1</w:t>
              </w:r>
            </w:fldSimple>
            <w:r>
              <w:t xml:space="preserve"> figure 1 in US EPA, 2008</w:t>
            </w:r>
          </w:p>
        </w:tc>
      </w:tr>
    </w:tbl>
    <w:p w14:paraId="3A3F730D" w14:textId="77777777" w:rsidR="00552375" w:rsidRPr="008071AF" w:rsidRDefault="00552375" w:rsidP="00552375">
      <w:pPr>
        <w:pStyle w:val="Heading5"/>
      </w:pPr>
      <w:r w:rsidRPr="008071AF">
        <w:t>General</w:t>
      </w:r>
    </w:p>
    <w:p w14:paraId="2F2D79B6" w14:textId="07F6296D" w:rsidR="00552375" w:rsidRDefault="00552375" w:rsidP="00552375">
      <w:pPr>
        <w:pStyle w:val="BodyText"/>
      </w:pPr>
      <w:r>
        <w:t>Destruction of wetlands as a result of land development is the</w:t>
      </w:r>
      <w:r w:rsidR="00DC5A22">
        <w:t xml:space="preserve"> </w:t>
      </w:r>
      <w:r>
        <w:t>principal cause of wetland loss in</w:t>
      </w:r>
      <w:r w:rsidR="00DC5A22">
        <w:t> </w:t>
      </w:r>
      <w:r>
        <w:t>New Zealand. However, for remaining wetlands, nutrient enrichment and sediment inputs are the major drivers of change in natural character (</w:t>
      </w:r>
      <w:r w:rsidRPr="0068682D">
        <w:t>Sorrell</w:t>
      </w:r>
      <w:r>
        <w:t>,</w:t>
      </w:r>
      <w:r w:rsidRPr="0068682D">
        <w:t xml:space="preserve"> </w:t>
      </w:r>
      <w:r>
        <w:t xml:space="preserve">2010). The US EPA produced a substantial document that provides guidance on setting nutrient criteria for wetlands (US EPA, 2008). The document does not provide nutrient criteria, but it is a useful resource for regional councils to develop criteria for wetlands that qualify as downstream receiving environments under Clause 3.13. </w:t>
      </w:r>
    </w:p>
    <w:p w14:paraId="7EA31999" w14:textId="01CECBF9" w:rsidR="00552375" w:rsidRDefault="00552375" w:rsidP="00552375">
      <w:pPr>
        <w:pStyle w:val="BodyText"/>
      </w:pPr>
      <w:r w:rsidRPr="00F65841">
        <w:t>The guidance outlines several methods that can be used to develop numeric nutrient criteria for wetlands. The general steps for undertaking this proc</w:t>
      </w:r>
      <w:r>
        <w:t xml:space="preserve">ess are illustrated in </w:t>
      </w:r>
      <w:r>
        <w:fldChar w:fldCharType="begin"/>
      </w:r>
      <w:r>
        <w:instrText xml:space="preserve"> REF _Ref519611005 \h  \* MERGEFORMAT </w:instrText>
      </w:r>
      <w:r>
        <w:fldChar w:fldCharType="separate"/>
      </w:r>
      <w:r w:rsidR="001A7243">
        <w:rPr>
          <w:b/>
          <w:bCs/>
          <w:lang w:val="en-US"/>
        </w:rPr>
        <w:t>Error! Reference source not found.</w:t>
      </w:r>
      <w:r>
        <w:fldChar w:fldCharType="end"/>
      </w:r>
      <w:r>
        <w:t>.</w:t>
      </w:r>
      <w:r w:rsidRPr="00F65841">
        <w:t xml:space="preserve"> </w:t>
      </w:r>
      <w:r>
        <w:t>One method for deriving criteria is using reference (or estimated reference) condition.</w:t>
      </w:r>
    </w:p>
    <w:p w14:paraId="521A04A8" w14:textId="573DE36B" w:rsidR="00552375" w:rsidRDefault="00552375" w:rsidP="00552375">
      <w:pPr>
        <w:pStyle w:val="Heading5"/>
      </w:pPr>
      <w:r w:rsidRPr="00EC1518">
        <w:t xml:space="preserve">Using </w:t>
      </w:r>
      <w:r>
        <w:t>r</w:t>
      </w:r>
      <w:r w:rsidRPr="00EC1518">
        <w:t xml:space="preserve">eference </w:t>
      </w:r>
      <w:r>
        <w:t>c</w:t>
      </w:r>
      <w:r w:rsidRPr="00EC1518">
        <w:t xml:space="preserve">ondition to </w:t>
      </w:r>
      <w:r>
        <w:t>e</w:t>
      </w:r>
      <w:r w:rsidRPr="00EC1518">
        <w:t xml:space="preserve">stablish </w:t>
      </w:r>
      <w:r>
        <w:t>nutrient</w:t>
      </w:r>
      <w:r w:rsidR="00DC5A22">
        <w:t> </w:t>
      </w:r>
      <w:r>
        <w:t>c</w:t>
      </w:r>
      <w:r w:rsidRPr="00EC1518">
        <w:t>riteria</w:t>
      </w:r>
    </w:p>
    <w:p w14:paraId="4B318775" w14:textId="068CE631" w:rsidR="00552375" w:rsidRDefault="00552375" w:rsidP="00552375">
      <w:pPr>
        <w:pStyle w:val="BodyText"/>
      </w:pPr>
      <w:r>
        <w:t xml:space="preserve">This approach by the US EPA (2008) involves using </w:t>
      </w:r>
      <w:r w:rsidRPr="00EC1518">
        <w:t>relatively undisturbed reference wetlands as examples for</w:t>
      </w:r>
      <w:r>
        <w:t xml:space="preserve"> the natural or minimally disturbed </w:t>
      </w:r>
      <w:r w:rsidRPr="00EC1518">
        <w:t>ecological conditions of a region. The</w:t>
      </w:r>
      <w:r w:rsidR="0006423C">
        <w:t> </w:t>
      </w:r>
      <w:r w:rsidRPr="00EC1518">
        <w:t xml:space="preserve">approach </w:t>
      </w:r>
      <w:r>
        <w:t>is</w:t>
      </w:r>
      <w:r w:rsidRPr="00EC1518">
        <w:t xml:space="preserve"> useful for estimating </w:t>
      </w:r>
      <w:r>
        <w:t>A band</w:t>
      </w:r>
      <w:r w:rsidRPr="00EC1518">
        <w:t xml:space="preserve"> conditions</w:t>
      </w:r>
      <w:r>
        <w:t xml:space="preserve"> </w:t>
      </w:r>
      <w:r w:rsidRPr="00EC1518">
        <w:t>for wetlands</w:t>
      </w:r>
      <w:r>
        <w:t>. Approaches to this include:</w:t>
      </w:r>
    </w:p>
    <w:p w14:paraId="462678F5" w14:textId="77777777" w:rsidR="00552375" w:rsidRPr="00C95C1C" w:rsidRDefault="00552375" w:rsidP="00DC5A22">
      <w:pPr>
        <w:pStyle w:val="Bullet"/>
      </w:pPr>
      <w:r>
        <w:t>c</w:t>
      </w:r>
      <w:r w:rsidRPr="00C95C1C">
        <w:t>haracterizing reference systems for each class within a region using best professional judgment and use these reference conditions to define criteria</w:t>
      </w:r>
    </w:p>
    <w:p w14:paraId="4CFB2698" w14:textId="2973555E" w:rsidR="00552375" w:rsidRPr="00C95C1C" w:rsidRDefault="00552375" w:rsidP="00DC5A22">
      <w:pPr>
        <w:pStyle w:val="Bullet"/>
      </w:pPr>
      <w:r>
        <w:t>i</w:t>
      </w:r>
      <w:r w:rsidRPr="00C95C1C">
        <w:t>dentifying the 75th to 95th percentile of the frequency distribution for a class of reference wetlands (</w:t>
      </w:r>
      <w:r w:rsidRPr="00C95C1C">
        <w:fldChar w:fldCharType="begin"/>
      </w:r>
      <w:r w:rsidRPr="00C95C1C">
        <w:instrText xml:space="preserve"> REF _Ref519679483 \h  \* MERGEFORMAT </w:instrText>
      </w:r>
      <w:r w:rsidRPr="00C95C1C">
        <w:fldChar w:fldCharType="separate"/>
      </w:r>
      <w:r w:rsidR="001A7243" w:rsidRPr="00A04B78">
        <w:t xml:space="preserve">Figure </w:t>
      </w:r>
      <w:r w:rsidR="001A7243">
        <w:rPr>
          <w:noProof/>
        </w:rPr>
        <w:t>5</w:t>
      </w:r>
      <w:r w:rsidRPr="00C95C1C">
        <w:fldChar w:fldCharType="end"/>
      </w:r>
      <w:r w:rsidRPr="00C95C1C">
        <w:t>)</w:t>
      </w:r>
    </w:p>
    <w:p w14:paraId="5A047C05" w14:textId="042F9C05" w:rsidR="00552375" w:rsidRDefault="00552375" w:rsidP="00DC5A22">
      <w:pPr>
        <w:pStyle w:val="Bullet"/>
      </w:pPr>
      <w:r>
        <w:t>c</w:t>
      </w:r>
      <w:r w:rsidRPr="00C95C1C">
        <w:t>alculating a 5th to 25th percentile of the frequency distribution of the general population of a class of wetlands (</w:t>
      </w:r>
      <w:r w:rsidRPr="00C95C1C">
        <w:fldChar w:fldCharType="begin"/>
      </w:r>
      <w:r w:rsidRPr="00C95C1C">
        <w:instrText xml:space="preserve"> REF _Ref519679483 \h  \* MERGEFORMAT </w:instrText>
      </w:r>
      <w:r w:rsidRPr="00C95C1C">
        <w:fldChar w:fldCharType="separate"/>
      </w:r>
      <w:r w:rsidR="001A7243" w:rsidRPr="00A04B78">
        <w:t xml:space="preserve">Figure </w:t>
      </w:r>
      <w:r w:rsidR="001A7243">
        <w:rPr>
          <w:noProof/>
        </w:rPr>
        <w:t>5</w:t>
      </w:r>
      <w:r w:rsidRPr="00C95C1C">
        <w:fldChar w:fldCharType="end"/>
      </w:r>
      <w:r w:rsidRPr="00C95C1C">
        <w:t>).</w:t>
      </w:r>
    </w:p>
    <w:p w14:paraId="7916ADBF" w14:textId="77777777" w:rsidR="00552375" w:rsidRDefault="00552375" w:rsidP="00DC5A22">
      <w:pPr>
        <w:pStyle w:val="BodyText"/>
      </w:pPr>
      <w:r w:rsidRPr="00C95C1C">
        <w:t xml:space="preserve">Limitations of this approach include a general lack of nutrient monitoring data for wetlands to undertake </w:t>
      </w:r>
      <w:r w:rsidRPr="00DC5A22">
        <w:t>percentile</w:t>
      </w:r>
      <w:r w:rsidRPr="00C95C1C">
        <w:t xml:space="preserve"> analyses, and that it is not effects-based. While no existing national guidance on indicative nutrient criteria currently exist</w:t>
      </w:r>
      <w:r>
        <w:t>s</w:t>
      </w:r>
      <w:r w:rsidRPr="00C95C1C">
        <w:t xml:space="preserve"> for managing the trophic state of wetlands</w:t>
      </w:r>
      <w:r>
        <w:t>,</w:t>
      </w:r>
      <w:r w:rsidRPr="00C95C1C">
        <w:t xml:space="preserve"> </w:t>
      </w:r>
      <w:r>
        <w:t xml:space="preserve">a </w:t>
      </w:r>
      <w:r w:rsidRPr="00C95C1C">
        <w:t xml:space="preserve">precautionary approach </w:t>
      </w:r>
      <w:r>
        <w:t>should be taken</w:t>
      </w:r>
      <w:r w:rsidRPr="00C95C1C">
        <w:t xml:space="preserve">. </w:t>
      </w:r>
    </w:p>
    <w:p w14:paraId="06F65220" w14:textId="1459EC19" w:rsidR="00552375" w:rsidRPr="00A04B78" w:rsidRDefault="00552375" w:rsidP="000155FC">
      <w:pPr>
        <w:pStyle w:val="Figureheading"/>
        <w:keepLines/>
      </w:pPr>
      <w:bookmarkStart w:id="55" w:name="_Ref519679483"/>
      <w:bookmarkStart w:id="56" w:name="_Toc515438501"/>
      <w:bookmarkStart w:id="57" w:name="_Toc519682841"/>
      <w:bookmarkStart w:id="58" w:name="_Toc521487712"/>
      <w:bookmarkStart w:id="59" w:name="_Toc73711478"/>
      <w:r w:rsidRPr="00A04B78">
        <w:lastRenderedPageBreak/>
        <w:t xml:space="preserve">Figure </w:t>
      </w:r>
      <w:fldSimple w:instr=" SEQ Figure \* ARABIC ">
        <w:r w:rsidR="001A7243">
          <w:rPr>
            <w:noProof/>
          </w:rPr>
          <w:t>5</w:t>
        </w:r>
      </w:fldSimple>
      <w:bookmarkEnd w:id="55"/>
      <w:r w:rsidRPr="00A04B78">
        <w:t xml:space="preserve">: </w:t>
      </w:r>
      <w:r>
        <w:tab/>
      </w:r>
      <w:r w:rsidRPr="00A04B78">
        <w:t>Illustration of the two approaches to inform nutrient criteria using a high percentile (</w:t>
      </w:r>
      <w:r>
        <w:t>eg</w:t>
      </w:r>
      <w:r w:rsidRPr="00A04B78">
        <w:t>,</w:t>
      </w:r>
      <w:r w:rsidR="00EC6FA3">
        <w:t> </w:t>
      </w:r>
      <w:r w:rsidRPr="00A04B78">
        <w:t xml:space="preserve">75th </w:t>
      </w:r>
      <w:r>
        <w:t>percentile</w:t>
      </w:r>
      <w:r w:rsidRPr="00A04B78">
        <w:t>) from a ‘reference site’ population (blue line), or a low percentile (e</w:t>
      </w:r>
      <w:r>
        <w:t>g</w:t>
      </w:r>
      <w:r w:rsidRPr="00A04B78">
        <w:t xml:space="preserve">, 25th </w:t>
      </w:r>
      <w:r>
        <w:t>percentile</w:t>
      </w:r>
      <w:r w:rsidRPr="00A04B78">
        <w:t xml:space="preserve">) from a general population </w:t>
      </w:r>
      <w:bookmarkEnd w:id="56"/>
      <w:bookmarkEnd w:id="57"/>
      <w:bookmarkEnd w:id="58"/>
      <w:bookmarkEnd w:id="59"/>
    </w:p>
    <w:p w14:paraId="4B534515" w14:textId="77777777" w:rsidR="00732BA1" w:rsidRDefault="00552375" w:rsidP="00EE622E">
      <w:pPr>
        <w:pStyle w:val="BodyText"/>
        <w:keepNext/>
        <w:jc w:val="center"/>
      </w:pPr>
      <w:r>
        <w:rPr>
          <w:noProof/>
        </w:rPr>
        <w:drawing>
          <wp:inline distT="0" distB="0" distL="0" distR="0" wp14:anchorId="74794CAA" wp14:editId="2C3E96CB">
            <wp:extent cx="2735248" cy="2865568"/>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384" t="24561" r="50109" b="35379"/>
                    <a:stretch/>
                  </pic:blipFill>
                  <pic:spPr bwMode="auto">
                    <a:xfrm>
                      <a:off x="0" y="0"/>
                      <a:ext cx="2757719" cy="2889110"/>
                    </a:xfrm>
                    <a:prstGeom prst="rect">
                      <a:avLst/>
                    </a:prstGeom>
                    <a:ln>
                      <a:noFill/>
                    </a:ln>
                    <a:extLst>
                      <a:ext uri="{53640926-AAD7-44D8-BBD7-CCE9431645EC}">
                        <a14:shadowObscured xmlns:a14="http://schemas.microsoft.com/office/drawing/2010/main"/>
                      </a:ext>
                    </a:extLst>
                  </pic:spPr>
                </pic:pic>
              </a:graphicData>
            </a:graphic>
          </wp:inline>
        </w:drawing>
      </w:r>
    </w:p>
    <w:p w14:paraId="32B94D99" w14:textId="66ABAF37" w:rsidR="00552375" w:rsidRDefault="00732BA1" w:rsidP="00EE622E">
      <w:pPr>
        <w:pStyle w:val="Caption"/>
        <w:jc w:val="center"/>
      </w:pPr>
      <w:r>
        <w:t xml:space="preserve">Source </w:t>
      </w:r>
      <w:fldSimple w:instr=" SEQ Source \* ARABIC ">
        <w:r w:rsidR="001A7243">
          <w:rPr>
            <w:noProof/>
          </w:rPr>
          <w:t>2</w:t>
        </w:r>
      </w:fldSimple>
      <w:r>
        <w:t xml:space="preserve"> </w:t>
      </w:r>
      <w:r w:rsidRPr="00AF39D9">
        <w:t>modified from figure 8.1 in US EPA, 2008</w:t>
      </w:r>
    </w:p>
    <w:p w14:paraId="09E2B45C" w14:textId="77777777" w:rsidR="00552375" w:rsidRPr="006F1EC2" w:rsidRDefault="00552375" w:rsidP="00984D09">
      <w:pPr>
        <w:pStyle w:val="Heading4"/>
      </w:pPr>
      <w:r>
        <w:t>Lakes</w:t>
      </w:r>
    </w:p>
    <w:p w14:paraId="592DF5BA" w14:textId="31C74E78" w:rsidR="00552375" w:rsidRPr="00C95C1C" w:rsidRDefault="003C03D0" w:rsidP="006F1EC2">
      <w:pPr>
        <w:pStyle w:val="BodyText"/>
      </w:pPr>
      <w:r w:rsidRPr="006F1EC2">
        <w:t>Three</w:t>
      </w:r>
      <w:r w:rsidR="00552375" w:rsidRPr="00C95C1C">
        <w:t xml:space="preserve"> </w:t>
      </w:r>
      <w:r w:rsidR="00552375">
        <w:t>a</w:t>
      </w:r>
      <w:r w:rsidR="00552375" w:rsidRPr="00C95C1C">
        <w:t>ppendix 2 attributes have been defined to manage the trophic state of lakes:</w:t>
      </w:r>
    </w:p>
    <w:p w14:paraId="5338C546" w14:textId="77777777" w:rsidR="00552375" w:rsidRPr="00C95C1C" w:rsidRDefault="00552375" w:rsidP="006F1EC2">
      <w:pPr>
        <w:pStyle w:val="Bullet"/>
      </w:pPr>
      <w:r w:rsidRPr="00C95C1C">
        <w:t>phytoplankton biomass (chl-</w:t>
      </w:r>
      <w:r w:rsidRPr="0020267F">
        <w:rPr>
          <w:i/>
        </w:rPr>
        <w:t>a</w:t>
      </w:r>
      <w:r w:rsidRPr="00C95C1C">
        <w:t xml:space="preserve"> concentration, mg/m</w:t>
      </w:r>
      <w:r w:rsidRPr="007833F7">
        <w:rPr>
          <w:vertAlign w:val="superscript"/>
        </w:rPr>
        <w:t>3</w:t>
      </w:r>
      <w:r w:rsidRPr="00C95C1C">
        <w:t>)</w:t>
      </w:r>
    </w:p>
    <w:p w14:paraId="43F4ED10" w14:textId="77777777" w:rsidR="00552375" w:rsidRPr="00C95C1C" w:rsidRDefault="00552375" w:rsidP="006F1EC2">
      <w:pPr>
        <w:pStyle w:val="Bullet"/>
      </w:pPr>
      <w:r w:rsidRPr="00C95C1C">
        <w:t>total nitrogen (TN) concentration (mg/m</w:t>
      </w:r>
      <w:r w:rsidRPr="007833F7">
        <w:rPr>
          <w:vertAlign w:val="superscript"/>
        </w:rPr>
        <w:t>3</w:t>
      </w:r>
      <w:r w:rsidRPr="00C95C1C">
        <w:t xml:space="preserve">) </w:t>
      </w:r>
    </w:p>
    <w:p w14:paraId="26376877" w14:textId="77777777" w:rsidR="00552375" w:rsidRPr="00C95C1C" w:rsidRDefault="00552375" w:rsidP="006F1EC2">
      <w:pPr>
        <w:pStyle w:val="Bullet"/>
      </w:pPr>
      <w:r w:rsidRPr="00C95C1C">
        <w:t>total phosphorus (TP) concentration (mg/m</w:t>
      </w:r>
      <w:r w:rsidRPr="007833F7">
        <w:rPr>
          <w:vertAlign w:val="superscript"/>
        </w:rPr>
        <w:t>3</w:t>
      </w:r>
      <w:r w:rsidRPr="00C95C1C">
        <w:t>).</w:t>
      </w:r>
    </w:p>
    <w:p w14:paraId="36AF550E" w14:textId="72D77D02" w:rsidR="00552375" w:rsidRPr="000155FC" w:rsidRDefault="00552375" w:rsidP="006F1EC2">
      <w:pPr>
        <w:pStyle w:val="BodyText"/>
      </w:pPr>
      <w:r w:rsidRPr="00C95C1C">
        <w:t xml:space="preserve">The concentration of both </w:t>
      </w:r>
      <w:r w:rsidRPr="006F1EC2">
        <w:t>nitrogen</w:t>
      </w:r>
      <w:r w:rsidRPr="00C95C1C">
        <w:t xml:space="preserve"> and phosphorus need to be considered when managing for</w:t>
      </w:r>
      <w:r w:rsidR="006F1EC2">
        <w:t> </w:t>
      </w:r>
      <w:r w:rsidRPr="00C95C1C">
        <w:t xml:space="preserve">trophic-state in lakes because of seasonal and interannual changes in limitation (Larned </w:t>
      </w:r>
      <w:r w:rsidRPr="000155FC">
        <w:t>et</w:t>
      </w:r>
      <w:r w:rsidR="006F1EC2" w:rsidRPr="000155FC">
        <w:t> </w:t>
      </w:r>
      <w:r w:rsidRPr="000155FC">
        <w:t>al., 2011).</w:t>
      </w:r>
    </w:p>
    <w:p w14:paraId="7F5EB9EC" w14:textId="77777777" w:rsidR="00552375" w:rsidRPr="006F1EC2" w:rsidRDefault="00552375" w:rsidP="006F1EC2">
      <w:pPr>
        <w:pStyle w:val="Heading5"/>
      </w:pPr>
      <w:r>
        <w:t>Phytoplankton biomass</w:t>
      </w:r>
    </w:p>
    <w:p w14:paraId="700F89A5" w14:textId="6ADEBEA0" w:rsidR="00552375" w:rsidRPr="00C95C1C" w:rsidRDefault="00552375" w:rsidP="006F1EC2">
      <w:pPr>
        <w:pStyle w:val="BodyText"/>
      </w:pPr>
      <w:r w:rsidRPr="00C95C1C">
        <w:t>Phytoplankton biomass in a lake is the biological expression (i</w:t>
      </w:r>
      <w:r>
        <w:t>e</w:t>
      </w:r>
      <w:r w:rsidRPr="00C95C1C">
        <w:t>, primary effect) of nutrients (N</w:t>
      </w:r>
      <w:r w:rsidR="006F1EC2">
        <w:t> </w:t>
      </w:r>
      <w:r w:rsidRPr="00C95C1C">
        <w:t>and P) within the constraints imposed by water clarity, depth of mixing and residence time. Annual median and annual maximum values of chl-</w:t>
      </w:r>
      <w:r w:rsidRPr="0020267F">
        <w:rPr>
          <w:i/>
        </w:rPr>
        <w:t>a</w:t>
      </w:r>
      <w:r w:rsidRPr="00C95C1C">
        <w:t xml:space="preserve"> are indicators of </w:t>
      </w:r>
      <w:r w:rsidRPr="006F1EC2">
        <w:t>lake</w:t>
      </w:r>
      <w:r w:rsidRPr="00C95C1C">
        <w:t xml:space="preserve"> trophic state. The narrative attribute bands for phytoplankton (trophic state) in lakes are:</w:t>
      </w:r>
    </w:p>
    <w:p w14:paraId="1F2062F9" w14:textId="77777777" w:rsidR="00552375" w:rsidRPr="000406C2" w:rsidRDefault="00552375" w:rsidP="00552375">
      <w:pPr>
        <w:pStyle w:val="Sub-listabc"/>
      </w:pPr>
      <w:r w:rsidRPr="006F54BC">
        <w:rPr>
          <w:i/>
        </w:rPr>
        <w:t>healthy and resilient</w:t>
      </w:r>
      <w:r w:rsidRPr="006F54BC">
        <w:t>,</w:t>
      </w:r>
      <w:r w:rsidRPr="000406C2">
        <w:t xml:space="preserve"> simi</w:t>
      </w:r>
      <w:r>
        <w:t>lar to near reference condition</w:t>
      </w:r>
    </w:p>
    <w:p w14:paraId="3881B0D1" w14:textId="77777777" w:rsidR="00552375" w:rsidRPr="000406C2" w:rsidRDefault="00552375" w:rsidP="00552375">
      <w:pPr>
        <w:pStyle w:val="Sub-listabc"/>
      </w:pPr>
      <w:r w:rsidRPr="006F54BC">
        <w:rPr>
          <w:i/>
        </w:rPr>
        <w:t>slightly impacted</w:t>
      </w:r>
      <w:r w:rsidRPr="000406C2">
        <w:t xml:space="preserve"> by additional algal and plant growth arising from nutrients levels that are elevated abo</w:t>
      </w:r>
      <w:r>
        <w:t>ve natural reference conditions</w:t>
      </w:r>
    </w:p>
    <w:p w14:paraId="62690AE7" w14:textId="77777777" w:rsidR="00552375" w:rsidRPr="000406C2" w:rsidRDefault="00552375" w:rsidP="00552375">
      <w:pPr>
        <w:pStyle w:val="Sub-listabc"/>
      </w:pPr>
      <w:r w:rsidRPr="000406C2">
        <w:rPr>
          <w:i/>
        </w:rPr>
        <w:t>moderately impacted</w:t>
      </w:r>
      <w:r w:rsidRPr="000406C2">
        <w:t xml:space="preserve"> by additional algal and plant growth arising from nutrient levels that are elevated well abo</w:t>
      </w:r>
      <w:r>
        <w:t>ve natural reference conditions</w:t>
      </w:r>
    </w:p>
    <w:p w14:paraId="72D43CF8" w14:textId="77777777" w:rsidR="00552375" w:rsidRDefault="00552375" w:rsidP="00552375">
      <w:pPr>
        <w:pStyle w:val="Sub-listabc"/>
      </w:pPr>
      <w:r w:rsidRPr="000406C2">
        <w:rPr>
          <w:i/>
        </w:rPr>
        <w:t>severely impacted</w:t>
      </w:r>
      <w:r>
        <w:t xml:space="preserve"> – </w:t>
      </w:r>
      <w:r w:rsidRPr="000406C2">
        <w:t>have undergone or are at high risk of a regime shift to a persistent, degraded state, due to impacts of elevated nutrients leading to excessive algal and/or plant growth, as well as from losing oxygen in bottom waters of deep lake</w:t>
      </w:r>
      <w:r>
        <w:t>s</w:t>
      </w:r>
      <w:r w:rsidRPr="000406C2">
        <w:t>.</w:t>
      </w:r>
    </w:p>
    <w:p w14:paraId="5333FC5D" w14:textId="77777777" w:rsidR="00552375" w:rsidRPr="006F1EC2" w:rsidRDefault="00552375" w:rsidP="006F1EC2">
      <w:pPr>
        <w:pStyle w:val="Heading5"/>
      </w:pPr>
      <w:r w:rsidRPr="00155582">
        <w:lastRenderedPageBreak/>
        <w:t xml:space="preserve">Total nitrogen and </w:t>
      </w:r>
      <w:r>
        <w:t>total phosphorus</w:t>
      </w:r>
    </w:p>
    <w:p w14:paraId="0C6568CF" w14:textId="10B694E3" w:rsidR="00552375" w:rsidRPr="007833F7" w:rsidRDefault="00552375" w:rsidP="00042C6C">
      <w:pPr>
        <w:pStyle w:val="BodyText"/>
        <w:spacing w:before="100" w:after="100"/>
        <w:rPr>
          <w:vertAlign w:val="superscript"/>
        </w:rPr>
      </w:pPr>
      <w:r w:rsidRPr="00C95C1C">
        <w:t>Regional councils can identify the freshwater objectives for phytoplankton (trophic state) sought for lakes within an FMU, and then select the corresponding TN and TP in-lake concentration criteria (measured as annual medians) required to meet the freshwater objective. In cases where lake attribute TN and/or TP concentrations are known not to provide</w:t>
      </w:r>
      <w:r w:rsidR="006F1EC2">
        <w:t> </w:t>
      </w:r>
      <w:r w:rsidRPr="00C95C1C">
        <w:t xml:space="preserve">for the corresponding phytoplankton freshwater objective, the expectation is that more meaningful and site-specific in-lake nutrient criteria will be adopted (or developed) as part of </w:t>
      </w:r>
      <w:r>
        <w:t>subcaluse 3(b)</w:t>
      </w:r>
      <w:r w:rsidRPr="00C95C1C">
        <w:t>.</w:t>
      </w:r>
      <w:r w:rsidRPr="007833F7">
        <w:rPr>
          <w:rStyle w:val="FootnoteReference"/>
          <w:rFonts w:cs="Times New Roman"/>
        </w:rPr>
        <w:footnoteReference w:id="9"/>
      </w:r>
    </w:p>
    <w:p w14:paraId="29728BB1" w14:textId="77777777" w:rsidR="00552375" w:rsidRPr="00C95C1C" w:rsidRDefault="00552375" w:rsidP="00042C6C">
      <w:pPr>
        <w:pStyle w:val="BodyText"/>
        <w:spacing w:after="100"/>
      </w:pPr>
      <w:r w:rsidRPr="00C95C1C">
        <w:t>The respective A/B, B/C and C/D threshold nutrient values are (expressed as annual medians):</w:t>
      </w:r>
    </w:p>
    <w:p w14:paraId="2A65CB83" w14:textId="77777777" w:rsidR="00552375" w:rsidRPr="00C95C1C" w:rsidRDefault="00552375" w:rsidP="006F1EC2">
      <w:pPr>
        <w:pStyle w:val="Bullet"/>
      </w:pPr>
      <w:r w:rsidRPr="00C95C1C">
        <w:t xml:space="preserve">TN (stratified/brackish) </w:t>
      </w:r>
      <w:r w:rsidRPr="00C95C1C">
        <w:tab/>
        <w:t>=</w:t>
      </w:r>
      <w:r w:rsidRPr="00C95C1C">
        <w:tab/>
        <w:t>≤160, ≤350 and ≤750 mg/m</w:t>
      </w:r>
      <w:r w:rsidRPr="007833F7">
        <w:rPr>
          <w:vertAlign w:val="superscript"/>
        </w:rPr>
        <w:t>3</w:t>
      </w:r>
    </w:p>
    <w:p w14:paraId="1E3D1BA3" w14:textId="77777777" w:rsidR="00552375" w:rsidRPr="00C95C1C" w:rsidRDefault="00552375" w:rsidP="006F1EC2">
      <w:pPr>
        <w:pStyle w:val="Bullet"/>
      </w:pPr>
      <w:r w:rsidRPr="00C95C1C">
        <w:t xml:space="preserve">TN (polymictic) </w:t>
      </w:r>
      <w:r w:rsidRPr="00C95C1C">
        <w:tab/>
      </w:r>
      <w:r w:rsidRPr="00C95C1C">
        <w:tab/>
      </w:r>
      <w:r w:rsidRPr="00C95C1C">
        <w:tab/>
        <w:t xml:space="preserve">= </w:t>
      </w:r>
      <w:r w:rsidRPr="00C95C1C">
        <w:tab/>
        <w:t>≤300, ≤500 and ≤800 mg/m</w:t>
      </w:r>
      <w:r w:rsidRPr="007833F7">
        <w:rPr>
          <w:vertAlign w:val="superscript"/>
        </w:rPr>
        <w:t>3</w:t>
      </w:r>
    </w:p>
    <w:p w14:paraId="2959F4CA" w14:textId="63564F0C" w:rsidR="00552375" w:rsidRPr="00C95C1C" w:rsidRDefault="00552375" w:rsidP="006F1EC2">
      <w:pPr>
        <w:pStyle w:val="Bullet"/>
      </w:pPr>
      <w:r w:rsidRPr="00C95C1C">
        <w:t>TP (all types)</w:t>
      </w:r>
      <w:r w:rsidRPr="00C95C1C">
        <w:tab/>
      </w:r>
      <w:r w:rsidRPr="00C95C1C">
        <w:tab/>
      </w:r>
      <w:r w:rsidRPr="00C95C1C">
        <w:tab/>
      </w:r>
      <w:r w:rsidRPr="00C95C1C">
        <w:tab/>
        <w:t>=</w:t>
      </w:r>
      <w:r w:rsidRPr="00C95C1C">
        <w:tab/>
        <w:t>≤10, ≤20 and ≤50 mg/m</w:t>
      </w:r>
      <w:r w:rsidRPr="007833F7">
        <w:rPr>
          <w:vertAlign w:val="superscript"/>
        </w:rPr>
        <w:t>3</w:t>
      </w:r>
      <w:r w:rsidRPr="006F54BC">
        <w:t>.</w:t>
      </w:r>
    </w:p>
    <w:p w14:paraId="7B10A22D" w14:textId="7D912B91" w:rsidR="00552375" w:rsidRDefault="00552375" w:rsidP="00984D09">
      <w:pPr>
        <w:pStyle w:val="Heading4"/>
      </w:pPr>
      <w:bookmarkStart w:id="60" w:name="_Hlk513159017"/>
      <w:bookmarkStart w:id="61" w:name="_Hlk513159087"/>
      <w:r>
        <w:t>Estuaries</w:t>
      </w:r>
      <w:bookmarkEnd w:id="60"/>
    </w:p>
    <w:p w14:paraId="482A8C69" w14:textId="77777777" w:rsidR="00552375" w:rsidRPr="00C95C1C" w:rsidRDefault="00552375" w:rsidP="00042C6C">
      <w:pPr>
        <w:pStyle w:val="BodyText"/>
        <w:spacing w:before="100" w:after="100"/>
      </w:pPr>
      <w:r w:rsidRPr="00C95C1C">
        <w:t xml:space="preserve">Estuarine receiving environments are not included in the NPS-FM and consequently there are no trophic state attributes for New Zealand estuaries. Nutrient enrichment threatens many estuaries, but until recently, </w:t>
      </w:r>
      <w:r>
        <w:t xml:space="preserve">there has been limited </w:t>
      </w:r>
      <w:r w:rsidRPr="00C95C1C">
        <w:t xml:space="preserve">guidance on how to assess the extent of eutrophication in these downstream receiving environments. The ETI was developed to </w:t>
      </w:r>
      <w:r>
        <w:t>help</w:t>
      </w:r>
      <w:r w:rsidRPr="00C95C1C">
        <w:t xml:space="preserve"> regional councils in determining the susceptibility of an estuary to eutrophication, assess its current trophic state, and assess how changes to nitrogen load limits (via conversion to concentrations) may alter its current state. </w:t>
      </w:r>
    </w:p>
    <w:bookmarkEnd w:id="61"/>
    <w:p w14:paraId="23597FEC" w14:textId="50383F45" w:rsidR="00552375" w:rsidRPr="00C95C1C" w:rsidRDefault="00552375" w:rsidP="00042C6C">
      <w:pPr>
        <w:pStyle w:val="BodyText"/>
        <w:spacing w:before="100" w:after="100"/>
      </w:pPr>
      <w:r w:rsidRPr="00C95C1C">
        <w:t xml:space="preserve">The ETI comprises three separate </w:t>
      </w:r>
      <w:r>
        <w:t>t</w:t>
      </w:r>
      <w:r w:rsidRPr="00C95C1C">
        <w:t>ools, although only Tool 1 (</w:t>
      </w:r>
      <w:r w:rsidRPr="004F6FA9">
        <w:rPr>
          <w:i/>
        </w:rPr>
        <w:t>Determining susceptibility of estuaries to eutrophication</w:t>
      </w:r>
      <w:r>
        <w:t>) is detailed</w:t>
      </w:r>
      <w:r w:rsidRPr="00C95C1C">
        <w:t xml:space="preserve"> this guidance section on selecting suitable nutrient criteria to meet the trophic states sought for estuarine receiving environments. Tool 1 consists of two separate approaches</w:t>
      </w:r>
      <w:r>
        <w:t>;</w:t>
      </w:r>
      <w:r w:rsidRPr="00C95C1C">
        <w:t xml:space="preserve"> the one considered most applicable to New Zealand estuaries is the CLUES estuary approach – this effectively combines data outputs from the Catchment Land</w:t>
      </w:r>
      <w:r w:rsidR="006F1EC2">
        <w:t> </w:t>
      </w:r>
      <w:r w:rsidRPr="00C95C1C">
        <w:t>Use for Environmental Sustainability (CLUES) model with simple dilution models to predict</w:t>
      </w:r>
      <w:r w:rsidR="006F1EC2">
        <w:t> </w:t>
      </w:r>
      <w:r w:rsidRPr="00C95C1C">
        <w:t>potential nutrient concentrations. Because nitrogen is generally regarded as being the</w:t>
      </w:r>
      <w:r w:rsidR="003740A2">
        <w:t> </w:t>
      </w:r>
      <w:r w:rsidRPr="00C95C1C">
        <w:t>limiting nutrient in estuaries (as outlined earlier), the ETI only considers nitrogen, and therefore trophic-state objectives and associated nutrient criteria for estuaries determined using the ETI</w:t>
      </w:r>
      <w:r w:rsidR="008F4293">
        <w:t> </w:t>
      </w:r>
      <w:r w:rsidRPr="00C95C1C">
        <w:t>will only influence FMU instream criteria set for nitrogen and not phosphorus.</w:t>
      </w:r>
      <w:r w:rsidR="00DD47E9">
        <w:t xml:space="preserve"> </w:t>
      </w:r>
    </w:p>
    <w:p w14:paraId="3B8D4A2A" w14:textId="77777777" w:rsidR="00552375" w:rsidRPr="00C95C1C" w:rsidRDefault="00552375" w:rsidP="00042C6C">
      <w:pPr>
        <w:pStyle w:val="BodyText"/>
        <w:spacing w:before="100" w:after="100"/>
      </w:pPr>
      <w:r w:rsidRPr="00C95C1C">
        <w:t>The ETI is recommended for dealing with trophic state in estuaries because it:</w:t>
      </w:r>
    </w:p>
    <w:p w14:paraId="36630766" w14:textId="38C25764" w:rsidR="00552375" w:rsidRPr="00C95C1C" w:rsidRDefault="00552375" w:rsidP="00042C6C">
      <w:pPr>
        <w:pStyle w:val="Bullet"/>
        <w:spacing w:after="100"/>
      </w:pPr>
      <w:r w:rsidRPr="00C95C1C">
        <w:t>was developed in response to a need identified by regional council coastal scientists to</w:t>
      </w:r>
      <w:r w:rsidR="003740A2">
        <w:t> </w:t>
      </w:r>
      <w:r w:rsidRPr="00C95C1C">
        <w:t>provide supporting guidance for underpinning the ecological health component of regional plans. It does this by identifying relevant estuary attributes and outcomes. It is a</w:t>
      </w:r>
      <w:r w:rsidR="003740A2">
        <w:t> </w:t>
      </w:r>
      <w:r w:rsidRPr="00C95C1C">
        <w:t xml:space="preserve">national initiative with &gt;400 </w:t>
      </w:r>
      <w:r>
        <w:t>estuaries included in Tool 1</w:t>
      </w:r>
      <w:r w:rsidRPr="00C95C1C">
        <w:t>, incorporating a simple four-category estuary type (</w:t>
      </w:r>
      <w:r w:rsidRPr="00C95C1C">
        <w:fldChar w:fldCharType="begin"/>
      </w:r>
      <w:r w:rsidRPr="00C95C1C">
        <w:instrText xml:space="preserve"> REF _Ref515319600 \h  \* MERGEFORMAT </w:instrText>
      </w:r>
      <w:r w:rsidRPr="00C95C1C">
        <w:fldChar w:fldCharType="separate"/>
      </w:r>
      <w:r w:rsidR="001A7243" w:rsidRPr="002D7D1A">
        <w:t xml:space="preserve">Figure </w:t>
      </w:r>
      <w:r w:rsidR="001A7243">
        <w:rPr>
          <w:noProof/>
        </w:rPr>
        <w:t>6</w:t>
      </w:r>
      <w:r w:rsidRPr="00C95C1C">
        <w:fldChar w:fldCharType="end"/>
      </w:r>
      <w:r w:rsidRPr="00C95C1C">
        <w:t>) specifically suited to the assessment of estuarine eutrophication susceptibility in NZ:</w:t>
      </w:r>
    </w:p>
    <w:p w14:paraId="101F9B3D" w14:textId="6B2C8B41" w:rsidR="00552375" w:rsidRPr="00AE1183" w:rsidRDefault="00552375" w:rsidP="008F4293">
      <w:pPr>
        <w:pStyle w:val="Sub-list"/>
      </w:pPr>
      <w:r w:rsidRPr="00AE1183">
        <w:t xml:space="preserve">shallow intertidal dominated estuaries (SIDES, ‘A’ in </w:t>
      </w:r>
      <w:r w:rsidRPr="00AE1183">
        <w:fldChar w:fldCharType="begin"/>
      </w:r>
      <w:r w:rsidRPr="00AE1183">
        <w:instrText xml:space="preserve"> REF _Ref515319600 \h  \* MERGEFORMAT </w:instrText>
      </w:r>
      <w:r w:rsidRPr="00AE1183">
        <w:fldChar w:fldCharType="separate"/>
      </w:r>
      <w:r w:rsidR="001A7243" w:rsidRPr="002D7D1A">
        <w:t xml:space="preserve">Figure </w:t>
      </w:r>
      <w:r w:rsidR="001A7243">
        <w:rPr>
          <w:noProof/>
        </w:rPr>
        <w:t>6</w:t>
      </w:r>
      <w:r w:rsidRPr="00AE1183">
        <w:fldChar w:fldCharType="end"/>
      </w:r>
      <w:r w:rsidRPr="00AE1183">
        <w:t>)</w:t>
      </w:r>
    </w:p>
    <w:p w14:paraId="27933C11" w14:textId="21A3305F" w:rsidR="00552375" w:rsidRPr="00AE1183" w:rsidRDefault="00552375" w:rsidP="008F4293">
      <w:pPr>
        <w:pStyle w:val="Sub-list"/>
      </w:pPr>
      <w:r w:rsidRPr="00AE1183">
        <w:t xml:space="preserve">shallow, short residence time tidal river and tidal river with adjoining lagoon estuaries (SSRTREs, ‘B’ in </w:t>
      </w:r>
      <w:r w:rsidRPr="00AE1183">
        <w:fldChar w:fldCharType="begin"/>
      </w:r>
      <w:r w:rsidRPr="00AE1183">
        <w:instrText xml:space="preserve"> REF _Ref515319600 \h  \* MERGEFORMAT </w:instrText>
      </w:r>
      <w:r w:rsidRPr="00AE1183">
        <w:fldChar w:fldCharType="separate"/>
      </w:r>
      <w:r w:rsidR="001A7243" w:rsidRPr="002D7D1A">
        <w:t xml:space="preserve">Figure </w:t>
      </w:r>
      <w:r w:rsidR="001A7243">
        <w:rPr>
          <w:noProof/>
        </w:rPr>
        <w:t>6</w:t>
      </w:r>
      <w:r w:rsidRPr="00AE1183">
        <w:fldChar w:fldCharType="end"/>
      </w:r>
      <w:r w:rsidRPr="00AE1183">
        <w:t>)</w:t>
      </w:r>
    </w:p>
    <w:p w14:paraId="567427E6" w14:textId="3651CF43" w:rsidR="00552375" w:rsidRPr="00AE1183" w:rsidRDefault="00552375" w:rsidP="008F4293">
      <w:pPr>
        <w:pStyle w:val="Sub-list"/>
      </w:pPr>
      <w:r w:rsidRPr="00AE1183">
        <w:lastRenderedPageBreak/>
        <w:t xml:space="preserve">deeper subtidal dominated, longer residence time estuaries (DSDEs, ‘C’ in </w:t>
      </w:r>
      <w:r w:rsidRPr="00AE1183">
        <w:fldChar w:fldCharType="begin"/>
      </w:r>
      <w:r w:rsidRPr="00AE1183">
        <w:instrText xml:space="preserve"> REF _Ref515319600 \h  \* MERGEFORMAT </w:instrText>
      </w:r>
      <w:r w:rsidRPr="00AE1183">
        <w:fldChar w:fldCharType="separate"/>
      </w:r>
      <w:r w:rsidR="001A7243" w:rsidRPr="002D7D1A">
        <w:t xml:space="preserve">Figure </w:t>
      </w:r>
      <w:r w:rsidR="001A7243">
        <w:rPr>
          <w:noProof/>
        </w:rPr>
        <w:t>6</w:t>
      </w:r>
      <w:r w:rsidRPr="00AE1183">
        <w:fldChar w:fldCharType="end"/>
      </w:r>
      <w:r w:rsidRPr="00AE1183">
        <w:t>);</w:t>
      </w:r>
    </w:p>
    <w:p w14:paraId="412B8696" w14:textId="27BF18D4" w:rsidR="00552375" w:rsidRPr="00AE1183" w:rsidRDefault="00552375" w:rsidP="008F4293">
      <w:pPr>
        <w:pStyle w:val="Sub-list"/>
      </w:pPr>
      <w:r w:rsidRPr="00AE1183">
        <w:t xml:space="preserve">coastal lakes (‘D’ in </w:t>
      </w:r>
      <w:r w:rsidRPr="00AE1183">
        <w:fldChar w:fldCharType="begin"/>
      </w:r>
      <w:r w:rsidRPr="00AE1183">
        <w:instrText xml:space="preserve"> REF _Ref515319600 \h  \* MERGEFORMAT </w:instrText>
      </w:r>
      <w:r w:rsidRPr="00AE1183">
        <w:fldChar w:fldCharType="separate"/>
      </w:r>
      <w:r w:rsidR="001A7243" w:rsidRPr="002D7D1A">
        <w:t xml:space="preserve">Figure </w:t>
      </w:r>
      <w:r w:rsidR="001A7243">
        <w:rPr>
          <w:noProof/>
        </w:rPr>
        <w:t>6</w:t>
      </w:r>
      <w:r w:rsidRPr="00AE1183">
        <w:fldChar w:fldCharType="end"/>
      </w:r>
      <w:r w:rsidRPr="00AE1183">
        <w:t>)</w:t>
      </w:r>
    </w:p>
    <w:p w14:paraId="3DD6EEC6" w14:textId="77777777" w:rsidR="00552375" w:rsidRPr="00C95C1C" w:rsidRDefault="00552375" w:rsidP="008F4293">
      <w:pPr>
        <w:pStyle w:val="Bullet"/>
      </w:pPr>
      <w:r w:rsidRPr="00C95C1C">
        <w:t xml:space="preserve">provides a process to determine susceptibility of estuaries to both types of plant response to anthropogenic nutrient enrichment, namely: </w:t>
      </w:r>
    </w:p>
    <w:p w14:paraId="79930A4D" w14:textId="77777777" w:rsidR="00552375" w:rsidRPr="00C95C1C" w:rsidRDefault="00552375" w:rsidP="008F4293">
      <w:pPr>
        <w:pStyle w:val="Sub-list"/>
      </w:pPr>
      <w:r w:rsidRPr="00C95C1C">
        <w:t>macroalgal blooms</w:t>
      </w:r>
    </w:p>
    <w:p w14:paraId="18FF2D27" w14:textId="77777777" w:rsidR="00552375" w:rsidRPr="00C95C1C" w:rsidRDefault="00552375" w:rsidP="008F4293">
      <w:pPr>
        <w:pStyle w:val="Sub-list"/>
      </w:pPr>
      <w:r w:rsidRPr="00C95C1C">
        <w:t>phytoplankton blooms</w:t>
      </w:r>
    </w:p>
    <w:p w14:paraId="1073EA57" w14:textId="77777777" w:rsidR="00552375" w:rsidRPr="00C95C1C" w:rsidRDefault="00552375" w:rsidP="008F4293">
      <w:pPr>
        <w:pStyle w:val="Bullet"/>
      </w:pPr>
      <w:r w:rsidRPr="00C95C1C">
        <w:t>defines four bands (A-D), with narratives that are generally consistent with the NPS-FM trophic attribute bands (i</w:t>
      </w:r>
      <w:r>
        <w:t>e</w:t>
      </w:r>
      <w:r w:rsidRPr="00C95C1C">
        <w:t>, rivers and lakes)</w:t>
      </w:r>
      <w:r>
        <w:t>:</w:t>
      </w:r>
    </w:p>
    <w:p w14:paraId="49F1D5C9" w14:textId="77777777" w:rsidR="00552375" w:rsidRPr="00C95C1C" w:rsidRDefault="00552375" w:rsidP="008F4293">
      <w:pPr>
        <w:pStyle w:val="Sub-list"/>
      </w:pPr>
      <w:r w:rsidRPr="00C95C1C">
        <w:t>macroalgal trophic bands and corresponding nutrient criteria are based on the relationship between the trophic state of real data and potential nutrient concentrations</w:t>
      </w:r>
    </w:p>
    <w:p w14:paraId="5DA3531D" w14:textId="77777777" w:rsidR="00552375" w:rsidRPr="00C95C1C" w:rsidRDefault="00552375" w:rsidP="008F4293">
      <w:pPr>
        <w:pStyle w:val="Sub-list"/>
      </w:pPr>
      <w:r w:rsidRPr="00C95C1C">
        <w:t xml:space="preserve">phytoplankton trophic bands are based on a simplified modelling approach that accounts for the effects of both potential concentrations and flushing time. </w:t>
      </w:r>
    </w:p>
    <w:p w14:paraId="5DB86A3B" w14:textId="6C2FCE02" w:rsidR="00552375" w:rsidRDefault="00552375" w:rsidP="008F4293">
      <w:pPr>
        <w:pStyle w:val="BodyText"/>
      </w:pPr>
      <w:r w:rsidRPr="00C95C1C">
        <w:t xml:space="preserve">The ETI provides a useful, first step/screening level approach to identify trophic state objectives for an estuary, and to set </w:t>
      </w:r>
      <w:r w:rsidRPr="008F4293">
        <w:t>corresponding</w:t>
      </w:r>
      <w:r w:rsidRPr="00C95C1C">
        <w:t xml:space="preserve"> potential TN concentrations for New Zealand estuaries (see box </w:t>
      </w:r>
      <w:r>
        <w:t>below</w:t>
      </w:r>
      <w:r w:rsidRPr="00C95C1C">
        <w:t>). Some regional councils, for selected estuaries, may be more advanced in their</w:t>
      </w:r>
      <w:r w:rsidR="000155FC">
        <w:t> </w:t>
      </w:r>
      <w:r w:rsidRPr="00C95C1C">
        <w:t>assessment of, and aspirations regarding, trophic state (and corresponding nutrient targets), in which case the ETI approach may be of limited value. It is also emphasised that the ETI generic trophic threshold concentrations of TN are considered indicative only, and these will likely be revised (or substituted) by regional councils using current or future monitoring and</w:t>
      </w:r>
      <w:r w:rsidR="000155FC">
        <w:t> </w:t>
      </w:r>
      <w:r w:rsidRPr="00C95C1C">
        <w:t>local knowledge.</w:t>
      </w:r>
    </w:p>
    <w:p w14:paraId="06D04C74" w14:textId="6AC47603" w:rsidR="00552375" w:rsidRPr="00BD12A5" w:rsidRDefault="00552375" w:rsidP="00BD12A5">
      <w:pPr>
        <w:pStyle w:val="Figureheading"/>
      </w:pPr>
      <w:bookmarkStart w:id="62" w:name="_Ref515319600"/>
      <w:bookmarkStart w:id="63" w:name="_Toc521487713"/>
      <w:bookmarkStart w:id="64" w:name="_Toc73711479"/>
      <w:r w:rsidRPr="002D7D1A">
        <w:t xml:space="preserve">Figure </w:t>
      </w:r>
      <w:fldSimple w:instr=" SEQ Figure \* ARABIC ">
        <w:r w:rsidR="001A7243">
          <w:rPr>
            <w:noProof/>
          </w:rPr>
          <w:t>6</w:t>
        </w:r>
      </w:fldSimple>
      <w:bookmarkEnd w:id="62"/>
      <w:r w:rsidRPr="00FF3F63">
        <w:t>:</w:t>
      </w:r>
      <w:r>
        <w:t xml:space="preserve"> </w:t>
      </w:r>
      <w:r>
        <w:tab/>
      </w:r>
      <w:r w:rsidRPr="002D7D1A">
        <w:t>The four typ</w:t>
      </w:r>
      <w:r>
        <w:t>es of estuary</w:t>
      </w:r>
      <w:r w:rsidRPr="002D7D1A">
        <w:t xml:space="preserve"> used by the ETI for assessing the eutrophic</w:t>
      </w:r>
      <w:r>
        <w:t xml:space="preserve"> susceptibility of</w:t>
      </w:r>
      <w:r w:rsidR="00BD12A5">
        <w:t> </w:t>
      </w:r>
      <w:r>
        <w:t>NZ</w:t>
      </w:r>
      <w:r w:rsidR="00BD12A5">
        <w:t> </w:t>
      </w:r>
      <w:r>
        <w:t>estuaries</w:t>
      </w:r>
      <w:bookmarkEnd w:id="63"/>
      <w:bookmarkEnd w:id="64"/>
    </w:p>
    <w:p w14:paraId="0011AAA7" w14:textId="77777777" w:rsidR="00552375" w:rsidRPr="00BD12A5" w:rsidRDefault="00552375" w:rsidP="00BD12A5">
      <w:pPr>
        <w:pStyle w:val="BodyText"/>
        <w:spacing w:before="0"/>
        <w:jc w:val="center"/>
      </w:pPr>
      <w:r>
        <w:rPr>
          <w:noProof/>
        </w:rPr>
        <w:drawing>
          <wp:inline distT="0" distB="0" distL="0" distR="0" wp14:anchorId="5EDCB9C1" wp14:editId="54CF182C">
            <wp:extent cx="3177278" cy="2279650"/>
            <wp:effectExtent l="0" t="0" r="444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2819" cy="2290800"/>
                    </a:xfrm>
                    <a:prstGeom prst="rect">
                      <a:avLst/>
                    </a:prstGeom>
                    <a:noFill/>
                  </pic:spPr>
                </pic:pic>
              </a:graphicData>
            </a:graphic>
          </wp:inline>
        </w:drawing>
      </w:r>
    </w:p>
    <w:p w14:paraId="40CC7819" w14:textId="2DC6501F" w:rsidR="00552375" w:rsidRDefault="00552375" w:rsidP="00BD12A5">
      <w:pPr>
        <w:pStyle w:val="Note"/>
      </w:pPr>
      <w:bookmarkStart w:id="65" w:name="_Toc519682842"/>
      <w:bookmarkStart w:id="66" w:name="_Ref513559895"/>
      <w:r w:rsidRPr="00183D4C">
        <w:t xml:space="preserve">(A) shallow intertidal dominated estuaries (SIDEs); (B) shallow, short residence time tidal river and tidal river with adjoining lagoon estuaries (SSRTREs); (C) deeper subtidal dominated, longer residence time estuaries (DSDEs); and (D) coastal </w:t>
      </w:r>
      <w:r w:rsidRPr="000155FC">
        <w:t>lakes (Plew et al., 2017</w:t>
      </w:r>
      <w:r w:rsidRPr="00183D4C">
        <w:t>).</w:t>
      </w:r>
      <w:r w:rsidRPr="002D7D1A">
        <w:t xml:space="preserve"> Intermittently closed/open estuary states are subtypes of SIDEs and SSRTREs that describe the estuary closure state.</w:t>
      </w:r>
      <w:bookmarkEnd w:id="65"/>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D12A5" w14:paraId="1B897F53" w14:textId="77777777" w:rsidTr="00BD12A5">
        <w:tc>
          <w:tcPr>
            <w:tcW w:w="0" w:type="auto"/>
            <w:shd w:val="clear" w:color="auto" w:fill="D2DDE2"/>
          </w:tcPr>
          <w:p w14:paraId="447CED3A" w14:textId="77777777" w:rsidR="00BD12A5" w:rsidRPr="00125D40" w:rsidRDefault="00BD12A5" w:rsidP="00125D40">
            <w:pPr>
              <w:pStyle w:val="Blueboxheading"/>
            </w:pPr>
            <w:r>
              <w:lastRenderedPageBreak/>
              <w:t xml:space="preserve">Some important points about the ETI </w:t>
            </w:r>
          </w:p>
          <w:p w14:paraId="07A5B080" w14:textId="77777777" w:rsidR="00BD12A5" w:rsidRPr="00BD12A5" w:rsidRDefault="00BD12A5" w:rsidP="00BD12A5">
            <w:pPr>
              <w:pStyle w:val="Blueboxtext"/>
              <w:spacing w:after="0"/>
              <w:rPr>
                <w:i/>
                <w:iCs/>
              </w:rPr>
            </w:pPr>
            <w:bookmarkStart w:id="67" w:name="_Hlk513201006"/>
            <w:r w:rsidRPr="00BD12A5">
              <w:rPr>
                <w:i/>
                <w:iCs/>
              </w:rPr>
              <w:t xml:space="preserve">Only deals with nitrogen </w:t>
            </w:r>
          </w:p>
          <w:p w14:paraId="7A70DD96" w14:textId="78AE3E64" w:rsidR="00BD12A5" w:rsidRPr="008911ED" w:rsidRDefault="00BD12A5" w:rsidP="00BD12A5">
            <w:pPr>
              <w:pStyle w:val="Blueboxtext"/>
            </w:pPr>
            <w:r w:rsidRPr="008911ED">
              <w:t>Although dual nutrient management (N and P) is recommended (US EPA 2015)</w:t>
            </w:r>
            <w:r>
              <w:t>,</w:t>
            </w:r>
            <w:r w:rsidRPr="008911ED">
              <w:t xml:space="preserve"> and a requirement of </w:t>
            </w:r>
            <w:r>
              <w:t>Clause 3.13</w:t>
            </w:r>
            <w:r w:rsidRPr="008911ED">
              <w:t>, the ETI only considers nitrogen (as TN) for estuaries. This is because since the mid-1990’s, strong consensus has developed that solving the problem of</w:t>
            </w:r>
            <w:r w:rsidR="004A7F8D">
              <w:t> </w:t>
            </w:r>
            <w:r w:rsidRPr="008911ED">
              <w:t>eutrophication in estuaries requires controls on N inputs (Howarth and Marino 2006). There</w:t>
            </w:r>
            <w:r w:rsidR="004A7F8D">
              <w:t> </w:t>
            </w:r>
            <w:r w:rsidRPr="008911ED">
              <w:t>will invariably be exceptions to this, and where regional councils know or suspect that phosphorus is a limiting (or co-limiting) nutrient in an estuary, the expectation is that this will trigger more comprehensive assessments, than what the ETI-derived nitrogen screening criteria can provide.</w:t>
            </w:r>
            <w:r>
              <w:t xml:space="preserve"> </w:t>
            </w:r>
            <w:bookmarkEnd w:id="67"/>
          </w:p>
          <w:p w14:paraId="56F1C172" w14:textId="77777777" w:rsidR="00BD12A5" w:rsidRPr="00BD12A5" w:rsidRDefault="00BD12A5" w:rsidP="00125D40">
            <w:pPr>
              <w:pStyle w:val="Blueboxtext"/>
              <w:spacing w:before="80" w:after="0"/>
              <w:rPr>
                <w:i/>
                <w:iCs/>
              </w:rPr>
            </w:pPr>
            <w:r w:rsidRPr="00BD12A5">
              <w:rPr>
                <w:i/>
                <w:iCs/>
              </w:rPr>
              <w:t>Annual average model vs. seasonality of macroalgal or phytoplankton blooms</w:t>
            </w:r>
          </w:p>
          <w:p w14:paraId="1397194B" w14:textId="2BB85962" w:rsidR="00BD12A5" w:rsidRPr="008911ED" w:rsidRDefault="00BD12A5" w:rsidP="00BD12A5">
            <w:pPr>
              <w:pStyle w:val="Blueboxtext"/>
            </w:pPr>
            <w:r w:rsidRPr="008911ED">
              <w:t>The ETI uses annual average concentrations for catchment streams and rivers because it uses the annual loads and flow data from the CLUES</w:t>
            </w:r>
            <w:r w:rsidRPr="007E640A">
              <w:rPr>
                <w:vertAlign w:val="superscript"/>
              </w:rPr>
              <w:footnoteReference w:id="10"/>
            </w:r>
            <w:r w:rsidRPr="008911ED">
              <w:t xml:space="preserve"> model. Therefore, a potential limitation is that</w:t>
            </w:r>
            <w:r w:rsidR="004A7F8D">
              <w:t> </w:t>
            </w:r>
            <w:r w:rsidRPr="008911ED">
              <w:t>it may not address estuarine eutrophication at specific, critical times (e</w:t>
            </w:r>
            <w:r>
              <w:t>g</w:t>
            </w:r>
            <w:r w:rsidRPr="008911ED">
              <w:t>, summer). This</w:t>
            </w:r>
            <w:r w:rsidR="004A7F8D">
              <w:t> </w:t>
            </w:r>
            <w:r w:rsidRPr="008911ED">
              <w:t xml:space="preserve">may not be an issue for macroalgal-dominated systems because the potential TN vs. measured macroalgal responses are all derived from the summer period, when the maximum growth occurs. As such, the ETI has essentially done a calibration that predicts summer conditions using mean concentration data. To improve the seasonality aspect of ETI-derived criteria further, calibrations would need to be developed between response and seasonal loads (concentration), and these data are not currently available across a </w:t>
            </w:r>
            <w:r>
              <w:t>sufficient number of</w:t>
            </w:r>
            <w:r w:rsidR="004A7F8D">
              <w:t> </w:t>
            </w:r>
            <w:r>
              <w:t>estuaries.</w:t>
            </w:r>
          </w:p>
          <w:p w14:paraId="26B214C9" w14:textId="77777777" w:rsidR="00BD12A5" w:rsidRPr="00BD12A5" w:rsidRDefault="00BD12A5" w:rsidP="00125D40">
            <w:pPr>
              <w:pStyle w:val="Blueboxtext"/>
              <w:spacing w:before="80" w:after="0"/>
              <w:rPr>
                <w:i/>
                <w:iCs/>
              </w:rPr>
            </w:pPr>
            <w:r w:rsidRPr="00BD12A5">
              <w:rPr>
                <w:i/>
                <w:iCs/>
              </w:rPr>
              <w:t>Estuaries as a homogenous system</w:t>
            </w:r>
          </w:p>
          <w:p w14:paraId="18D421E3" w14:textId="5DC513C8" w:rsidR="00BD12A5" w:rsidRPr="008911ED" w:rsidRDefault="00BD12A5" w:rsidP="00BD12A5">
            <w:pPr>
              <w:pStyle w:val="Blueboxtext"/>
            </w:pPr>
            <w:r w:rsidRPr="008911ED">
              <w:t>The ETI (Tool 1) applies a mixing model to the estuary to yield an estimated average concentration for the entire estuary. In practice, primary producer responses to anthropogenic nutrient enrichment (from upstream FMUs) are more pronounced in areas near the head of the estuary with poor flushing. Estimated potential TN concentrations (discussed below) calculated using ETI dilution factors do not account for heterogenous nutrient environments (and associated expressions of eutrophication). The ETI has been applied at a sub-estuary scale for the Catlins Estuary which has a distinct upper and lower section (Plew and Dudley 2018). Although the ETI approach could, in theory, be pushed to incorporate limited compartment heterogeneity, the strength of the ETI approach is that it provides a rapid method for screening the nutrient susceptibility of estuaries (relative to inputs from upstream FMUs). Potential issues identified from this screening approach would be expected to trigger more in</w:t>
            </w:r>
            <w:r w:rsidR="004A7F8D">
              <w:noBreakHyphen/>
            </w:r>
            <w:r w:rsidRPr="008911ED">
              <w:t>depth, site-specific investigations. For example, if spatial resolution is important, then it would be better to use a 3D hydrodynamic model, rather than making an increasingly complicated dilution model.</w:t>
            </w:r>
          </w:p>
          <w:p w14:paraId="1D24C427" w14:textId="77777777" w:rsidR="00BD12A5" w:rsidRPr="00BD12A5" w:rsidRDefault="00BD12A5" w:rsidP="00125D40">
            <w:pPr>
              <w:pStyle w:val="Blueboxtext"/>
              <w:spacing w:before="80" w:after="0"/>
              <w:rPr>
                <w:i/>
                <w:iCs/>
              </w:rPr>
            </w:pPr>
            <w:r w:rsidRPr="00BD12A5">
              <w:rPr>
                <w:i/>
                <w:iCs/>
              </w:rPr>
              <w:t xml:space="preserve">Based on potential nitrogen concentrations </w:t>
            </w:r>
          </w:p>
          <w:p w14:paraId="2685D8F9" w14:textId="77777777" w:rsidR="00BD12A5" w:rsidRPr="008911ED" w:rsidRDefault="00BD12A5" w:rsidP="00BD12A5">
            <w:pPr>
              <w:pStyle w:val="Blueboxtext"/>
            </w:pPr>
            <w:r w:rsidRPr="008911ED">
              <w:t>Potential nutrient concentrations are concentrations in the absence of nutrient uptake or losses through biogeochemical processes, representing the trophic pressure on an estuary due to nutrient loading. These concentrations assume full mixing and homogeneity throughout the entire area defining the estuary. Actual measured concentrations will therefore not necessarily correspond to these hypothetical potential concentrations and care will need to be exercised to ensure that the appropriate concentrations are used. For example, a regional council could not substitute measured data for potential concentrations when determining the eutrophication susceptibility using the ETI. However, ETI users can:</w:t>
            </w:r>
          </w:p>
          <w:p w14:paraId="16823074" w14:textId="4C703A26" w:rsidR="00BD12A5" w:rsidRPr="00345928" w:rsidRDefault="00BD12A5" w:rsidP="00125D40">
            <w:pPr>
              <w:pStyle w:val="Blue-boxbullet"/>
              <w:spacing w:after="240"/>
            </w:pPr>
            <w:r w:rsidRPr="008911ED">
              <w:t>input their own catchment nutrient loads (measured or from models other than the default CLUES catchments loads that are used) and use the ETI to calculate different potential nitrogen concentrations for estuaries</w:t>
            </w:r>
          </w:p>
        </w:tc>
      </w:tr>
      <w:tr w:rsidR="00125D40" w14:paraId="472D1567" w14:textId="77777777" w:rsidTr="00BD12A5">
        <w:tc>
          <w:tcPr>
            <w:tcW w:w="0" w:type="auto"/>
            <w:shd w:val="clear" w:color="auto" w:fill="D2DDE2"/>
          </w:tcPr>
          <w:p w14:paraId="5A013B44" w14:textId="77777777" w:rsidR="00125D40" w:rsidRPr="008911ED" w:rsidRDefault="00125D40" w:rsidP="00125D40">
            <w:pPr>
              <w:pStyle w:val="Blue-boxbullet"/>
              <w:spacing w:before="120"/>
            </w:pPr>
            <w:r w:rsidRPr="008911ED">
              <w:lastRenderedPageBreak/>
              <w:t xml:space="preserve">derive their own potential nitrogen concentration thresholds that correspond to the trophic outcome sought for the estuary. </w:t>
            </w:r>
          </w:p>
          <w:p w14:paraId="7C4B9603" w14:textId="77777777" w:rsidR="00125D40" w:rsidRPr="00BD12A5" w:rsidRDefault="00125D40" w:rsidP="00125D40">
            <w:pPr>
              <w:pStyle w:val="Blueboxtext"/>
              <w:spacing w:before="80" w:after="0"/>
              <w:rPr>
                <w:i/>
                <w:iCs/>
              </w:rPr>
            </w:pPr>
            <w:r w:rsidRPr="00BD12A5">
              <w:rPr>
                <w:i/>
                <w:iCs/>
              </w:rPr>
              <w:t xml:space="preserve">Macroalgal- vs phytoplankton-based susceptibility banding </w:t>
            </w:r>
          </w:p>
          <w:p w14:paraId="7AC6EA05" w14:textId="77777777" w:rsidR="00125D40" w:rsidRPr="00A10C74" w:rsidRDefault="00125D40" w:rsidP="00125D40">
            <w:pPr>
              <w:pStyle w:val="Blueboxtext"/>
            </w:pPr>
            <w:r w:rsidRPr="00A10C74">
              <w:t xml:space="preserve">The ETI Tool 1 using the CLUES Estuary approach provides two eutrophication assessments, one based on susceptibility to macroalgal blooms and one based on susceptibility to phytoplankton blooms. The relative importance of each depends on the estuary type under consideration. Macroalgal blooms are most problematic in shallow estuaries with large intertidal areas. These are typically shallow intertidal dominated estuaries (SIDEs). Phytoplankton blooms (and associated eutrophic effects) are usually limited to deeper subtidal dominated estuaries (DSDEs) which have longer residence times and small intertidal areas. </w:t>
            </w:r>
          </w:p>
          <w:p w14:paraId="3C0CC89D" w14:textId="77777777" w:rsidR="00125D40" w:rsidRPr="00A10C74" w:rsidRDefault="00125D40" w:rsidP="000155FC">
            <w:pPr>
              <w:pStyle w:val="Blueboxtext"/>
              <w:spacing w:before="0" w:after="80"/>
            </w:pPr>
            <w:r w:rsidRPr="00A10C74">
              <w:t>The rules for assigning which susceptibility measure is used by the ETI are as follows:</w:t>
            </w:r>
          </w:p>
          <w:p w14:paraId="5179002F" w14:textId="77777777" w:rsidR="00125D40" w:rsidRPr="008911ED" w:rsidRDefault="00125D40" w:rsidP="000155FC">
            <w:pPr>
              <w:pStyle w:val="Blue-boxbullet"/>
              <w:spacing w:after="80"/>
            </w:pPr>
            <w:r>
              <w:t>e</w:t>
            </w:r>
            <w:r w:rsidRPr="008911ED">
              <w:t>stuaries &gt;40% intertidal area (generally SID</w:t>
            </w:r>
            <w:r>
              <w:t>Es) = macroalgal susceptibility</w:t>
            </w:r>
            <w:r w:rsidRPr="008911ED">
              <w:t xml:space="preserve"> </w:t>
            </w:r>
          </w:p>
          <w:p w14:paraId="2A08DA0D" w14:textId="77777777" w:rsidR="00125D40" w:rsidRPr="008911ED" w:rsidRDefault="00125D40" w:rsidP="000155FC">
            <w:pPr>
              <w:pStyle w:val="Blue-boxbullet"/>
              <w:spacing w:after="80"/>
            </w:pPr>
            <w:r>
              <w:t>e</w:t>
            </w:r>
            <w:r w:rsidRPr="008911ED">
              <w:t>stuaries &lt;5% intertidal area (generally DSDEs and SSRTREs</w:t>
            </w:r>
            <w:r w:rsidRPr="00907A31">
              <w:rPr>
                <w:vertAlign w:val="superscript"/>
              </w:rPr>
              <w:footnoteReference w:id="11"/>
            </w:r>
            <w:r w:rsidRPr="008911ED">
              <w:t>)</w:t>
            </w:r>
            <w:r>
              <w:t xml:space="preserve"> = phytoplankton susceptibility</w:t>
            </w:r>
          </w:p>
          <w:p w14:paraId="692EE5A7" w14:textId="2F80ACB4" w:rsidR="00125D40" w:rsidRDefault="00125D40" w:rsidP="00125D40">
            <w:pPr>
              <w:pStyle w:val="Blue-boxbullet"/>
              <w:spacing w:after="240"/>
            </w:pPr>
            <w:r>
              <w:t>o</w:t>
            </w:r>
            <w:r w:rsidRPr="008911ED">
              <w:t>ther estuaries with 5</w:t>
            </w:r>
            <w:r>
              <w:t>–</w:t>
            </w:r>
            <w:r w:rsidRPr="008911ED">
              <w:t>40% intertidal area = the lower</w:t>
            </w:r>
            <w:r w:rsidRPr="00907A31">
              <w:rPr>
                <w:vertAlign w:val="superscript"/>
              </w:rPr>
              <w:footnoteReference w:id="12"/>
            </w:r>
            <w:r w:rsidRPr="008911ED">
              <w:t xml:space="preserve"> of the two susceptibility bands.</w:t>
            </w:r>
            <w:r>
              <w:t xml:space="preserve"> </w:t>
            </w:r>
          </w:p>
        </w:tc>
      </w:tr>
    </w:tbl>
    <w:bookmarkEnd w:id="66"/>
    <w:p w14:paraId="03391DA1" w14:textId="77777777" w:rsidR="00552375" w:rsidRPr="004731EB" w:rsidRDefault="00552375" w:rsidP="004A7F8D">
      <w:pPr>
        <w:pStyle w:val="Heading5"/>
        <w:spacing w:before="360"/>
      </w:pPr>
      <w:r w:rsidRPr="007240AF">
        <w:t>Nitrogen criteria corresponding to trophic susceptibility bands</w:t>
      </w:r>
      <w:r>
        <w:t xml:space="preserve"> </w:t>
      </w:r>
    </w:p>
    <w:p w14:paraId="41324A02" w14:textId="77777777" w:rsidR="00552375" w:rsidRPr="00934A2A" w:rsidRDefault="00552375" w:rsidP="00417E57">
      <w:pPr>
        <w:pStyle w:val="Heading5"/>
        <w:jc w:val="both"/>
        <w:rPr>
          <w:sz w:val="22"/>
          <w:szCs w:val="20"/>
        </w:rPr>
      </w:pPr>
      <w:r w:rsidRPr="00934A2A">
        <w:rPr>
          <w:sz w:val="22"/>
          <w:szCs w:val="20"/>
        </w:rPr>
        <w:t>Macroalgal susceptibility</w:t>
      </w:r>
    </w:p>
    <w:p w14:paraId="414E0220" w14:textId="77777777" w:rsidR="00552375" w:rsidRPr="00A10C74" w:rsidRDefault="00552375" w:rsidP="00552375">
      <w:pPr>
        <w:pStyle w:val="BodyText"/>
      </w:pPr>
      <w:r w:rsidRPr="00A10C74">
        <w:t>This type of eutrophication susceptibility will generally be dominant in shallow estuaries with large intertidal areas. This includes most SIDE estuaries, and some SSRTRE estuaries, although the latter tend to have relatively low proportions of intertidal area (&lt;20%) which limits available habitat for growth and scope for accumulation of detached macroalgae.</w:t>
      </w:r>
    </w:p>
    <w:p w14:paraId="68B45678" w14:textId="64A63AE0" w:rsidR="00552375" w:rsidRPr="00A10C74" w:rsidRDefault="00552375" w:rsidP="00552375">
      <w:pPr>
        <w:pStyle w:val="BodyText"/>
      </w:pPr>
      <w:r w:rsidRPr="00A10C74">
        <w:t xml:space="preserve">The ETI uses the Opportunistic Macroalgal Blooming Tool (OMBT) developed by the Water Framework Directive </w:t>
      </w:r>
      <w:r>
        <w:t>–</w:t>
      </w:r>
      <w:r w:rsidRPr="00A10C74">
        <w:t xml:space="preserve"> United Kingdom Technical Advisory Group (WFD-UKTAG</w:t>
      </w:r>
      <w:r>
        <w:t>,</w:t>
      </w:r>
      <w:r w:rsidRPr="00A10C74">
        <w:t xml:space="preserve"> 2014) for transitional and coastal waters which have intertidal areas of soft sedimentary substratum (i</w:t>
      </w:r>
      <w:r>
        <w:t>e</w:t>
      </w:r>
      <w:r w:rsidRPr="00A10C74">
        <w:t>,</w:t>
      </w:r>
      <w:r w:rsidR="00417E57">
        <w:t> </w:t>
      </w:r>
      <w:r w:rsidRPr="00A10C74">
        <w:t xml:space="preserve">areas for opportunistic macroalgal growth). Adaptation of the OMBT to the New Zealand ETI is explained in detail in the NZ Estuarine Trophic Index Screening Tool </w:t>
      </w:r>
      <w:r>
        <w:t>2</w:t>
      </w:r>
      <w:r w:rsidRPr="00A10C74">
        <w:t xml:space="preserve"> </w:t>
      </w:r>
      <w:r>
        <w:t>(</w:t>
      </w:r>
      <w:r w:rsidRPr="004F6FA9">
        <w:rPr>
          <w:i/>
        </w:rPr>
        <w:t>Determining monitoring indicators and assessing estuary trophic state</w:t>
      </w:r>
      <w:r>
        <w:t xml:space="preserve">) </w:t>
      </w:r>
      <w:r w:rsidRPr="00A10C74">
        <w:t>(</w:t>
      </w:r>
      <w:r w:rsidRPr="000155FC">
        <w:t>Robertson et al., 2016b</w:t>
      </w:r>
      <w:r w:rsidRPr="00A10C74">
        <w:t>).</w:t>
      </w:r>
    </w:p>
    <w:p w14:paraId="6966396B" w14:textId="5B86AF2D" w:rsidR="00552375" w:rsidRPr="00A10C74" w:rsidRDefault="00552375" w:rsidP="00552375">
      <w:pPr>
        <w:pStyle w:val="BodyText"/>
      </w:pPr>
      <w:r w:rsidRPr="00A10C74">
        <w:t xml:space="preserve">Briefly, for macroalgal susceptibility, an ecological quality rating (EQR) is determined from estuary monitoring data. The final EQR score (0 to 1) is an equally weighted average of the following five macroalgal metrics (face values for each metric are provided in </w:t>
      </w:r>
      <w:r w:rsidRPr="00A10C74">
        <w:rPr>
          <w:highlight w:val="yellow"/>
        </w:rPr>
        <w:fldChar w:fldCharType="begin"/>
      </w:r>
      <w:r w:rsidRPr="00A10C74">
        <w:rPr>
          <w:highlight w:val="yellow"/>
        </w:rPr>
        <w:instrText xml:space="preserve"> REF _Ref519682489 \h  \* MERGEFORMAT </w:instrText>
      </w:r>
      <w:r w:rsidRPr="00A10C74">
        <w:rPr>
          <w:highlight w:val="yellow"/>
        </w:rPr>
      </w:r>
      <w:r w:rsidRPr="00A10C74">
        <w:rPr>
          <w:highlight w:val="yellow"/>
        </w:rPr>
        <w:fldChar w:fldCharType="separate"/>
      </w:r>
      <w:r w:rsidR="001A7243" w:rsidRPr="00A2293E">
        <w:t xml:space="preserve">Table </w:t>
      </w:r>
      <w:r w:rsidR="001A7243">
        <w:rPr>
          <w:noProof/>
        </w:rPr>
        <w:t>5</w:t>
      </w:r>
      <w:r w:rsidRPr="00A10C74">
        <w:rPr>
          <w:highlight w:val="yellow"/>
        </w:rPr>
        <w:fldChar w:fldCharType="end"/>
      </w:r>
      <w:r w:rsidRPr="00A10C74">
        <w:t xml:space="preserve">): </w:t>
      </w:r>
    </w:p>
    <w:p w14:paraId="11B5B96E" w14:textId="77777777" w:rsidR="00552375" w:rsidRPr="00A10C74" w:rsidRDefault="00552375" w:rsidP="00417E57">
      <w:pPr>
        <w:pStyle w:val="Bullet"/>
      </w:pPr>
      <w:r w:rsidRPr="00A10C74">
        <w:t>percentage (%) cover of the available intertidal habitat (AIH)</w:t>
      </w:r>
    </w:p>
    <w:p w14:paraId="03977899" w14:textId="77777777" w:rsidR="00552375" w:rsidRPr="00A10C74" w:rsidRDefault="00552375" w:rsidP="00417E57">
      <w:pPr>
        <w:pStyle w:val="Bullet"/>
      </w:pPr>
      <w:r w:rsidRPr="00A10C74">
        <w:t>total extent of area covered by algal mats (affected area (AA) in hectares); or affected area as a percentage (%) of the AIH (AA/AIH)</w:t>
      </w:r>
    </w:p>
    <w:p w14:paraId="64FA2B92" w14:textId="77777777" w:rsidR="00552375" w:rsidRPr="00A10C74" w:rsidRDefault="00552375" w:rsidP="00417E57">
      <w:pPr>
        <w:pStyle w:val="Bullet"/>
      </w:pPr>
      <w:r w:rsidRPr="00A10C74">
        <w:t>biomass of opportunistic macroalgae in AIH (g/m</w:t>
      </w:r>
      <w:r w:rsidRPr="007833F7">
        <w:rPr>
          <w:vertAlign w:val="superscript"/>
        </w:rPr>
        <w:t>2</w:t>
      </w:r>
      <w:r w:rsidRPr="00A10C74">
        <w:t>)</w:t>
      </w:r>
    </w:p>
    <w:p w14:paraId="6C665D66" w14:textId="77777777" w:rsidR="00552375" w:rsidRPr="00A10C74" w:rsidRDefault="00552375" w:rsidP="00417E57">
      <w:pPr>
        <w:pStyle w:val="Bullet"/>
      </w:pPr>
      <w:r w:rsidRPr="00A10C74">
        <w:t>biomass of opportunistic macroalgae in AA (g/m</w:t>
      </w:r>
      <w:r w:rsidRPr="007833F7">
        <w:rPr>
          <w:vertAlign w:val="superscript"/>
        </w:rPr>
        <w:t>2</w:t>
      </w:r>
      <w:r w:rsidRPr="00A10C74">
        <w:t>)</w:t>
      </w:r>
    </w:p>
    <w:p w14:paraId="2E19F855" w14:textId="77777777" w:rsidR="00552375" w:rsidRPr="00A10C74" w:rsidRDefault="00552375" w:rsidP="00417E57">
      <w:pPr>
        <w:pStyle w:val="Bullet"/>
      </w:pPr>
      <w:r w:rsidRPr="00A10C74">
        <w:t xml:space="preserve">presence of entrained algae (percentage of quadrats). </w:t>
      </w:r>
    </w:p>
    <w:p w14:paraId="3558AC79" w14:textId="77777777" w:rsidR="00552375" w:rsidRDefault="00552375" w:rsidP="00417E57">
      <w:pPr>
        <w:pStyle w:val="BodyText"/>
      </w:pPr>
      <w:r w:rsidRPr="00A10C74">
        <w:lastRenderedPageBreak/>
        <w:t xml:space="preserve">The ETI assigns the overall macroalgal </w:t>
      </w:r>
      <w:r w:rsidRPr="00417E57">
        <w:t>EQR</w:t>
      </w:r>
      <w:r w:rsidRPr="00A10C74">
        <w:t xml:space="preserve"> score (equally weighted average) to trophic bands</w:t>
      </w:r>
      <w:r>
        <w:t xml:space="preserve"> according to the following thresholds (OMBT qualitative descriptor in parentheses):</w:t>
      </w:r>
    </w:p>
    <w:p w14:paraId="25DD5E66" w14:textId="77777777" w:rsidR="00552375" w:rsidRPr="00A10C74" w:rsidRDefault="00552375" w:rsidP="00417E57">
      <w:pPr>
        <w:pStyle w:val="Bullet"/>
      </w:pPr>
      <w:r w:rsidRPr="00A10C74">
        <w:t>Band A</w:t>
      </w:r>
      <w:r w:rsidRPr="00A10C74">
        <w:tab/>
      </w:r>
      <w:r w:rsidRPr="00A10C74">
        <w:tab/>
        <w:t>EQR ≥0.8 to 1.0 (high)</w:t>
      </w:r>
    </w:p>
    <w:p w14:paraId="387B2AA0" w14:textId="77777777" w:rsidR="00552375" w:rsidRPr="00A10C74" w:rsidRDefault="00552375" w:rsidP="00417E57">
      <w:pPr>
        <w:pStyle w:val="Bullet"/>
      </w:pPr>
      <w:r w:rsidRPr="00A10C74">
        <w:t>Band B</w:t>
      </w:r>
      <w:r w:rsidRPr="00A10C74">
        <w:tab/>
      </w:r>
      <w:r w:rsidRPr="00A10C74">
        <w:tab/>
        <w:t>EQR ≥0.6 to &lt;0.8 (good)</w:t>
      </w:r>
    </w:p>
    <w:p w14:paraId="681EFF1C" w14:textId="77777777" w:rsidR="00552375" w:rsidRPr="00A10C74" w:rsidRDefault="00552375" w:rsidP="00417E57">
      <w:pPr>
        <w:pStyle w:val="Bullet"/>
      </w:pPr>
      <w:r w:rsidRPr="00A10C74">
        <w:t>Band C</w:t>
      </w:r>
      <w:r w:rsidRPr="00A10C74">
        <w:tab/>
      </w:r>
      <w:r w:rsidRPr="00A10C74">
        <w:tab/>
        <w:t>EQR ≥0.4 to &lt;0.6 (medium)</w:t>
      </w:r>
    </w:p>
    <w:p w14:paraId="082DBDDA" w14:textId="77777777" w:rsidR="00552375" w:rsidRPr="00417E57" w:rsidRDefault="00552375" w:rsidP="00417E57">
      <w:pPr>
        <w:pStyle w:val="Bullet"/>
      </w:pPr>
      <w:r w:rsidRPr="00417E57">
        <w:t>Band D</w:t>
      </w:r>
      <w:r w:rsidRPr="00417E57">
        <w:tab/>
        <w:t xml:space="preserve"> </w:t>
      </w:r>
      <w:r w:rsidRPr="00417E57">
        <w:tab/>
        <w:t>EQR &lt;0.4 (poor/bad</w:t>
      </w:r>
      <w:r w:rsidRPr="00417E57">
        <w:rPr>
          <w:rStyle w:val="FootnoteReference"/>
          <w:color w:val="auto"/>
        </w:rPr>
        <w:footnoteReference w:id="13"/>
      </w:r>
      <w:r w:rsidRPr="00417E57">
        <w:t>).</w:t>
      </w:r>
    </w:p>
    <w:p w14:paraId="5DD8FE27" w14:textId="4F64B9E2" w:rsidR="00552375" w:rsidRPr="00A10C74" w:rsidRDefault="00552375" w:rsidP="00417E57">
      <w:pPr>
        <w:pStyle w:val="BodyText"/>
      </w:pPr>
      <w:r w:rsidRPr="00A10C74">
        <w:t xml:space="preserve">Indicative nitrogen concentrations that correspond to the EQR band thresholds have been derived from regressions between measured EQR values for New Zealand estuaries and potential TN </w:t>
      </w:r>
      <w:r w:rsidRPr="00417E57">
        <w:t>concentrations</w:t>
      </w:r>
      <w:r w:rsidRPr="00A10C74">
        <w:t xml:space="preserve"> calculated from CLUES Estuary (</w:t>
      </w:r>
      <w:r w:rsidRPr="00A10C74">
        <w:fldChar w:fldCharType="begin"/>
      </w:r>
      <w:r w:rsidRPr="00A10C74">
        <w:instrText xml:space="preserve"> REF _Ref519671205 \h  \* MERGEFORMAT </w:instrText>
      </w:r>
      <w:r w:rsidRPr="00A10C74">
        <w:fldChar w:fldCharType="separate"/>
      </w:r>
      <w:r w:rsidR="001A7243" w:rsidRPr="00CB77FA">
        <w:t xml:space="preserve">Figure </w:t>
      </w:r>
      <w:r w:rsidR="001A7243">
        <w:rPr>
          <w:noProof/>
        </w:rPr>
        <w:t>7</w:t>
      </w:r>
      <w:r w:rsidRPr="00A10C74">
        <w:fldChar w:fldCharType="end"/>
      </w:r>
      <w:r w:rsidRPr="00A10C74">
        <w:t>). Based on available monitoring data, indicative potential TN thresholds (mg/m</w:t>
      </w:r>
      <w:r w:rsidRPr="0066116E">
        <w:rPr>
          <w:vertAlign w:val="superscript"/>
        </w:rPr>
        <w:t>3</w:t>
      </w:r>
      <w:r w:rsidRPr="00A10C74">
        <w:t xml:space="preserve">) for the macroalgal trophic susceptibility bands currently used by the ETI (Tool 1) are (Plew </w:t>
      </w:r>
      <w:r w:rsidRPr="000155FC">
        <w:t>et al., 2017</w:t>
      </w:r>
      <w:r w:rsidRPr="00A10C74">
        <w:t xml:space="preserve">): </w:t>
      </w:r>
    </w:p>
    <w:p w14:paraId="689B1394" w14:textId="77777777" w:rsidR="00552375" w:rsidRPr="007833F7" w:rsidRDefault="00552375" w:rsidP="00417E57">
      <w:pPr>
        <w:pStyle w:val="Bullet"/>
      </w:pPr>
      <w:r w:rsidRPr="007833F7">
        <w:t xml:space="preserve">Band A </w:t>
      </w:r>
      <w:r w:rsidRPr="007833F7">
        <w:tab/>
      </w:r>
      <w:r w:rsidRPr="007833F7">
        <w:tab/>
        <w:t>&lt;55 mg/m</w:t>
      </w:r>
      <w:r w:rsidRPr="007833F7">
        <w:rPr>
          <w:vertAlign w:val="superscript"/>
        </w:rPr>
        <w:t>3</w:t>
      </w:r>
    </w:p>
    <w:p w14:paraId="204B06CF" w14:textId="77777777" w:rsidR="00552375" w:rsidRPr="007833F7" w:rsidRDefault="00552375" w:rsidP="00417E57">
      <w:pPr>
        <w:pStyle w:val="Bullet"/>
      </w:pPr>
      <w:r w:rsidRPr="007833F7">
        <w:t xml:space="preserve">Band B </w:t>
      </w:r>
      <w:r w:rsidRPr="007833F7">
        <w:tab/>
      </w:r>
      <w:r w:rsidRPr="007833F7">
        <w:tab/>
      </w:r>
      <w:r w:rsidRPr="007833F7">
        <w:rPr>
          <w:rFonts w:cs="Calibri"/>
        </w:rPr>
        <w:t>≥</w:t>
      </w:r>
      <w:r w:rsidRPr="007833F7">
        <w:t>55 to &lt;110 mg/m</w:t>
      </w:r>
      <w:r w:rsidRPr="007833F7">
        <w:rPr>
          <w:vertAlign w:val="superscript"/>
        </w:rPr>
        <w:t>3</w:t>
      </w:r>
    </w:p>
    <w:p w14:paraId="7950F834" w14:textId="77777777" w:rsidR="00552375" w:rsidRPr="007833F7" w:rsidRDefault="00552375" w:rsidP="00417E57">
      <w:pPr>
        <w:pStyle w:val="Bullet"/>
      </w:pPr>
      <w:r w:rsidRPr="007833F7">
        <w:t xml:space="preserve">Band C </w:t>
      </w:r>
      <w:r w:rsidRPr="007833F7">
        <w:tab/>
      </w:r>
      <w:r w:rsidRPr="007833F7">
        <w:tab/>
      </w:r>
      <w:r w:rsidRPr="007833F7">
        <w:rPr>
          <w:rFonts w:cs="Calibri"/>
        </w:rPr>
        <w:t>≥</w:t>
      </w:r>
      <w:r w:rsidRPr="007833F7">
        <w:t>180 to &lt;350 mg/m</w:t>
      </w:r>
      <w:r w:rsidRPr="007833F7">
        <w:rPr>
          <w:vertAlign w:val="superscript"/>
        </w:rPr>
        <w:t>3</w:t>
      </w:r>
    </w:p>
    <w:p w14:paraId="324EEE42" w14:textId="56116009" w:rsidR="00552375" w:rsidRPr="007833F7" w:rsidRDefault="00552375" w:rsidP="00417E57">
      <w:pPr>
        <w:pStyle w:val="Bullet"/>
      </w:pPr>
      <w:r w:rsidRPr="007833F7">
        <w:t xml:space="preserve">Band D </w:t>
      </w:r>
      <w:r w:rsidRPr="007833F7">
        <w:tab/>
      </w:r>
      <w:r w:rsidRPr="007833F7">
        <w:tab/>
      </w:r>
      <w:r w:rsidRPr="007833F7">
        <w:rPr>
          <w:rFonts w:cs="Calibri"/>
        </w:rPr>
        <w:t>≥</w:t>
      </w:r>
      <w:r w:rsidRPr="007833F7">
        <w:t>350 mg/m</w:t>
      </w:r>
      <w:r w:rsidRPr="007833F7">
        <w:rPr>
          <w:vertAlign w:val="superscript"/>
        </w:rPr>
        <w:t>3</w:t>
      </w:r>
      <w:r w:rsidR="000155FC">
        <w:t>.</w:t>
      </w:r>
    </w:p>
    <w:p w14:paraId="19172E20" w14:textId="01F3A2F8" w:rsidR="00552375" w:rsidRPr="000155FC" w:rsidRDefault="00552375" w:rsidP="00552375">
      <w:pPr>
        <w:pStyle w:val="Tableheading"/>
      </w:pPr>
      <w:bookmarkStart w:id="68" w:name="_Ref519682489"/>
      <w:bookmarkStart w:id="69" w:name="_Toc519683022"/>
      <w:bookmarkStart w:id="70" w:name="_Toc520810477"/>
      <w:bookmarkStart w:id="71" w:name="_Toc520810681"/>
      <w:bookmarkStart w:id="72" w:name="_Toc520898754"/>
      <w:bookmarkStart w:id="73" w:name="_Toc73713301"/>
      <w:r w:rsidRPr="00A2293E">
        <w:t xml:space="preserve">Table </w:t>
      </w:r>
      <w:fldSimple w:instr=" SEQ Table \* ARABIC ">
        <w:r w:rsidR="001A7243">
          <w:rPr>
            <w:noProof/>
          </w:rPr>
          <w:t>5</w:t>
        </w:r>
      </w:fldSimple>
      <w:bookmarkEnd w:id="68"/>
      <w:r>
        <w:t>:</w:t>
      </w:r>
      <w:r>
        <w:tab/>
      </w:r>
      <w:r w:rsidRPr="00A2293E">
        <w:t>Opportunistic macroalgal blooming tool (OMBT, WFD-UKTAG</w:t>
      </w:r>
      <w:r>
        <w:t>,</w:t>
      </w:r>
      <w:r w:rsidRPr="00A2293E">
        <w:t xml:space="preserve"> 2014) values for macrolagal metrics used to assign individual macroalgal ecological quality rating (EQR)</w:t>
      </w:r>
      <w:r w:rsidR="006B52EA">
        <w:t> </w:t>
      </w:r>
      <w:r w:rsidRPr="00A2293E">
        <w:t>scores</w:t>
      </w:r>
      <w:r>
        <w:t xml:space="preserve"> of “open” estuaries</w:t>
      </w:r>
      <w:r w:rsidRPr="00A2293E">
        <w:t xml:space="preserve"> </w:t>
      </w:r>
      <w:r w:rsidRPr="000155FC">
        <w:t>(table 4 in Robertson et al., 2016b)</w:t>
      </w:r>
      <w:bookmarkEnd w:id="69"/>
      <w:bookmarkEnd w:id="70"/>
      <w:bookmarkEnd w:id="71"/>
      <w:bookmarkEnd w:id="72"/>
      <w:bookmarkEnd w:id="73"/>
      <w:r w:rsidRPr="000155FC">
        <w:t xml:space="preserve"> </w:t>
      </w:r>
    </w:p>
    <w:p w14:paraId="2951346E" w14:textId="02AA06C6" w:rsidR="00552375" w:rsidRDefault="00552375" w:rsidP="00552375">
      <w:pPr>
        <w:pStyle w:val="BodyText"/>
      </w:pPr>
      <w:r>
        <w:rPr>
          <w:noProof/>
        </w:rPr>
        <w:drawing>
          <wp:inline distT="0" distB="0" distL="0" distR="0" wp14:anchorId="7FA4F171" wp14:editId="0A69F477">
            <wp:extent cx="5400000" cy="136800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1368000"/>
                    </a:xfrm>
                    <a:prstGeom prst="rect">
                      <a:avLst/>
                    </a:prstGeom>
                  </pic:spPr>
                </pic:pic>
              </a:graphicData>
            </a:graphic>
          </wp:inline>
        </w:drawing>
      </w:r>
    </w:p>
    <w:p w14:paraId="669FBBDC" w14:textId="01BB5938" w:rsidR="00552375" w:rsidRPr="000155FC" w:rsidRDefault="00552375" w:rsidP="006B52EA">
      <w:pPr>
        <w:pStyle w:val="Figureheading"/>
        <w:spacing w:before="240"/>
      </w:pPr>
      <w:bookmarkStart w:id="74" w:name="_Ref519671205"/>
      <w:bookmarkStart w:id="75" w:name="_Toc519682843"/>
      <w:bookmarkStart w:id="76" w:name="_Toc521487714"/>
      <w:bookmarkStart w:id="77" w:name="_Toc73711480"/>
      <w:r w:rsidRPr="00CB77FA">
        <w:t xml:space="preserve">Figure </w:t>
      </w:r>
      <w:fldSimple w:instr=" SEQ Figure \* ARABIC ">
        <w:r w:rsidR="001A7243">
          <w:rPr>
            <w:noProof/>
          </w:rPr>
          <w:t>7</w:t>
        </w:r>
      </w:fldSimple>
      <w:bookmarkEnd w:id="74"/>
      <w:r w:rsidRPr="00CB77FA">
        <w:t xml:space="preserve">: </w:t>
      </w:r>
      <w:r>
        <w:tab/>
      </w:r>
      <w:r w:rsidRPr="00CB77FA">
        <w:t>Regression of measured macroalgal EQR value (NZ estuaries) and potential TN</w:t>
      </w:r>
      <w:r w:rsidR="00417E57">
        <w:t> </w:t>
      </w:r>
      <w:r w:rsidRPr="00CB77FA">
        <w:t>concentrations derived from CLUES Estuaries (</w:t>
      </w:r>
      <w:r w:rsidRPr="000155FC">
        <w:t>Plew et al., 2017)</w:t>
      </w:r>
      <w:bookmarkEnd w:id="75"/>
      <w:bookmarkEnd w:id="76"/>
      <w:bookmarkEnd w:id="77"/>
    </w:p>
    <w:p w14:paraId="18F6E03C" w14:textId="77777777" w:rsidR="00552375" w:rsidRDefault="00552375" w:rsidP="00417E57">
      <w:pPr>
        <w:pStyle w:val="BodyText"/>
        <w:spacing w:before="0"/>
        <w:jc w:val="center"/>
      </w:pPr>
      <w:r>
        <w:rPr>
          <w:noProof/>
        </w:rPr>
        <w:drawing>
          <wp:inline distT="0" distB="0" distL="0" distR="0" wp14:anchorId="32E7667C" wp14:editId="3CD7405D">
            <wp:extent cx="3321170" cy="24615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0410" cy="2490609"/>
                    </a:xfrm>
                    <a:prstGeom prst="rect">
                      <a:avLst/>
                    </a:prstGeom>
                    <a:noFill/>
                  </pic:spPr>
                </pic:pic>
              </a:graphicData>
            </a:graphic>
          </wp:inline>
        </w:drawing>
      </w:r>
    </w:p>
    <w:p w14:paraId="52051432" w14:textId="5EB31478" w:rsidR="00552375" w:rsidRDefault="00552375" w:rsidP="007B381B">
      <w:pPr>
        <w:pStyle w:val="BodyText"/>
        <w:spacing w:after="100"/>
      </w:pPr>
      <w:r w:rsidRPr="007833F7">
        <w:lastRenderedPageBreak/>
        <w:t xml:space="preserve">These are indicative potential nitrogen thresholds that are a useful starting point for regional councils undertaking screening-level assessments of nutrient susceptibility of their estuarine receiving </w:t>
      </w:r>
      <w:r w:rsidRPr="00417E57">
        <w:t>environments</w:t>
      </w:r>
      <w:r w:rsidRPr="007833F7">
        <w:t>. It is recommended regional councils (over time) amend or derive relevant estuarine-specific nitrogen criteria for their estuaries; particularly those indicated as having nutrient criteria that will not be met by instream criteria (to meet periphyton and other freshwater</w:t>
      </w:r>
      <w:r>
        <w:t xml:space="preserve"> objectives) in upstream FMUs (refer to step (c)).</w:t>
      </w:r>
      <w:r w:rsidR="00DD47E9">
        <w:t xml:space="preserve"> </w:t>
      </w:r>
    </w:p>
    <w:p w14:paraId="27E4970F" w14:textId="77777777" w:rsidR="00552375" w:rsidRPr="006B52EA" w:rsidRDefault="00552375" w:rsidP="006B52EA">
      <w:pPr>
        <w:pStyle w:val="Heading5"/>
        <w:rPr>
          <w:sz w:val="22"/>
          <w:szCs w:val="20"/>
        </w:rPr>
      </w:pPr>
      <w:r w:rsidRPr="006B52EA">
        <w:rPr>
          <w:sz w:val="22"/>
          <w:szCs w:val="20"/>
        </w:rPr>
        <w:t xml:space="preserve">Phytoplankton susceptibility </w:t>
      </w:r>
    </w:p>
    <w:p w14:paraId="0783EC93" w14:textId="77777777" w:rsidR="00552375" w:rsidRPr="00803A4B" w:rsidRDefault="00552375" w:rsidP="007B381B">
      <w:pPr>
        <w:pStyle w:val="BodyText"/>
        <w:spacing w:after="100"/>
      </w:pPr>
      <w:r w:rsidRPr="00803A4B">
        <w:t>Generally, this type of eutrophication susceptibility will be dominant in deeper subtidal dominated estuaries (DSDEs).</w:t>
      </w:r>
    </w:p>
    <w:p w14:paraId="6B1779DF" w14:textId="77777777" w:rsidR="00552375" w:rsidRPr="00803A4B" w:rsidRDefault="00552375" w:rsidP="007B381B">
      <w:pPr>
        <w:pStyle w:val="BodyText"/>
        <w:spacing w:after="100"/>
      </w:pPr>
      <w:r w:rsidRPr="00803A4B">
        <w:t>Phytoplankton susceptibility bands are based on predicted phytoplankton biomass (in the form of chl-</w:t>
      </w:r>
      <w:r w:rsidRPr="0020267F">
        <w:rPr>
          <w:i/>
        </w:rPr>
        <w:t>a</w:t>
      </w:r>
      <w:r w:rsidRPr="00803A4B">
        <w:t xml:space="preserve"> concentrations) using a simple growth model that incorporates potential nitrogen concentration and flushing time (Eppley </w:t>
      </w:r>
      <w:r w:rsidRPr="000155FC">
        <w:t>et al., 1969; Ferreira et al., 2005).</w:t>
      </w:r>
      <w:r w:rsidRPr="00803A4B">
        <w:t xml:space="preserve"> Phytoplankton trophic bands (as chl-</w:t>
      </w:r>
      <w:r w:rsidRPr="0020267F">
        <w:rPr>
          <w:i/>
        </w:rPr>
        <w:t>a</w:t>
      </w:r>
      <w:r w:rsidRPr="00803A4B">
        <w:t>) are defined as follows:</w:t>
      </w:r>
    </w:p>
    <w:p w14:paraId="7EAB623C" w14:textId="77777777" w:rsidR="00552375" w:rsidRPr="00803A4B" w:rsidRDefault="00552375" w:rsidP="006B52EA">
      <w:pPr>
        <w:pStyle w:val="Bullet"/>
      </w:pPr>
      <w:r w:rsidRPr="00803A4B">
        <w:t>Band A</w:t>
      </w:r>
      <w:r w:rsidRPr="00803A4B">
        <w:tab/>
      </w:r>
      <w:r w:rsidRPr="00803A4B">
        <w:tab/>
        <w:t>&lt;5 mg/m</w:t>
      </w:r>
      <w:r w:rsidRPr="00803A4B">
        <w:rPr>
          <w:vertAlign w:val="superscript"/>
        </w:rPr>
        <w:t>3</w:t>
      </w:r>
      <w:r w:rsidRPr="00803A4B">
        <w:t xml:space="preserve"> chl-</w:t>
      </w:r>
      <w:r w:rsidRPr="0020267F">
        <w:rPr>
          <w:i/>
        </w:rPr>
        <w:t>a</w:t>
      </w:r>
    </w:p>
    <w:p w14:paraId="0FE48C50" w14:textId="77777777" w:rsidR="00552375" w:rsidRPr="00803A4B" w:rsidRDefault="00552375" w:rsidP="006B52EA">
      <w:pPr>
        <w:pStyle w:val="Bullet"/>
      </w:pPr>
      <w:r w:rsidRPr="00803A4B">
        <w:t>Band B</w:t>
      </w:r>
      <w:r w:rsidRPr="00803A4B">
        <w:tab/>
      </w:r>
      <w:r w:rsidRPr="00803A4B">
        <w:tab/>
        <w:t>≥5 to &lt;10 mg/m</w:t>
      </w:r>
      <w:r w:rsidRPr="00803A4B">
        <w:rPr>
          <w:vertAlign w:val="superscript"/>
        </w:rPr>
        <w:t>3</w:t>
      </w:r>
      <w:r w:rsidRPr="00803A4B">
        <w:t xml:space="preserve"> chl-</w:t>
      </w:r>
      <w:r w:rsidRPr="0020267F">
        <w:rPr>
          <w:i/>
        </w:rPr>
        <w:t>a</w:t>
      </w:r>
    </w:p>
    <w:p w14:paraId="4DE79DEC" w14:textId="77777777" w:rsidR="00552375" w:rsidRPr="00803A4B" w:rsidRDefault="00552375" w:rsidP="006B52EA">
      <w:pPr>
        <w:pStyle w:val="Bullet"/>
      </w:pPr>
      <w:r w:rsidRPr="00803A4B">
        <w:t>Band C</w:t>
      </w:r>
      <w:r w:rsidRPr="00803A4B">
        <w:tab/>
      </w:r>
      <w:r w:rsidRPr="00803A4B">
        <w:tab/>
        <w:t>≥10 to &lt;16 mg/m</w:t>
      </w:r>
      <w:r w:rsidRPr="00803A4B">
        <w:rPr>
          <w:vertAlign w:val="superscript"/>
        </w:rPr>
        <w:t>3</w:t>
      </w:r>
      <w:r w:rsidRPr="00803A4B">
        <w:t xml:space="preserve"> chl-</w:t>
      </w:r>
      <w:r w:rsidRPr="0020267F">
        <w:rPr>
          <w:i/>
        </w:rPr>
        <w:t>a</w:t>
      </w:r>
    </w:p>
    <w:p w14:paraId="49A23DCD" w14:textId="77777777" w:rsidR="00552375" w:rsidRPr="00803A4B" w:rsidRDefault="00552375" w:rsidP="007B381B">
      <w:pPr>
        <w:pStyle w:val="Bullet"/>
        <w:spacing w:after="100"/>
      </w:pPr>
      <w:r w:rsidRPr="00803A4B">
        <w:t>Band D</w:t>
      </w:r>
      <w:r w:rsidRPr="00803A4B">
        <w:tab/>
      </w:r>
      <w:r w:rsidRPr="00803A4B">
        <w:tab/>
        <w:t>≥16 mg/m</w:t>
      </w:r>
      <w:r w:rsidRPr="00803A4B">
        <w:rPr>
          <w:vertAlign w:val="superscript"/>
        </w:rPr>
        <w:t>3</w:t>
      </w:r>
      <w:r w:rsidRPr="00803A4B">
        <w:t xml:space="preserve"> chl-</w:t>
      </w:r>
      <w:r w:rsidRPr="0020267F">
        <w:rPr>
          <w:i/>
        </w:rPr>
        <w:t>a</w:t>
      </w:r>
      <w:r w:rsidRPr="00803A4B">
        <w:t>.</w:t>
      </w:r>
    </w:p>
    <w:p w14:paraId="7029BDDB" w14:textId="1E95F4F7" w:rsidR="00552375" w:rsidRPr="00803A4B" w:rsidRDefault="00552375" w:rsidP="007B381B">
      <w:pPr>
        <w:pStyle w:val="BodyText"/>
        <w:spacing w:after="100"/>
      </w:pPr>
      <w:r w:rsidRPr="00803A4B">
        <w:t xml:space="preserve">The predicted bandings are displayed as contours in </w:t>
      </w:r>
      <w:r w:rsidRPr="00803A4B">
        <w:fldChar w:fldCharType="begin"/>
      </w:r>
      <w:r w:rsidRPr="00803A4B">
        <w:instrText xml:space="preserve"> REF _Ref517907243 \h  \* MERGEFORMAT </w:instrText>
      </w:r>
      <w:r w:rsidRPr="00803A4B">
        <w:fldChar w:fldCharType="separate"/>
      </w:r>
      <w:r w:rsidR="001A7243" w:rsidRPr="00FB2379">
        <w:t xml:space="preserve">Figure </w:t>
      </w:r>
      <w:r w:rsidR="001A7243">
        <w:rPr>
          <w:noProof/>
        </w:rPr>
        <w:t>8</w:t>
      </w:r>
      <w:r w:rsidRPr="00803A4B">
        <w:fldChar w:fldCharType="end"/>
      </w:r>
      <w:r w:rsidR="000155FC">
        <w:t>.</w:t>
      </w:r>
    </w:p>
    <w:p w14:paraId="0C657957" w14:textId="1C65783E" w:rsidR="00552375" w:rsidRPr="00803A4B" w:rsidRDefault="00552375" w:rsidP="007B381B">
      <w:pPr>
        <w:pStyle w:val="BodyText"/>
        <w:spacing w:after="100"/>
      </w:pPr>
      <w:r w:rsidRPr="00803A4B">
        <w:t>Flushing time is an important parameter controlling phytoplankton concentrations. Even in</w:t>
      </w:r>
      <w:r w:rsidR="006B52EA">
        <w:t> </w:t>
      </w:r>
      <w:r w:rsidRPr="00803A4B">
        <w:t>the</w:t>
      </w:r>
      <w:r w:rsidR="006B52EA">
        <w:t> </w:t>
      </w:r>
      <w:r w:rsidRPr="00803A4B">
        <w:t>presence of high nitrogen concentrations (i</w:t>
      </w:r>
      <w:r>
        <w:t>e</w:t>
      </w:r>
      <w:r w:rsidRPr="00803A4B">
        <w:t>, at or above growth saturation), short flushing</w:t>
      </w:r>
      <w:r w:rsidR="006B52EA">
        <w:t> </w:t>
      </w:r>
      <w:r w:rsidRPr="00803A4B">
        <w:t>times do not provide enough time for phytoplankton to assimilate nutrients and reach</w:t>
      </w:r>
      <w:r w:rsidR="006B52EA">
        <w:t> </w:t>
      </w:r>
      <w:r w:rsidRPr="00803A4B">
        <w:t>problematic concentrations. For example, the model predicts no significant growth of</w:t>
      </w:r>
      <w:r w:rsidR="006B52EA">
        <w:t> </w:t>
      </w:r>
      <w:r w:rsidRPr="00803A4B">
        <w:t>phytoplankton (&lt;5 mg/m</w:t>
      </w:r>
      <w:r w:rsidRPr="000855B3">
        <w:rPr>
          <w:vertAlign w:val="superscript"/>
        </w:rPr>
        <w:t>3</w:t>
      </w:r>
      <w:r w:rsidRPr="00803A4B">
        <w:t xml:space="preserve"> chl-</w:t>
      </w:r>
      <w:r w:rsidRPr="0020267F">
        <w:rPr>
          <w:i/>
        </w:rPr>
        <w:t>a</w:t>
      </w:r>
      <w:r w:rsidRPr="00803A4B">
        <w:t>) for short flushing times (e</w:t>
      </w:r>
      <w:r>
        <w:t>g</w:t>
      </w:r>
      <w:r w:rsidRPr="00803A4B">
        <w:t>, 3 days or less) at potential nitrogen concentrations up to 500 mg/m</w:t>
      </w:r>
      <w:r w:rsidRPr="000855B3">
        <w:rPr>
          <w:vertAlign w:val="superscript"/>
        </w:rPr>
        <w:t>3</w:t>
      </w:r>
      <w:r w:rsidRPr="00803A4B">
        <w:t xml:space="preserve"> (refer to A-band, </w:t>
      </w:r>
      <w:r w:rsidRPr="00803A4B">
        <w:fldChar w:fldCharType="begin"/>
      </w:r>
      <w:r w:rsidRPr="00803A4B">
        <w:instrText xml:space="preserve"> REF _Ref517907243 \h  \* MERGEFORMAT </w:instrText>
      </w:r>
      <w:r w:rsidRPr="00803A4B">
        <w:fldChar w:fldCharType="separate"/>
      </w:r>
      <w:r w:rsidR="001A7243" w:rsidRPr="00FB2379">
        <w:t xml:space="preserve">Figure </w:t>
      </w:r>
      <w:r w:rsidR="001A7243">
        <w:rPr>
          <w:noProof/>
        </w:rPr>
        <w:t>8</w:t>
      </w:r>
      <w:r w:rsidRPr="00803A4B">
        <w:fldChar w:fldCharType="end"/>
      </w:r>
      <w:r w:rsidRPr="00803A4B">
        <w:t>). As flushing times increase to greater than 3</w:t>
      </w:r>
      <w:r>
        <w:t>–</w:t>
      </w:r>
      <w:r w:rsidRPr="00803A4B">
        <w:t xml:space="preserve">4 days, the band thresholds are predicted to be relatively independent of flushing time, which is evident from the largely horizontal boundaries between the bands in this region shown in </w:t>
      </w:r>
      <w:r w:rsidRPr="00803A4B">
        <w:fldChar w:fldCharType="begin"/>
      </w:r>
      <w:r w:rsidRPr="00803A4B">
        <w:instrText xml:space="preserve"> REF _Ref517907243 \h  \* MERGEFORMAT </w:instrText>
      </w:r>
      <w:r w:rsidRPr="00803A4B">
        <w:fldChar w:fldCharType="separate"/>
      </w:r>
      <w:r w:rsidR="001A7243" w:rsidRPr="00FB2379">
        <w:t xml:space="preserve">Figure </w:t>
      </w:r>
      <w:r w:rsidR="001A7243">
        <w:rPr>
          <w:noProof/>
        </w:rPr>
        <w:t>8</w:t>
      </w:r>
      <w:r w:rsidRPr="00803A4B">
        <w:fldChar w:fldCharType="end"/>
      </w:r>
      <w:r w:rsidRPr="00803A4B">
        <w:t xml:space="preserve">. </w:t>
      </w:r>
    </w:p>
    <w:p w14:paraId="2BECBEF8" w14:textId="44B35DF6" w:rsidR="00552375" w:rsidRPr="00803A4B" w:rsidRDefault="00552375" w:rsidP="007B381B">
      <w:pPr>
        <w:pStyle w:val="BodyText"/>
        <w:spacing w:after="100"/>
      </w:pPr>
      <w:r w:rsidRPr="00803A4B">
        <w:t>For estuaries with flushing times &gt;3-4 days the indicative potential TN concentrations corresponding to A-D bands for estuarine phytoplankton concentrations are provided alongside</w:t>
      </w:r>
      <w:r w:rsidR="006B52EA">
        <w:t> </w:t>
      </w:r>
      <w:r w:rsidRPr="00803A4B">
        <w:t xml:space="preserve">the macroalgal TN criteria in </w:t>
      </w:r>
      <w:r w:rsidRPr="00803A4B">
        <w:fldChar w:fldCharType="begin"/>
      </w:r>
      <w:r w:rsidRPr="00803A4B">
        <w:instrText xml:space="preserve"> REF _Ref517912071 \h  \* MERGEFORMAT </w:instrText>
      </w:r>
      <w:r w:rsidRPr="00803A4B">
        <w:fldChar w:fldCharType="separate"/>
      </w:r>
      <w:r w:rsidR="001A7243" w:rsidRPr="00FB2379">
        <w:t xml:space="preserve">Table </w:t>
      </w:r>
      <w:r w:rsidR="001A7243">
        <w:rPr>
          <w:noProof/>
        </w:rPr>
        <w:t>6</w:t>
      </w:r>
      <w:r w:rsidRPr="00803A4B">
        <w:fldChar w:fldCharType="end"/>
      </w:r>
      <w:r w:rsidRPr="00803A4B">
        <w:t>.</w:t>
      </w:r>
    </w:p>
    <w:p w14:paraId="34670B0F" w14:textId="0D54E054" w:rsidR="00552375" w:rsidRPr="00283492" w:rsidRDefault="00552375" w:rsidP="00552375">
      <w:pPr>
        <w:pStyle w:val="Figureheading"/>
      </w:pPr>
      <w:bookmarkStart w:id="78" w:name="_Ref517907243"/>
      <w:bookmarkStart w:id="79" w:name="_Toc519682844"/>
      <w:bookmarkStart w:id="80" w:name="_Ref519683422"/>
      <w:bookmarkStart w:id="81" w:name="_Toc521487715"/>
      <w:bookmarkStart w:id="82" w:name="_Toc73711481"/>
      <w:r w:rsidRPr="00FB2379">
        <w:t xml:space="preserve">Figure </w:t>
      </w:r>
      <w:fldSimple w:instr=" SEQ Figure \* ARABIC ">
        <w:r w:rsidR="001A7243">
          <w:rPr>
            <w:noProof/>
          </w:rPr>
          <w:t>8</w:t>
        </w:r>
      </w:fldSimple>
      <w:bookmarkEnd w:id="78"/>
      <w:r>
        <w:t>:</w:t>
      </w:r>
      <w:r>
        <w:tab/>
      </w:r>
      <w:r w:rsidRPr="00FB2379">
        <w:t xml:space="preserve">Phytoplankton trophic bands (or ‘zones’) as a function of </w:t>
      </w:r>
      <w:r w:rsidRPr="00FB2379">
        <w:rPr>
          <w:i/>
        </w:rPr>
        <w:t>potential</w:t>
      </w:r>
      <w:r w:rsidRPr="00FB2379">
        <w:t xml:space="preserve"> TN concentrations and estuary flushing time (days</w:t>
      </w:r>
      <w:r>
        <w:t>). T</w:t>
      </w:r>
      <w:r w:rsidRPr="00283492">
        <w:t xml:space="preserve">aken from </w:t>
      </w:r>
      <w:r w:rsidRPr="000155FC">
        <w:t>Plew et al. (2017</w:t>
      </w:r>
      <w:r w:rsidRPr="00283492">
        <w:t>)</w:t>
      </w:r>
      <w:bookmarkEnd w:id="79"/>
      <w:bookmarkEnd w:id="80"/>
      <w:bookmarkEnd w:id="81"/>
      <w:bookmarkEnd w:id="82"/>
    </w:p>
    <w:p w14:paraId="7020058E" w14:textId="77777777" w:rsidR="00552375" w:rsidRDefault="00552375" w:rsidP="006B52EA">
      <w:pPr>
        <w:pStyle w:val="BodyText"/>
        <w:spacing w:before="0"/>
        <w:jc w:val="center"/>
      </w:pPr>
      <w:r>
        <w:rPr>
          <w:noProof/>
        </w:rPr>
        <w:drawing>
          <wp:inline distT="0" distB="0" distL="0" distR="0" wp14:anchorId="0486C932" wp14:editId="75725E58">
            <wp:extent cx="3052689" cy="2151327"/>
            <wp:effectExtent l="0" t="0" r="0" b="1905"/>
            <wp:docPr id="16" name="Picture 16">
              <a:extLst xmlns:a="http://schemas.openxmlformats.org/drawingml/2006/main">
                <a:ext uri="{FF2B5EF4-FFF2-40B4-BE49-F238E27FC236}">
                  <a16:creationId xmlns:a16="http://schemas.microsoft.com/office/drawing/2014/main" id="{2276D78C-80A1-48C4-A4DB-AC08CE920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276D78C-80A1-48C4-A4DB-AC08CE9201C5}"/>
                        </a:ext>
                      </a:extLst>
                    </pic:cNvPr>
                    <pic:cNvPicPr>
                      <a:picLocks noChangeAspect="1"/>
                    </pic:cNvPicPr>
                  </pic:nvPicPr>
                  <pic:blipFill rotWithShape="1">
                    <a:blip r:embed="rId47" cstate="print">
                      <a:extLst>
                        <a:ext uri="{28A0092B-C50C-407E-A947-70E740481C1C}">
                          <a14:useLocalDpi xmlns:a14="http://schemas.microsoft.com/office/drawing/2010/main"/>
                        </a:ext>
                      </a:extLst>
                    </a:blip>
                    <a:srcRect t="6064"/>
                    <a:stretch/>
                  </pic:blipFill>
                  <pic:spPr>
                    <a:xfrm>
                      <a:off x="0" y="0"/>
                      <a:ext cx="3092241" cy="2179201"/>
                    </a:xfrm>
                    <a:prstGeom prst="rect">
                      <a:avLst/>
                    </a:prstGeom>
                  </pic:spPr>
                </pic:pic>
              </a:graphicData>
            </a:graphic>
          </wp:inline>
        </w:drawing>
      </w:r>
    </w:p>
    <w:p w14:paraId="178200E4" w14:textId="3DB15787" w:rsidR="00552375" w:rsidRPr="00FB2379" w:rsidRDefault="00552375" w:rsidP="00552375">
      <w:pPr>
        <w:pStyle w:val="Tableheading"/>
      </w:pPr>
      <w:bookmarkStart w:id="83" w:name="_Ref517912071"/>
      <w:bookmarkStart w:id="84" w:name="_Toc519683023"/>
      <w:bookmarkStart w:id="85" w:name="_Toc520810478"/>
      <w:bookmarkStart w:id="86" w:name="_Toc520810682"/>
      <w:bookmarkStart w:id="87" w:name="_Toc520898755"/>
      <w:bookmarkStart w:id="88" w:name="_Toc73713302"/>
      <w:r w:rsidRPr="00FB2379">
        <w:lastRenderedPageBreak/>
        <w:t xml:space="preserve">Table </w:t>
      </w:r>
      <w:fldSimple w:instr=" SEQ Table \* ARABIC ">
        <w:r w:rsidR="001A7243">
          <w:rPr>
            <w:noProof/>
          </w:rPr>
          <w:t>6</w:t>
        </w:r>
      </w:fldSimple>
      <w:bookmarkEnd w:id="83"/>
      <w:r>
        <w:t>:</w:t>
      </w:r>
      <w:r>
        <w:tab/>
      </w:r>
      <w:r w:rsidRPr="00FB2379">
        <w:t xml:space="preserve">Indicative </w:t>
      </w:r>
      <w:r w:rsidRPr="00FB2379">
        <w:rPr>
          <w:i/>
        </w:rPr>
        <w:t xml:space="preserve">potential </w:t>
      </w:r>
      <w:r w:rsidRPr="00FB2379">
        <w:t>TN threshold concentrations (mg/m</w:t>
      </w:r>
      <w:r w:rsidRPr="00FB2379">
        <w:rPr>
          <w:vertAlign w:val="superscript"/>
        </w:rPr>
        <w:t>3</w:t>
      </w:r>
      <w:r w:rsidRPr="00FB2379">
        <w:t xml:space="preserve">) for macroalgal and phytoplankton trophic-states in New Zealand estuaries. </w:t>
      </w:r>
      <w:r w:rsidRPr="00283492">
        <w:t xml:space="preserve">Values derived from </w:t>
      </w:r>
      <w:r w:rsidR="007B381B">
        <w:br/>
      </w:r>
      <w:r w:rsidRPr="00DB07F2">
        <w:t>Plew et al. (2017)</w:t>
      </w:r>
      <w:bookmarkEnd w:id="84"/>
      <w:bookmarkEnd w:id="85"/>
      <w:bookmarkEnd w:id="86"/>
      <w:bookmarkEnd w:id="87"/>
      <w:bookmarkEnd w:id="88"/>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691"/>
        <w:gridCol w:w="3101"/>
        <w:gridCol w:w="1832"/>
        <w:gridCol w:w="1881"/>
      </w:tblGrid>
      <w:tr w:rsidR="00E85E3C" w14:paraId="555D32A5" w14:textId="77777777" w:rsidTr="003740A2">
        <w:trPr>
          <w:tblHeader/>
        </w:trPr>
        <w:tc>
          <w:tcPr>
            <w:tcW w:w="994" w:type="pct"/>
            <w:vMerge w:val="restart"/>
            <w:shd w:val="clear" w:color="auto" w:fill="1C556C" w:themeFill="accent1"/>
            <w:vAlign w:val="bottom"/>
          </w:tcPr>
          <w:p w14:paraId="7168D84F" w14:textId="77777777" w:rsidR="00E85E3C" w:rsidRPr="00A73245" w:rsidRDefault="00E85E3C" w:rsidP="00552375">
            <w:pPr>
              <w:pStyle w:val="TableTextbold"/>
              <w:rPr>
                <w:color w:val="FFFFFF" w:themeColor="background1"/>
              </w:rPr>
            </w:pPr>
            <w:r>
              <w:rPr>
                <w:color w:val="FFFFFF" w:themeColor="background1"/>
              </w:rPr>
              <w:t>Trophic-state band</w:t>
            </w:r>
          </w:p>
        </w:tc>
        <w:tc>
          <w:tcPr>
            <w:tcW w:w="1823" w:type="pct"/>
            <w:vMerge w:val="restart"/>
            <w:shd w:val="clear" w:color="auto" w:fill="1C556C" w:themeFill="accent1"/>
            <w:vAlign w:val="bottom"/>
          </w:tcPr>
          <w:p w14:paraId="5E3F325A" w14:textId="77777777" w:rsidR="00E85E3C" w:rsidRPr="00A73245" w:rsidRDefault="00E85E3C" w:rsidP="00552375">
            <w:pPr>
              <w:pStyle w:val="TableTextbold"/>
              <w:rPr>
                <w:color w:val="FFFFFF" w:themeColor="background1"/>
              </w:rPr>
            </w:pPr>
            <w:r>
              <w:rPr>
                <w:color w:val="FFFFFF" w:themeColor="background1"/>
              </w:rPr>
              <w:t>Band narrative</w:t>
            </w:r>
          </w:p>
        </w:tc>
        <w:tc>
          <w:tcPr>
            <w:tcW w:w="2183" w:type="pct"/>
            <w:gridSpan w:val="2"/>
            <w:shd w:val="clear" w:color="auto" w:fill="1C556C" w:themeFill="accent1"/>
          </w:tcPr>
          <w:p w14:paraId="397B9703" w14:textId="77777777" w:rsidR="00E85E3C" w:rsidRDefault="00E85E3C" w:rsidP="00E85E3C">
            <w:pPr>
              <w:pStyle w:val="TableTextbold"/>
              <w:spacing w:after="0"/>
              <w:jc w:val="center"/>
              <w:rPr>
                <w:color w:val="FFFFFF" w:themeColor="background1"/>
              </w:rPr>
            </w:pPr>
            <w:r>
              <w:rPr>
                <w:color w:val="FFFFFF" w:themeColor="background1"/>
              </w:rPr>
              <w:t>Potential TN concentration (mg/m</w:t>
            </w:r>
            <w:r w:rsidRPr="000F7AFA">
              <w:rPr>
                <w:color w:val="FFFFFF" w:themeColor="background1"/>
                <w:vertAlign w:val="superscript"/>
              </w:rPr>
              <w:t>3</w:t>
            </w:r>
            <w:r>
              <w:rPr>
                <w:color w:val="FFFFFF" w:themeColor="background1"/>
              </w:rPr>
              <w:t>)</w:t>
            </w:r>
          </w:p>
        </w:tc>
      </w:tr>
      <w:tr w:rsidR="00E85E3C" w14:paraId="50D013F6" w14:textId="77777777" w:rsidTr="003740A2">
        <w:trPr>
          <w:tblHeader/>
        </w:trPr>
        <w:tc>
          <w:tcPr>
            <w:tcW w:w="994" w:type="pct"/>
            <w:vMerge/>
            <w:shd w:val="clear" w:color="auto" w:fill="1C556C" w:themeFill="accent1"/>
          </w:tcPr>
          <w:p w14:paraId="736CB4A3" w14:textId="77777777" w:rsidR="00E85E3C" w:rsidRPr="00A73245" w:rsidRDefault="00E85E3C" w:rsidP="00552375">
            <w:pPr>
              <w:pStyle w:val="TableTextbold"/>
              <w:rPr>
                <w:color w:val="FFFFFF" w:themeColor="background1"/>
              </w:rPr>
            </w:pPr>
          </w:p>
        </w:tc>
        <w:tc>
          <w:tcPr>
            <w:tcW w:w="1823" w:type="pct"/>
            <w:vMerge/>
            <w:shd w:val="clear" w:color="auto" w:fill="1C556C" w:themeFill="accent1"/>
          </w:tcPr>
          <w:p w14:paraId="2C5AC31B" w14:textId="77777777" w:rsidR="00E85E3C" w:rsidRPr="00A73245" w:rsidRDefault="00E85E3C" w:rsidP="00552375">
            <w:pPr>
              <w:pStyle w:val="TableTextbold"/>
              <w:rPr>
                <w:color w:val="FFFFFF" w:themeColor="background1"/>
              </w:rPr>
            </w:pPr>
          </w:p>
        </w:tc>
        <w:tc>
          <w:tcPr>
            <w:tcW w:w="1077" w:type="pct"/>
            <w:shd w:val="clear" w:color="auto" w:fill="1C556C" w:themeFill="accent1"/>
          </w:tcPr>
          <w:p w14:paraId="30FBC03F" w14:textId="77777777" w:rsidR="00E85E3C" w:rsidRPr="00A73245" w:rsidRDefault="00E85E3C" w:rsidP="00552375">
            <w:pPr>
              <w:pStyle w:val="TableTextbold"/>
              <w:rPr>
                <w:color w:val="FFFFFF" w:themeColor="background1"/>
              </w:rPr>
            </w:pPr>
            <w:r>
              <w:rPr>
                <w:color w:val="FFFFFF" w:themeColor="background1"/>
              </w:rPr>
              <w:t>Macroalgal-dominated systems</w:t>
            </w:r>
          </w:p>
        </w:tc>
        <w:tc>
          <w:tcPr>
            <w:tcW w:w="1106" w:type="pct"/>
            <w:shd w:val="clear" w:color="auto" w:fill="1C556C" w:themeFill="accent1"/>
          </w:tcPr>
          <w:p w14:paraId="450AF7C5" w14:textId="77777777" w:rsidR="00E85E3C" w:rsidRDefault="00E85E3C" w:rsidP="00552375">
            <w:pPr>
              <w:pStyle w:val="TableTextbold"/>
              <w:rPr>
                <w:color w:val="FFFFFF" w:themeColor="background1"/>
              </w:rPr>
            </w:pPr>
            <w:r>
              <w:rPr>
                <w:color w:val="FFFFFF" w:themeColor="background1"/>
              </w:rPr>
              <w:t>Phytoplankton-dominated systems</w:t>
            </w:r>
          </w:p>
        </w:tc>
      </w:tr>
      <w:tr w:rsidR="00552375" w:rsidRPr="006B4810" w14:paraId="09BE4D56" w14:textId="77777777" w:rsidTr="003740A2">
        <w:tc>
          <w:tcPr>
            <w:tcW w:w="994" w:type="pct"/>
            <w:shd w:val="clear" w:color="auto" w:fill="auto"/>
          </w:tcPr>
          <w:p w14:paraId="599AA493" w14:textId="77777777" w:rsidR="00552375" w:rsidRPr="00FB2E20" w:rsidRDefault="00552375" w:rsidP="00552375">
            <w:pPr>
              <w:pStyle w:val="TableText"/>
            </w:pPr>
            <w:r>
              <w:t>A</w:t>
            </w:r>
          </w:p>
        </w:tc>
        <w:tc>
          <w:tcPr>
            <w:tcW w:w="1823" w:type="pct"/>
            <w:shd w:val="clear" w:color="auto" w:fill="auto"/>
          </w:tcPr>
          <w:p w14:paraId="1CA87DEF" w14:textId="77777777" w:rsidR="00552375" w:rsidRPr="006B4810" w:rsidRDefault="00552375" w:rsidP="00552375">
            <w:pPr>
              <w:pStyle w:val="TableText"/>
            </w:pPr>
            <w:r w:rsidRPr="000C0E1A">
              <w:rPr>
                <w:szCs w:val="18"/>
                <w:lang w:val="en-US"/>
              </w:rPr>
              <w:t>near reference</w:t>
            </w:r>
          </w:p>
        </w:tc>
        <w:tc>
          <w:tcPr>
            <w:tcW w:w="1077" w:type="pct"/>
          </w:tcPr>
          <w:p w14:paraId="06F40E33" w14:textId="77777777" w:rsidR="00552375" w:rsidRPr="006B4810" w:rsidRDefault="00552375" w:rsidP="00552375">
            <w:pPr>
              <w:pStyle w:val="TableText"/>
            </w:pPr>
            <w:r w:rsidRPr="000C0E1A">
              <w:rPr>
                <w:szCs w:val="18"/>
                <w:lang w:val="en-US"/>
              </w:rPr>
              <w:t>&lt;55</w:t>
            </w:r>
          </w:p>
        </w:tc>
        <w:tc>
          <w:tcPr>
            <w:tcW w:w="1106" w:type="pct"/>
          </w:tcPr>
          <w:p w14:paraId="5BD15BDE" w14:textId="77777777" w:rsidR="00552375" w:rsidRPr="006B4810" w:rsidRDefault="00552375" w:rsidP="00552375">
            <w:pPr>
              <w:pStyle w:val="TableText"/>
            </w:pPr>
            <w:r w:rsidRPr="000C0E1A">
              <w:rPr>
                <w:szCs w:val="18"/>
              </w:rPr>
              <w:t xml:space="preserve">&lt;50 </w:t>
            </w:r>
          </w:p>
        </w:tc>
      </w:tr>
      <w:tr w:rsidR="00552375" w14:paraId="658EF0F6" w14:textId="77777777" w:rsidTr="003740A2">
        <w:tc>
          <w:tcPr>
            <w:tcW w:w="994" w:type="pct"/>
            <w:shd w:val="clear" w:color="auto" w:fill="auto"/>
          </w:tcPr>
          <w:p w14:paraId="64A98F1E" w14:textId="77777777" w:rsidR="00552375" w:rsidRPr="00FB2E20" w:rsidRDefault="00552375" w:rsidP="00552375">
            <w:pPr>
              <w:pStyle w:val="TableText"/>
            </w:pPr>
            <w:r>
              <w:t>B</w:t>
            </w:r>
          </w:p>
        </w:tc>
        <w:tc>
          <w:tcPr>
            <w:tcW w:w="1823" w:type="pct"/>
            <w:shd w:val="clear" w:color="auto" w:fill="auto"/>
          </w:tcPr>
          <w:p w14:paraId="57E4588D" w14:textId="77777777" w:rsidR="00552375" w:rsidRDefault="00552375" w:rsidP="00552375">
            <w:pPr>
              <w:pStyle w:val="TableText"/>
            </w:pPr>
            <w:r w:rsidRPr="000C0E1A">
              <w:rPr>
                <w:szCs w:val="18"/>
                <w:lang w:val="en-US"/>
              </w:rPr>
              <w:t>slightly impacted</w:t>
            </w:r>
          </w:p>
        </w:tc>
        <w:tc>
          <w:tcPr>
            <w:tcW w:w="1077" w:type="pct"/>
          </w:tcPr>
          <w:p w14:paraId="6E25ED37" w14:textId="77777777" w:rsidR="00552375" w:rsidRDefault="00552375" w:rsidP="00552375">
            <w:pPr>
              <w:pStyle w:val="TableText"/>
              <w:rPr>
                <w:lang w:val="en-US"/>
              </w:rPr>
            </w:pPr>
            <w:r w:rsidRPr="000C0E1A">
              <w:rPr>
                <w:szCs w:val="18"/>
                <w:lang w:val="en-US"/>
              </w:rPr>
              <w:t>≥55 to &lt;180</w:t>
            </w:r>
          </w:p>
        </w:tc>
        <w:tc>
          <w:tcPr>
            <w:tcW w:w="1106" w:type="pct"/>
          </w:tcPr>
          <w:p w14:paraId="400A4892" w14:textId="77777777" w:rsidR="00552375" w:rsidRDefault="00552375" w:rsidP="00552375">
            <w:pPr>
              <w:pStyle w:val="TableText"/>
              <w:rPr>
                <w:lang w:val="en-US"/>
              </w:rPr>
            </w:pPr>
            <w:r w:rsidRPr="000C0E1A">
              <w:rPr>
                <w:szCs w:val="18"/>
              </w:rPr>
              <w:t>≥50 to &lt;100</w:t>
            </w:r>
          </w:p>
        </w:tc>
      </w:tr>
      <w:tr w:rsidR="00552375" w:rsidRPr="00D77228" w14:paraId="52485DB7" w14:textId="77777777" w:rsidTr="003740A2">
        <w:tc>
          <w:tcPr>
            <w:tcW w:w="994" w:type="pct"/>
            <w:shd w:val="clear" w:color="auto" w:fill="auto"/>
          </w:tcPr>
          <w:p w14:paraId="37BF0B19" w14:textId="77777777" w:rsidR="00552375" w:rsidRPr="00FB2E20" w:rsidRDefault="00552375" w:rsidP="00552375">
            <w:pPr>
              <w:pStyle w:val="TableText"/>
            </w:pPr>
            <w:r>
              <w:t>C</w:t>
            </w:r>
          </w:p>
        </w:tc>
        <w:tc>
          <w:tcPr>
            <w:tcW w:w="1823" w:type="pct"/>
            <w:shd w:val="clear" w:color="auto" w:fill="auto"/>
          </w:tcPr>
          <w:p w14:paraId="37198FFB" w14:textId="77777777" w:rsidR="00552375" w:rsidRDefault="00552375" w:rsidP="00552375">
            <w:pPr>
              <w:pStyle w:val="TableText"/>
            </w:pPr>
            <w:r w:rsidRPr="000C0E1A">
              <w:rPr>
                <w:szCs w:val="18"/>
                <w:lang w:val="en-US"/>
              </w:rPr>
              <w:t>moderately impacted</w:t>
            </w:r>
          </w:p>
        </w:tc>
        <w:tc>
          <w:tcPr>
            <w:tcW w:w="1077" w:type="pct"/>
          </w:tcPr>
          <w:p w14:paraId="6AB5581D" w14:textId="77777777" w:rsidR="00552375" w:rsidRPr="00D77228" w:rsidRDefault="00552375" w:rsidP="00552375">
            <w:pPr>
              <w:pStyle w:val="TableText"/>
            </w:pPr>
            <w:r w:rsidRPr="000C0E1A">
              <w:rPr>
                <w:szCs w:val="18"/>
                <w:lang w:val="en-US"/>
              </w:rPr>
              <w:t>≥180 to &lt;350</w:t>
            </w:r>
          </w:p>
        </w:tc>
        <w:tc>
          <w:tcPr>
            <w:tcW w:w="1106" w:type="pct"/>
          </w:tcPr>
          <w:p w14:paraId="4A0238C3" w14:textId="77777777" w:rsidR="00552375" w:rsidRPr="00D77228" w:rsidRDefault="00552375" w:rsidP="00552375">
            <w:pPr>
              <w:pStyle w:val="TableText"/>
            </w:pPr>
            <w:r w:rsidRPr="000C0E1A">
              <w:rPr>
                <w:szCs w:val="18"/>
              </w:rPr>
              <w:t>≥100 to &lt;150</w:t>
            </w:r>
          </w:p>
        </w:tc>
      </w:tr>
      <w:tr w:rsidR="00552375" w14:paraId="7BE74946" w14:textId="77777777" w:rsidTr="003740A2">
        <w:tc>
          <w:tcPr>
            <w:tcW w:w="994" w:type="pct"/>
            <w:shd w:val="clear" w:color="auto" w:fill="auto"/>
          </w:tcPr>
          <w:p w14:paraId="3D401D42" w14:textId="77777777" w:rsidR="00552375" w:rsidRPr="00FB2E20" w:rsidRDefault="00552375" w:rsidP="00552375">
            <w:pPr>
              <w:pStyle w:val="TableText"/>
            </w:pPr>
            <w:r>
              <w:t>D</w:t>
            </w:r>
          </w:p>
        </w:tc>
        <w:tc>
          <w:tcPr>
            <w:tcW w:w="1823" w:type="pct"/>
            <w:shd w:val="clear" w:color="auto" w:fill="auto"/>
          </w:tcPr>
          <w:p w14:paraId="5FAF3668" w14:textId="77777777" w:rsidR="00552375" w:rsidRDefault="00552375" w:rsidP="00552375">
            <w:pPr>
              <w:pStyle w:val="TableText"/>
            </w:pPr>
            <w:r w:rsidRPr="000C0E1A">
              <w:rPr>
                <w:szCs w:val="18"/>
                <w:lang w:val="en-US"/>
              </w:rPr>
              <w:t>heavily impacted</w:t>
            </w:r>
          </w:p>
        </w:tc>
        <w:tc>
          <w:tcPr>
            <w:tcW w:w="1077" w:type="pct"/>
          </w:tcPr>
          <w:p w14:paraId="5FC70DEB" w14:textId="77777777" w:rsidR="00552375" w:rsidRDefault="00552375" w:rsidP="00552375">
            <w:pPr>
              <w:pStyle w:val="TableText"/>
            </w:pPr>
            <w:r w:rsidRPr="000C0E1A">
              <w:rPr>
                <w:szCs w:val="18"/>
                <w:lang w:val="en-US"/>
              </w:rPr>
              <w:t>≥350</w:t>
            </w:r>
          </w:p>
        </w:tc>
        <w:tc>
          <w:tcPr>
            <w:tcW w:w="1106" w:type="pct"/>
          </w:tcPr>
          <w:p w14:paraId="726DDDEA" w14:textId="77777777" w:rsidR="00552375" w:rsidRDefault="00552375" w:rsidP="00552375">
            <w:pPr>
              <w:pStyle w:val="TableText"/>
            </w:pPr>
            <w:r w:rsidRPr="000C0E1A">
              <w:rPr>
                <w:szCs w:val="18"/>
              </w:rPr>
              <w:t>≥150</w:t>
            </w:r>
          </w:p>
        </w:tc>
      </w:tr>
    </w:tbl>
    <w:bookmarkEnd w:id="47"/>
    <w:p w14:paraId="66D8276D" w14:textId="54F0955D" w:rsidR="00552375" w:rsidRDefault="00552375" w:rsidP="008B0751">
      <w:pPr>
        <w:pStyle w:val="Heading3"/>
        <w:spacing w:after="200"/>
      </w:pPr>
      <w:r w:rsidRPr="00803A4B">
        <w:t xml:space="preserve">3.2.3 </w:t>
      </w:r>
      <w:r w:rsidR="00DE7DCF">
        <w:tab/>
      </w:r>
      <w:r w:rsidRPr="00803A4B">
        <w:t>Freshwater management unit considerations</w:t>
      </w:r>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904C18" w:rsidRPr="006B77BB" w14:paraId="0A5E0A6E" w14:textId="77777777" w:rsidTr="00904C18">
        <w:tc>
          <w:tcPr>
            <w:tcW w:w="8505" w:type="dxa"/>
            <w:shd w:val="clear" w:color="auto" w:fill="CFE5E5"/>
          </w:tcPr>
          <w:p w14:paraId="50CE28D7" w14:textId="77777777" w:rsidR="00904C18" w:rsidRPr="00350A62" w:rsidRDefault="00904C18" w:rsidP="00904C18">
            <w:pPr>
              <w:pStyle w:val="Greenheading-casestudytables"/>
              <w:spacing w:after="120"/>
            </w:pPr>
            <w:r>
              <w:t>Key points</w:t>
            </w:r>
          </w:p>
          <w:p w14:paraId="100192E8" w14:textId="77777777" w:rsidR="00904C18" w:rsidRDefault="00904C18" w:rsidP="00904C18">
            <w:pPr>
              <w:pStyle w:val="Greenbullet-casestudytables"/>
            </w:pPr>
            <w:r>
              <w:t>Freshwater management units (FMUs) based on catchment or sub-catchment boundaries are conceptually easier to implement for Clause 3.13, compared to FMUs that span multiple watersheds in a region.</w:t>
            </w:r>
          </w:p>
          <w:p w14:paraId="276D76BF" w14:textId="77777777" w:rsidR="00904C18" w:rsidRDefault="00904C18" w:rsidP="00904C18">
            <w:pPr>
              <w:pStyle w:val="Greenbullet-casestudytables"/>
            </w:pPr>
            <w:r>
              <w:t xml:space="preserve">Downstream receiving environments should be connected to the surface waters of the FMU so this definition excludes predominately rain or ground water-fed lakes and wetlands. </w:t>
            </w:r>
          </w:p>
          <w:p w14:paraId="79A3576E" w14:textId="03C778F7" w:rsidR="00904C18" w:rsidRPr="00C15722" w:rsidRDefault="00904C18" w:rsidP="00904C18">
            <w:pPr>
              <w:pStyle w:val="Greenbullet-casestudytables"/>
              <w:spacing w:after="240"/>
            </w:pPr>
            <w:r>
              <w:t>Most FMUs will have at least an estuarine receiving environment to consider. However, some FMUs may not have any nutrient sensitive downstream receiving environments, for example small stream catchments that discharge directly to the coast.</w:t>
            </w:r>
          </w:p>
        </w:tc>
      </w:tr>
    </w:tbl>
    <w:p w14:paraId="19548362" w14:textId="77777777" w:rsidR="00552375" w:rsidRPr="00803A4B" w:rsidRDefault="00552375" w:rsidP="00904C18">
      <w:pPr>
        <w:pStyle w:val="BodyText"/>
        <w:spacing w:before="240"/>
      </w:pPr>
      <w:r w:rsidRPr="00803A4B">
        <w:t>When identifying FMUs, regional councils must decide on the most relevant and practical approach for their region. Possible approaches include (MfE</w:t>
      </w:r>
      <w:r>
        <w:t>,</w:t>
      </w:r>
      <w:r w:rsidRPr="00803A4B">
        <w:t xml:space="preserve"> 2016b):</w:t>
      </w:r>
    </w:p>
    <w:p w14:paraId="5A4118F2" w14:textId="77777777" w:rsidR="00552375" w:rsidRPr="00803A4B" w:rsidRDefault="00552375" w:rsidP="00904C18">
      <w:pPr>
        <w:pStyle w:val="Bullet"/>
      </w:pPr>
      <w:r w:rsidRPr="00803A4B">
        <w:t>dividing the whole region into FMUs at once</w:t>
      </w:r>
    </w:p>
    <w:p w14:paraId="0E66EDA9" w14:textId="77777777" w:rsidR="00552375" w:rsidRPr="00803A4B" w:rsidRDefault="00552375" w:rsidP="00904C18">
      <w:pPr>
        <w:pStyle w:val="Bullet"/>
      </w:pPr>
      <w:r w:rsidRPr="00803A4B">
        <w:t>defining one FMU at a time</w:t>
      </w:r>
    </w:p>
    <w:p w14:paraId="1DB81588" w14:textId="77777777" w:rsidR="00552375" w:rsidRPr="00803A4B" w:rsidRDefault="00552375" w:rsidP="00904C18">
      <w:pPr>
        <w:pStyle w:val="Bullet"/>
      </w:pPr>
      <w:r w:rsidRPr="00803A4B">
        <w:t>dividing the region into broader zones or areas early on, followed by a more detailed delineation of FMUs within each zone or area as part of the process of identifying values and potential freshwater objectives and limits.</w:t>
      </w:r>
    </w:p>
    <w:p w14:paraId="3A1ED188" w14:textId="08AE35FE" w:rsidR="00552375" w:rsidRPr="00803A4B" w:rsidRDefault="00552375" w:rsidP="00552375">
      <w:pPr>
        <w:pStyle w:val="BodyText"/>
      </w:pPr>
      <w:r w:rsidRPr="00803A4B">
        <w:t>All regional councils in New Zealand are at least some way through this process (Greenhalgh and Murphy</w:t>
      </w:r>
      <w:r>
        <w:t>,</w:t>
      </w:r>
      <w:r w:rsidRPr="00803A4B">
        <w:t xml:space="preserve"> 2017). Generally, broader areas or zones based on single or multiple catchments</w:t>
      </w:r>
      <w:r>
        <w:t xml:space="preserve"> are the starting point</w:t>
      </w:r>
      <w:r w:rsidRPr="00803A4B">
        <w:t>, which are then subdivided to reflect values, special areas and/or water</w:t>
      </w:r>
      <w:r w:rsidR="00DB07F2">
        <w:t> </w:t>
      </w:r>
      <w:r w:rsidRPr="00803A4B">
        <w:t>quality or stream environment classifications relevant to the region or area or zone. Although there are several ways to approach the development of FMUs, it is conceptually more</w:t>
      </w:r>
      <w:r w:rsidR="00DB07F2">
        <w:t> </w:t>
      </w:r>
      <w:r w:rsidRPr="00803A4B">
        <w:t xml:space="preserve">intuitive to consider receiving environments for FMUs based on catchments and/or subcatchment boundaries. </w:t>
      </w:r>
    </w:p>
    <w:p w14:paraId="4B59210D" w14:textId="7597BD36" w:rsidR="00552375" w:rsidRPr="00803A4B" w:rsidRDefault="00552375" w:rsidP="00552375">
      <w:pPr>
        <w:pStyle w:val="BodyText"/>
      </w:pPr>
      <w:r w:rsidRPr="00803A4B">
        <w:t>The nature of the FMU determines whether the receiving environments are connected directly or indirectly to it. An indirectly</w:t>
      </w:r>
      <w:r>
        <w:t xml:space="preserve"> </w:t>
      </w:r>
      <w:r w:rsidRPr="00803A4B">
        <w:t>connected receiving environment is one where the FMU discharges to it via one (or more) intermediate FMUs</w:t>
      </w:r>
      <w:r>
        <w:t>,</w:t>
      </w:r>
      <w:r w:rsidRPr="00803A4B">
        <w:t xml:space="preserve"> </w:t>
      </w:r>
      <w:r>
        <w:t>for</w:t>
      </w:r>
      <w:r w:rsidRPr="00803A4B">
        <w:t xml:space="preserve"> example</w:t>
      </w:r>
      <w:r>
        <w:t>,</w:t>
      </w:r>
      <w:r w:rsidRPr="00803A4B">
        <w:t xml:space="preserve"> where a catchment is divided into upper, middle and lower FMUs. In this case, only the lower FMU directly discharges to the estuary, whereas the upper and middle FMUs obviously contribute to the nutrient load, but they discharge to the estuary via one, or more, downstream FMUs (</w:t>
      </w:r>
      <w:r w:rsidRPr="00803A4B">
        <w:rPr>
          <w:highlight w:val="yellow"/>
        </w:rPr>
        <w:fldChar w:fldCharType="begin"/>
      </w:r>
      <w:r w:rsidRPr="00803A4B">
        <w:instrText xml:space="preserve"> REF _Ref517785890 \h </w:instrText>
      </w:r>
      <w:r w:rsidRPr="00803A4B">
        <w:rPr>
          <w:highlight w:val="yellow"/>
        </w:rPr>
        <w:instrText xml:space="preserve"> \* MERGEFORMAT </w:instrText>
      </w:r>
      <w:r w:rsidRPr="00803A4B">
        <w:rPr>
          <w:highlight w:val="yellow"/>
        </w:rPr>
      </w:r>
      <w:r w:rsidRPr="00803A4B">
        <w:rPr>
          <w:highlight w:val="yellow"/>
        </w:rPr>
        <w:fldChar w:fldCharType="separate"/>
      </w:r>
      <w:r w:rsidR="001A7243" w:rsidRPr="008F1F8C">
        <w:t xml:space="preserve">Table </w:t>
      </w:r>
      <w:r w:rsidR="001A7243">
        <w:rPr>
          <w:noProof/>
        </w:rPr>
        <w:t>7</w:t>
      </w:r>
      <w:r w:rsidRPr="00803A4B">
        <w:rPr>
          <w:highlight w:val="yellow"/>
        </w:rPr>
        <w:fldChar w:fldCharType="end"/>
      </w:r>
      <w:r w:rsidRPr="00803A4B">
        <w:t xml:space="preserve">). </w:t>
      </w:r>
    </w:p>
    <w:p w14:paraId="3555D6FA" w14:textId="364C264C" w:rsidR="00552375" w:rsidRDefault="00552375" w:rsidP="00552375">
      <w:pPr>
        <w:pStyle w:val="Tableheading"/>
      </w:pPr>
      <w:bookmarkStart w:id="89" w:name="_Ref517785890"/>
      <w:bookmarkStart w:id="90" w:name="_Toc519683024"/>
      <w:bookmarkStart w:id="91" w:name="_Toc520810479"/>
      <w:bookmarkStart w:id="92" w:name="_Toc520810683"/>
      <w:bookmarkStart w:id="93" w:name="_Toc520898756"/>
      <w:bookmarkStart w:id="94" w:name="_Toc73713303"/>
      <w:r w:rsidRPr="008F1F8C">
        <w:lastRenderedPageBreak/>
        <w:t xml:space="preserve">Table </w:t>
      </w:r>
      <w:fldSimple w:instr=" SEQ Table \* ARABIC ">
        <w:r w:rsidR="001A7243">
          <w:rPr>
            <w:noProof/>
          </w:rPr>
          <w:t>7</w:t>
        </w:r>
      </w:fldSimple>
      <w:bookmarkEnd w:id="89"/>
      <w:r>
        <w:t>:</w:t>
      </w:r>
      <w:r>
        <w:tab/>
      </w:r>
      <w:r w:rsidRPr="008F1F8C">
        <w:t xml:space="preserve">Connectivity of </w:t>
      </w:r>
      <w:r>
        <w:t xml:space="preserve">an </w:t>
      </w:r>
      <w:r w:rsidRPr="008F1F8C">
        <w:t>estuary receiving environmen</w:t>
      </w:r>
      <w:r>
        <w:t>t to management units based on upper, middle and lower</w:t>
      </w:r>
      <w:r w:rsidRPr="008F1F8C">
        <w:t xml:space="preserve"> regions </w:t>
      </w:r>
      <w:r>
        <w:t>of a hypothetical catchment</w:t>
      </w:r>
      <w:bookmarkEnd w:id="90"/>
      <w:bookmarkEnd w:id="91"/>
      <w:bookmarkEnd w:id="92"/>
      <w:bookmarkEnd w:id="93"/>
      <w:bookmarkEnd w:id="94"/>
    </w:p>
    <w:tbl>
      <w:tblPr>
        <w:tblStyle w:val="TableGrid"/>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594"/>
        <w:gridCol w:w="2831"/>
        <w:gridCol w:w="3137"/>
      </w:tblGrid>
      <w:tr w:rsidR="00552375" w14:paraId="4BED644F" w14:textId="77777777" w:rsidTr="00904C18">
        <w:trPr>
          <w:tblHeader/>
        </w:trPr>
        <w:tc>
          <w:tcPr>
            <w:tcW w:w="1515" w:type="pct"/>
            <w:shd w:val="clear" w:color="auto" w:fill="1C556C" w:themeFill="accent1"/>
          </w:tcPr>
          <w:p w14:paraId="3924F3D6" w14:textId="77777777" w:rsidR="00552375" w:rsidRPr="00A73245" w:rsidRDefault="00552375" w:rsidP="00552375">
            <w:pPr>
              <w:pStyle w:val="TableTextbold"/>
              <w:rPr>
                <w:color w:val="FFFFFF" w:themeColor="background1"/>
              </w:rPr>
            </w:pPr>
            <w:r>
              <w:rPr>
                <w:color w:val="FFFFFF" w:themeColor="background1"/>
              </w:rPr>
              <w:t>Management unit</w:t>
            </w:r>
          </w:p>
        </w:tc>
        <w:tc>
          <w:tcPr>
            <w:tcW w:w="1653" w:type="pct"/>
            <w:shd w:val="clear" w:color="auto" w:fill="1C556C" w:themeFill="accent1"/>
          </w:tcPr>
          <w:p w14:paraId="59AB295D" w14:textId="77777777" w:rsidR="00552375" w:rsidRPr="00A73245" w:rsidRDefault="00552375" w:rsidP="00552375">
            <w:pPr>
              <w:pStyle w:val="TableTextbold"/>
              <w:rPr>
                <w:color w:val="FFFFFF" w:themeColor="background1"/>
              </w:rPr>
            </w:pPr>
            <w:r>
              <w:rPr>
                <w:color w:val="FFFFFF" w:themeColor="background1"/>
              </w:rPr>
              <w:t>Direct</w:t>
            </w:r>
          </w:p>
        </w:tc>
        <w:tc>
          <w:tcPr>
            <w:tcW w:w="1832" w:type="pct"/>
            <w:shd w:val="clear" w:color="auto" w:fill="1C556C" w:themeFill="accent1"/>
          </w:tcPr>
          <w:p w14:paraId="165EBFB6" w14:textId="77777777" w:rsidR="00552375" w:rsidRDefault="00552375" w:rsidP="00552375">
            <w:pPr>
              <w:pStyle w:val="TableTextbold"/>
              <w:rPr>
                <w:color w:val="FFFFFF" w:themeColor="background1"/>
              </w:rPr>
            </w:pPr>
            <w:r>
              <w:rPr>
                <w:color w:val="FFFFFF" w:themeColor="background1"/>
              </w:rPr>
              <w:t>Indirect</w:t>
            </w:r>
          </w:p>
        </w:tc>
      </w:tr>
      <w:tr w:rsidR="00552375" w:rsidRPr="006B4810" w14:paraId="208F3917" w14:textId="77777777" w:rsidTr="00904C18">
        <w:tc>
          <w:tcPr>
            <w:tcW w:w="1515" w:type="pct"/>
            <w:shd w:val="clear" w:color="auto" w:fill="auto"/>
          </w:tcPr>
          <w:p w14:paraId="6D2E1791" w14:textId="77777777" w:rsidR="00552375" w:rsidRPr="006B4810" w:rsidRDefault="00552375" w:rsidP="00552375">
            <w:pPr>
              <w:pStyle w:val="TableText"/>
            </w:pPr>
            <w:r>
              <w:rPr>
                <w:szCs w:val="18"/>
                <w:lang w:val="en-US"/>
              </w:rPr>
              <w:t>Upper FMU</w:t>
            </w:r>
          </w:p>
        </w:tc>
        <w:tc>
          <w:tcPr>
            <w:tcW w:w="1653" w:type="pct"/>
          </w:tcPr>
          <w:p w14:paraId="1C4B12F5" w14:textId="77777777" w:rsidR="00552375" w:rsidRPr="006B4810" w:rsidRDefault="00552375" w:rsidP="00552375">
            <w:pPr>
              <w:pStyle w:val="TableText"/>
            </w:pPr>
            <w:r>
              <w:rPr>
                <w:szCs w:val="18"/>
                <w:lang w:val="en-US"/>
              </w:rPr>
              <w:t>Middle FMU – mainstem</w:t>
            </w:r>
          </w:p>
        </w:tc>
        <w:tc>
          <w:tcPr>
            <w:tcW w:w="1832" w:type="pct"/>
          </w:tcPr>
          <w:p w14:paraId="07230F75" w14:textId="77777777" w:rsidR="00552375" w:rsidRDefault="00552375" w:rsidP="00DB07F2">
            <w:pPr>
              <w:pStyle w:val="TableText"/>
              <w:spacing w:after="0"/>
              <w:rPr>
                <w:szCs w:val="18"/>
              </w:rPr>
            </w:pPr>
            <w:r>
              <w:rPr>
                <w:szCs w:val="18"/>
              </w:rPr>
              <w:t>Lower FMU – mainstem</w:t>
            </w:r>
          </w:p>
          <w:p w14:paraId="6714B5CC" w14:textId="77777777" w:rsidR="00552375" w:rsidRPr="000F7AFA" w:rsidRDefault="00552375" w:rsidP="00904C18">
            <w:pPr>
              <w:pStyle w:val="TableText"/>
              <w:spacing w:before="0"/>
              <w:rPr>
                <w:szCs w:val="18"/>
              </w:rPr>
            </w:pPr>
            <w:r>
              <w:rPr>
                <w:szCs w:val="18"/>
              </w:rPr>
              <w:t>Estuary</w:t>
            </w:r>
            <w:r w:rsidRPr="000C0E1A">
              <w:rPr>
                <w:szCs w:val="18"/>
              </w:rPr>
              <w:t xml:space="preserve"> </w:t>
            </w:r>
          </w:p>
        </w:tc>
      </w:tr>
      <w:tr w:rsidR="00552375" w14:paraId="61F60FDC" w14:textId="77777777" w:rsidTr="00904C18">
        <w:tc>
          <w:tcPr>
            <w:tcW w:w="1515" w:type="pct"/>
            <w:shd w:val="clear" w:color="auto" w:fill="auto"/>
          </w:tcPr>
          <w:p w14:paraId="318DE300" w14:textId="77777777" w:rsidR="00552375" w:rsidRDefault="00552375" w:rsidP="00552375">
            <w:pPr>
              <w:pStyle w:val="TableText"/>
            </w:pPr>
            <w:r>
              <w:rPr>
                <w:szCs w:val="18"/>
                <w:lang w:val="en-US"/>
              </w:rPr>
              <w:t>Middle FMU</w:t>
            </w:r>
          </w:p>
        </w:tc>
        <w:tc>
          <w:tcPr>
            <w:tcW w:w="1653" w:type="pct"/>
          </w:tcPr>
          <w:p w14:paraId="2B4A40F5" w14:textId="77777777" w:rsidR="00552375" w:rsidRDefault="00552375" w:rsidP="00552375">
            <w:pPr>
              <w:pStyle w:val="TableText"/>
              <w:rPr>
                <w:lang w:val="en-US"/>
              </w:rPr>
            </w:pPr>
            <w:r>
              <w:rPr>
                <w:szCs w:val="18"/>
                <w:lang w:val="en-US"/>
              </w:rPr>
              <w:t>Lower FMU – mainstem</w:t>
            </w:r>
          </w:p>
        </w:tc>
        <w:tc>
          <w:tcPr>
            <w:tcW w:w="1832" w:type="pct"/>
          </w:tcPr>
          <w:p w14:paraId="5AAAB531" w14:textId="77777777" w:rsidR="00552375" w:rsidRDefault="00552375" w:rsidP="00552375">
            <w:pPr>
              <w:pStyle w:val="TableText"/>
              <w:rPr>
                <w:lang w:val="en-US"/>
              </w:rPr>
            </w:pPr>
            <w:r>
              <w:rPr>
                <w:szCs w:val="18"/>
              </w:rPr>
              <w:t>Estuary</w:t>
            </w:r>
          </w:p>
        </w:tc>
      </w:tr>
      <w:tr w:rsidR="00552375" w:rsidRPr="00D77228" w14:paraId="2E477C80" w14:textId="77777777" w:rsidTr="00904C18">
        <w:tc>
          <w:tcPr>
            <w:tcW w:w="1515" w:type="pct"/>
            <w:shd w:val="clear" w:color="auto" w:fill="auto"/>
          </w:tcPr>
          <w:p w14:paraId="37CB5CD0" w14:textId="77777777" w:rsidR="00552375" w:rsidRDefault="00552375" w:rsidP="00552375">
            <w:pPr>
              <w:pStyle w:val="TableText"/>
            </w:pPr>
            <w:r>
              <w:rPr>
                <w:szCs w:val="18"/>
                <w:lang w:val="en-US"/>
              </w:rPr>
              <w:t>Lower FMU</w:t>
            </w:r>
          </w:p>
        </w:tc>
        <w:tc>
          <w:tcPr>
            <w:tcW w:w="1653" w:type="pct"/>
          </w:tcPr>
          <w:p w14:paraId="0FB47500" w14:textId="77777777" w:rsidR="00552375" w:rsidRPr="00D77228" w:rsidRDefault="00552375" w:rsidP="00552375">
            <w:pPr>
              <w:pStyle w:val="TableText"/>
            </w:pPr>
            <w:r>
              <w:rPr>
                <w:szCs w:val="18"/>
                <w:lang w:val="en-US"/>
              </w:rPr>
              <w:t>Estuary</w:t>
            </w:r>
          </w:p>
        </w:tc>
        <w:tc>
          <w:tcPr>
            <w:tcW w:w="1832" w:type="pct"/>
          </w:tcPr>
          <w:p w14:paraId="18F947E3" w14:textId="77777777" w:rsidR="00552375" w:rsidRPr="00D77228" w:rsidRDefault="00552375" w:rsidP="00552375">
            <w:pPr>
              <w:pStyle w:val="TableText"/>
            </w:pPr>
            <w:r>
              <w:rPr>
                <w:szCs w:val="18"/>
              </w:rPr>
              <w:t>None</w:t>
            </w:r>
          </w:p>
        </w:tc>
      </w:tr>
    </w:tbl>
    <w:p w14:paraId="077FF459" w14:textId="77777777" w:rsidR="00552375" w:rsidRPr="0007796E" w:rsidRDefault="00552375" w:rsidP="00904C18">
      <w:pPr>
        <w:pStyle w:val="BodyText"/>
        <w:spacing w:before="240"/>
      </w:pPr>
      <w:r w:rsidRPr="0007796E">
        <w:t xml:space="preserve">In the example in table 6, </w:t>
      </w:r>
      <w:r>
        <w:t>Clause 3.13</w:t>
      </w:r>
      <w:r w:rsidRPr="0007796E">
        <w:t xml:space="preserve"> requires all three FMUs consider nutrient-related outcomes sought for the estuary when setting instream nutrient criteria. </w:t>
      </w:r>
    </w:p>
    <w:p w14:paraId="52CDB680" w14:textId="77777777" w:rsidR="00552375" w:rsidRPr="00803A4B" w:rsidRDefault="00552375" w:rsidP="00552375">
      <w:pPr>
        <w:pStyle w:val="BodyText"/>
      </w:pPr>
      <w:r w:rsidRPr="0007796E">
        <w:t>If meeting the outcomes sought for the estuary requires nutrient concentrations that are lower than those for managing periphyton and other</w:t>
      </w:r>
      <w:r w:rsidRPr="00803A4B">
        <w:t xml:space="preserve"> freshwater objectives in the upstream FMUs, then councils must apply (or apportion) nutrient reductions within or across the contributing FMUs. </w:t>
      </w:r>
      <w:r>
        <w:t>Clause 3.13</w:t>
      </w:r>
      <w:r w:rsidRPr="00803A4B">
        <w:t xml:space="preserve"> does not give direction to councils on how to allocate </w:t>
      </w:r>
    </w:p>
    <w:p w14:paraId="38DF20DF" w14:textId="77777777" w:rsidR="00552375" w:rsidRDefault="00552375" w:rsidP="00552375">
      <w:pPr>
        <w:pStyle w:val="Heading5"/>
      </w:pPr>
      <w:r>
        <w:t>Hypothetical catchment example</w:t>
      </w:r>
    </w:p>
    <w:p w14:paraId="62FCD2B7" w14:textId="1B3F6021" w:rsidR="00552375" w:rsidRPr="00803A4B" w:rsidRDefault="00552375" w:rsidP="00552375">
      <w:pPr>
        <w:pStyle w:val="BodyText"/>
      </w:pPr>
      <w:r w:rsidRPr="00803A4B">
        <w:t>To simplify visualisation of the connectivity between catchment FMUs and potentially sensitive downstream receiving environments, a hypothetical catchment with both catchment-scale FMU (i</w:t>
      </w:r>
      <w:r>
        <w:t>e</w:t>
      </w:r>
      <w:r w:rsidRPr="00803A4B">
        <w:t>, A) and sub-catchment-scale FMUs (B-E) is illustrated (</w:t>
      </w:r>
      <w:r w:rsidRPr="00803A4B">
        <w:fldChar w:fldCharType="begin"/>
      </w:r>
      <w:r w:rsidRPr="00803A4B">
        <w:instrText xml:space="preserve"> REF _Ref518243696 \h  \* MERGEFORMAT </w:instrText>
      </w:r>
      <w:r w:rsidRPr="00803A4B">
        <w:fldChar w:fldCharType="separate"/>
      </w:r>
      <w:r w:rsidR="001A7243" w:rsidRPr="00436A5A">
        <w:t xml:space="preserve">Figure </w:t>
      </w:r>
      <w:r w:rsidR="001A7243">
        <w:rPr>
          <w:noProof/>
        </w:rPr>
        <w:t>9</w:t>
      </w:r>
      <w:r w:rsidRPr="00803A4B">
        <w:fldChar w:fldCharType="end"/>
      </w:r>
      <w:r w:rsidRPr="00803A4B">
        <w:t xml:space="preserve">). </w:t>
      </w:r>
    </w:p>
    <w:p w14:paraId="182CB02B" w14:textId="7B380B6D" w:rsidR="00552375" w:rsidRDefault="00552375" w:rsidP="00552375">
      <w:pPr>
        <w:pStyle w:val="BodyText"/>
      </w:pPr>
      <w:r w:rsidRPr="00803A4B">
        <w:t xml:space="preserve">Potentially sensitive downstream receiving environments, which may influence instream nutrient criteria derived for catchment FMUs, include lakes, wetlands and an estuary. </w:t>
      </w:r>
      <w:r w:rsidRPr="00803A4B">
        <w:fldChar w:fldCharType="begin"/>
      </w:r>
      <w:r w:rsidRPr="00803A4B">
        <w:instrText xml:space="preserve"> REF _Ref518243739 \h  \* MERGEFORMAT </w:instrText>
      </w:r>
      <w:r w:rsidRPr="00803A4B">
        <w:fldChar w:fldCharType="separate"/>
      </w:r>
      <w:r w:rsidR="001A7243" w:rsidRPr="005317E0">
        <w:t xml:space="preserve">Figure </w:t>
      </w:r>
      <w:r w:rsidR="001A7243">
        <w:rPr>
          <w:noProof/>
        </w:rPr>
        <w:t>10</w:t>
      </w:r>
      <w:r w:rsidRPr="00803A4B">
        <w:fldChar w:fldCharType="end"/>
      </w:r>
      <w:r w:rsidRPr="00803A4B">
        <w:t xml:space="preserve"> shows the same hypothetical catchment as </w:t>
      </w:r>
      <w:r w:rsidRPr="00803A4B">
        <w:fldChar w:fldCharType="begin"/>
      </w:r>
      <w:r w:rsidRPr="00803A4B">
        <w:instrText xml:space="preserve"> REF _Ref518243696 \h  \* MERGEFORMAT </w:instrText>
      </w:r>
      <w:r w:rsidRPr="00803A4B">
        <w:fldChar w:fldCharType="separate"/>
      </w:r>
      <w:r w:rsidR="001A7243" w:rsidRPr="00436A5A">
        <w:t xml:space="preserve">Figure </w:t>
      </w:r>
      <w:r w:rsidR="001A7243">
        <w:rPr>
          <w:noProof/>
        </w:rPr>
        <w:t>9</w:t>
      </w:r>
      <w:r w:rsidRPr="00803A4B">
        <w:fldChar w:fldCharType="end"/>
      </w:r>
      <w:r w:rsidRPr="00803A4B">
        <w:t>, except that it is separated into two FMUs based on a river classification system – in this example, hill and lowland.</w:t>
      </w:r>
      <w:r w:rsidR="00DD47E9">
        <w:t xml:space="preserve"> </w:t>
      </w:r>
      <w:r w:rsidRPr="00803A4B">
        <w:t>Potentially nutrient sensitive downstream</w:t>
      </w:r>
      <w:r w:rsidRPr="00AE1183">
        <w:t xml:space="preserve"> receiving environments for the FMUs shown in both examples are summarised in the adjacent table. </w:t>
      </w:r>
    </w:p>
    <w:p w14:paraId="056F1480" w14:textId="52D88827" w:rsidR="00552375" w:rsidRPr="00183D4C" w:rsidRDefault="00552375" w:rsidP="00552375">
      <w:pPr>
        <w:pStyle w:val="Figureheading"/>
      </w:pPr>
      <w:bookmarkStart w:id="95" w:name="_Ref518243696"/>
      <w:bookmarkStart w:id="96" w:name="_Toc519682845"/>
      <w:bookmarkStart w:id="97" w:name="_Toc521487716"/>
      <w:bookmarkStart w:id="98" w:name="_Toc73711482"/>
      <w:r w:rsidRPr="00436A5A">
        <w:t xml:space="preserve">Figure </w:t>
      </w:r>
      <w:fldSimple w:instr=" SEQ Figure \* ARABIC ">
        <w:r w:rsidR="001A7243">
          <w:rPr>
            <w:noProof/>
          </w:rPr>
          <w:t>9</w:t>
        </w:r>
      </w:fldSimple>
      <w:bookmarkEnd w:id="95"/>
      <w:r w:rsidRPr="005317E0">
        <w:t>:</w:t>
      </w:r>
      <w:r w:rsidRPr="005317E0">
        <w:tab/>
        <w:t>Hypothetical catchment showing examples of catchm</w:t>
      </w:r>
      <w:r>
        <w:t>ent and sub-catchment-scale FMU</w:t>
      </w:r>
      <w:r w:rsidRPr="005317E0">
        <w:t>s.</w:t>
      </w:r>
      <w:r w:rsidRPr="00436A5A">
        <w:t xml:space="preserve"> </w:t>
      </w:r>
      <w:r w:rsidRPr="00183D4C">
        <w:t>Downstream receiving environments include lakes (L), wetlands (W) and a single</w:t>
      </w:r>
      <w:r w:rsidR="003740A2">
        <w:t> </w:t>
      </w:r>
      <w:r w:rsidRPr="00183D4C">
        <w:t>estuary</w:t>
      </w:r>
      <w:bookmarkEnd w:id="96"/>
      <w:bookmarkEnd w:id="97"/>
      <w:bookmarkEnd w:id="98"/>
    </w:p>
    <w:p w14:paraId="117232CB" w14:textId="6D4BA7FB" w:rsidR="00552375" w:rsidRDefault="00552375" w:rsidP="00552375">
      <w:pPr>
        <w:pStyle w:val="BodyText"/>
      </w:pPr>
      <w:r>
        <w:rPr>
          <w:noProof/>
          <w:color w:val="FF0000"/>
        </w:rPr>
        <w:drawing>
          <wp:inline distT="0" distB="0" distL="0" distR="0" wp14:anchorId="2104597D" wp14:editId="18862E37">
            <wp:extent cx="5428800" cy="2268000"/>
            <wp:effectExtent l="19050" t="19050" r="1968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428800" cy="2268000"/>
                    </a:xfrm>
                    <a:prstGeom prst="rect">
                      <a:avLst/>
                    </a:prstGeom>
                    <a:noFill/>
                    <a:ln w="6350">
                      <a:solidFill>
                        <a:schemeClr val="accent1"/>
                      </a:solidFill>
                    </a:ln>
                    <a:extLst>
                      <a:ext uri="{53640926-AAD7-44D8-BBD7-CCE9431645EC}">
                        <a14:shadowObscured xmlns:a14="http://schemas.microsoft.com/office/drawing/2010/main"/>
                      </a:ext>
                    </a:extLst>
                  </pic:spPr>
                </pic:pic>
              </a:graphicData>
            </a:graphic>
          </wp:inline>
        </w:drawing>
      </w:r>
    </w:p>
    <w:p w14:paraId="1154090A" w14:textId="77777777" w:rsidR="00F60B3B" w:rsidRDefault="00F60B3B" w:rsidP="00552375">
      <w:pPr>
        <w:pStyle w:val="BodyText"/>
      </w:pPr>
    </w:p>
    <w:p w14:paraId="2F0CAB78" w14:textId="65D72E97" w:rsidR="00552375" w:rsidRPr="00183D4C" w:rsidRDefault="00552375" w:rsidP="00552375">
      <w:pPr>
        <w:pStyle w:val="Figureheading"/>
      </w:pPr>
      <w:bookmarkStart w:id="99" w:name="_Ref518243739"/>
      <w:bookmarkStart w:id="100" w:name="_Toc519682846"/>
      <w:bookmarkStart w:id="101" w:name="_Toc521487717"/>
      <w:bookmarkStart w:id="102" w:name="_Toc73711483"/>
      <w:r w:rsidRPr="005317E0">
        <w:lastRenderedPageBreak/>
        <w:t xml:space="preserve">Figure </w:t>
      </w:r>
      <w:fldSimple w:instr=" SEQ Figure \* ARABIC ">
        <w:r w:rsidR="001A7243">
          <w:rPr>
            <w:noProof/>
          </w:rPr>
          <w:t>10</w:t>
        </w:r>
      </w:fldSimple>
      <w:bookmarkEnd w:id="99"/>
      <w:r w:rsidRPr="005317E0">
        <w:t>:</w:t>
      </w:r>
      <w:r>
        <w:tab/>
      </w:r>
      <w:r w:rsidRPr="005317E0">
        <w:t xml:space="preserve">Hypothetical </w:t>
      </w:r>
      <w:r>
        <w:t>catchment showing example</w:t>
      </w:r>
      <w:r w:rsidRPr="005317E0">
        <w:t xml:space="preserve"> of </w:t>
      </w:r>
      <w:r>
        <w:t>river classification-based FMU</w:t>
      </w:r>
      <w:r w:rsidRPr="005317E0">
        <w:t>s</w:t>
      </w:r>
      <w:r>
        <w:t xml:space="preserve"> </w:t>
      </w:r>
      <w:r w:rsidR="003740A2">
        <w:t>–</w:t>
      </w:r>
      <w:r>
        <w:t xml:space="preserve"> hill (black</w:t>
      </w:r>
      <w:r w:rsidR="003740A2">
        <w:t> </w:t>
      </w:r>
      <w:r>
        <w:t>dashed boundary) and lowland (yellow dashed boundary)</w:t>
      </w:r>
      <w:r w:rsidRPr="005317E0">
        <w:t>.</w:t>
      </w:r>
      <w:r w:rsidRPr="00436A5A">
        <w:t xml:space="preserve"> </w:t>
      </w:r>
      <w:r w:rsidRPr="00183D4C">
        <w:t>Downstream receiving</w:t>
      </w:r>
      <w:r w:rsidR="003740A2">
        <w:t> </w:t>
      </w:r>
      <w:r w:rsidRPr="00183D4C">
        <w:t>environments include lakes (L), wetlands (W) and a single estuary</w:t>
      </w:r>
      <w:bookmarkEnd w:id="100"/>
      <w:bookmarkEnd w:id="101"/>
      <w:bookmarkEnd w:id="102"/>
    </w:p>
    <w:p w14:paraId="141ADC29" w14:textId="77777777" w:rsidR="00552375" w:rsidRPr="00010806" w:rsidRDefault="00552375" w:rsidP="00552375">
      <w:pPr>
        <w:pStyle w:val="BodyText"/>
        <w:rPr>
          <w:lang w:val="en-AU"/>
        </w:rPr>
      </w:pPr>
      <w:r>
        <w:rPr>
          <w:noProof/>
        </w:rPr>
        <w:drawing>
          <wp:inline distT="0" distB="0" distL="0" distR="0" wp14:anchorId="2C9BE424" wp14:editId="6337FA84">
            <wp:extent cx="5400000" cy="232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0" cy="2325600"/>
                    </a:xfrm>
                    <a:prstGeom prst="rect">
                      <a:avLst/>
                    </a:prstGeom>
                    <a:noFill/>
                  </pic:spPr>
                </pic:pic>
              </a:graphicData>
            </a:graphic>
          </wp:inline>
        </w:drawing>
      </w:r>
    </w:p>
    <w:p w14:paraId="657CC1E5" w14:textId="75928C5E" w:rsidR="00552375" w:rsidRPr="001F1E61" w:rsidRDefault="00552375" w:rsidP="006A10D2">
      <w:pPr>
        <w:pStyle w:val="Heading2"/>
      </w:pPr>
      <w:bookmarkStart w:id="103" w:name="_Toc520810802"/>
      <w:bookmarkStart w:id="104" w:name="_Toc73711455"/>
      <w:r w:rsidRPr="001F1E61">
        <w:t xml:space="preserve">3.3 </w:t>
      </w:r>
      <w:r w:rsidR="006A10D2">
        <w:tab/>
      </w:r>
      <w:r w:rsidRPr="001F1E61">
        <w:t xml:space="preserve">Step </w:t>
      </w:r>
      <w:r>
        <w:t>(</w:t>
      </w:r>
      <w:r w:rsidRPr="001F1E61">
        <w:t>c</w:t>
      </w:r>
      <w:r>
        <w:t>)</w:t>
      </w:r>
      <w:r w:rsidRPr="001F1E61">
        <w:t xml:space="preserve">: How are nutrient criteria reconciled across the FMU and </w:t>
      </w:r>
      <w:r w:rsidRPr="006A10D2">
        <w:t>downstream</w:t>
      </w:r>
      <w:r w:rsidRPr="001F1E61">
        <w:t xml:space="preserve"> receiving environments?</w:t>
      </w:r>
      <w:bookmarkEnd w:id="103"/>
      <w:bookmarkEnd w:id="104"/>
    </w:p>
    <w:p w14:paraId="7E276673" w14:textId="121FDA01" w:rsidR="00552375" w:rsidRPr="001F1E61" w:rsidRDefault="00552375" w:rsidP="00984D09">
      <w:pPr>
        <w:pStyle w:val="Heading3"/>
      </w:pPr>
      <w:r w:rsidRPr="001F1E61">
        <w:t xml:space="preserve">3.3.1 </w:t>
      </w:r>
      <w:r w:rsidR="006A10D2">
        <w:tab/>
      </w:r>
      <w:r w:rsidRPr="001F1E61">
        <w:t>General process</w:t>
      </w:r>
    </w:p>
    <w:p w14:paraId="48923812" w14:textId="5354D461" w:rsidR="00552375" w:rsidRPr="001F1E61" w:rsidRDefault="00552375" w:rsidP="006A10D2">
      <w:pPr>
        <w:pStyle w:val="BodyText"/>
        <w:ind w:right="-57"/>
      </w:pPr>
      <w:r>
        <w:t>Clause 3.13</w:t>
      </w:r>
      <w:r w:rsidRPr="001F1E61">
        <w:t xml:space="preserve"> requires regional councils to consider any potentially nutrient sensitive</w:t>
      </w:r>
      <w:r w:rsidR="006A10D2">
        <w:t xml:space="preserve"> </w:t>
      </w:r>
      <w:r w:rsidRPr="001F1E61">
        <w:t>downstream environments when setting instream criteria for FMUs. To do this, councils need to carry out an assessment of all potentially sensitive downstream receiving environments to identify which (if</w:t>
      </w:r>
      <w:r w:rsidR="006A10D2">
        <w:t> </w:t>
      </w:r>
      <w:r w:rsidRPr="001F1E61">
        <w:t>any), have lower nutrient requirements than streams or rivers in the FMU</w:t>
      </w:r>
      <w:r w:rsidRPr="001F1E61">
        <w:rPr>
          <w:rStyle w:val="FootnoteReference"/>
          <w:rFonts w:cs="Times New Roman"/>
        </w:rPr>
        <w:footnoteReference w:id="14"/>
      </w:r>
      <w:r w:rsidRPr="001F1E61">
        <w:rPr>
          <w:vertAlign w:val="superscript"/>
        </w:rPr>
        <w:t xml:space="preserve"> </w:t>
      </w:r>
      <w:r w:rsidRPr="001F1E61">
        <w:t xml:space="preserve">to meet their trophic-state objectives. If any are identified, then this would require the setting of instream criteria that are more stringent than those based on meeting periphyton and other freshwater objectives in the upstream FMU. </w:t>
      </w:r>
    </w:p>
    <w:p w14:paraId="2C7DF2C4" w14:textId="3404EA6E" w:rsidR="00552375" w:rsidRPr="001F1E61" w:rsidRDefault="00552375" w:rsidP="00552375">
      <w:pPr>
        <w:pStyle w:val="BodyText"/>
      </w:pPr>
      <w:r w:rsidRPr="001F1E61">
        <w:t xml:space="preserve">This process is illustrated in </w:t>
      </w:r>
      <w:r w:rsidRPr="001F1E61">
        <w:fldChar w:fldCharType="begin"/>
      </w:r>
      <w:r w:rsidRPr="001F1E61">
        <w:instrText xml:space="preserve"> REF _Ref517914425 \h  \* MERGEFORMAT </w:instrText>
      </w:r>
      <w:r w:rsidRPr="001F1E61">
        <w:fldChar w:fldCharType="separate"/>
      </w:r>
      <w:r w:rsidR="001A7243" w:rsidRPr="00FB2379">
        <w:t xml:space="preserve">Figure </w:t>
      </w:r>
      <w:r w:rsidR="001A7243">
        <w:rPr>
          <w:noProof/>
        </w:rPr>
        <w:t>11</w:t>
      </w:r>
      <w:r w:rsidRPr="001F1E61">
        <w:fldChar w:fldCharType="end"/>
      </w:r>
      <w:r w:rsidRPr="001F1E61">
        <w:t xml:space="preserve"> with the FMU instream criteria and a lake receiving environment criteria shown as [X] and [Z], respectively as an example. Conversion of [X] into receiving environment concentration units [Y] is required, which can then be compared with receiving environment criteria [Z], yielding one of two outcomes:</w:t>
      </w:r>
    </w:p>
    <w:p w14:paraId="76D71614" w14:textId="77777777" w:rsidR="00552375" w:rsidRPr="006A10D2" w:rsidRDefault="00552375" w:rsidP="006A10D2">
      <w:pPr>
        <w:pStyle w:val="Sub-listabc"/>
        <w:numPr>
          <w:ilvl w:val="0"/>
          <w:numId w:val="91"/>
        </w:numPr>
        <w:ind w:left="397" w:hanging="397"/>
      </w:pPr>
      <w:r w:rsidRPr="006A10D2">
        <w:t xml:space="preserve">Instream nutrient criteria set to meet FMU periphyton or other freshwater objectives also provide for trophic state objectives sought for downstream receiving environments; ie, [Y] &lt; [Z] – in these instances, downstream receiving environments will not require the setting of more stringent nutrient criteria in the FMU (or parts of it). </w:t>
      </w:r>
    </w:p>
    <w:p w14:paraId="3476E50B" w14:textId="2D1B02E3" w:rsidR="00552375" w:rsidRPr="001F1E61" w:rsidRDefault="00552375" w:rsidP="006A10D2">
      <w:pPr>
        <w:pStyle w:val="Sub-listabc"/>
      </w:pPr>
      <w:r w:rsidRPr="006A10D2">
        <w:t>Instr</w:t>
      </w:r>
      <w:r w:rsidRPr="001F1E61">
        <w:t>eam nutrient criteria derived to meet FMU trophic objectives do not provide for trophic state objectives sought for downstream receiving environments i</w:t>
      </w:r>
      <w:r>
        <w:t>e</w:t>
      </w:r>
      <w:r w:rsidRPr="001F1E61">
        <w:t>, [Y] ≥ [Z] – in these instances, the instream nutrient criteria for the FMU will need to be amended to reflect the lower nutrient criteria required for the receiving environment/s.</w:t>
      </w:r>
      <w:r w:rsidR="00DD47E9">
        <w:t xml:space="preserve"> </w:t>
      </w:r>
    </w:p>
    <w:p w14:paraId="503DA080" w14:textId="06EA5214" w:rsidR="00552375" w:rsidRPr="00FB2379" w:rsidRDefault="00552375" w:rsidP="00552375">
      <w:pPr>
        <w:pStyle w:val="Figureheading"/>
      </w:pPr>
      <w:bookmarkStart w:id="105" w:name="_Ref517914425"/>
      <w:bookmarkStart w:id="106" w:name="_Toc519682847"/>
      <w:bookmarkStart w:id="107" w:name="_Toc521487718"/>
      <w:bookmarkStart w:id="108" w:name="_Toc73711484"/>
      <w:r w:rsidRPr="00FB2379">
        <w:lastRenderedPageBreak/>
        <w:t xml:space="preserve">Figure </w:t>
      </w:r>
      <w:fldSimple w:instr=" SEQ Figure \* ARABIC ">
        <w:r w:rsidR="001A7243">
          <w:rPr>
            <w:noProof/>
          </w:rPr>
          <w:t>11</w:t>
        </w:r>
      </w:fldSimple>
      <w:bookmarkEnd w:id="105"/>
      <w:r>
        <w:t>:</w:t>
      </w:r>
      <w:r>
        <w:tab/>
      </w:r>
      <w:r w:rsidRPr="00FB2379">
        <w:t xml:space="preserve">Key components and pathways envisaged for implementing </w:t>
      </w:r>
      <w:r>
        <w:t>s</w:t>
      </w:r>
      <w:r w:rsidRPr="00FB2379">
        <w:t xml:space="preserve">tep </w:t>
      </w:r>
      <w:r>
        <w:t>(</w:t>
      </w:r>
      <w:r w:rsidRPr="00FB2379">
        <w:t>c</w:t>
      </w:r>
      <w:r>
        <w:t>)</w:t>
      </w:r>
      <w:r w:rsidRPr="00FB2379">
        <w:t xml:space="preserve"> of </w:t>
      </w:r>
      <w:r>
        <w:t>Clause 3.13</w:t>
      </w:r>
      <w:bookmarkEnd w:id="106"/>
      <w:bookmarkEnd w:id="107"/>
      <w:bookmarkEnd w:id="108"/>
    </w:p>
    <w:p w14:paraId="67432F9B" w14:textId="6641FE23" w:rsidR="00552375" w:rsidRPr="006A10D2" w:rsidRDefault="00552375" w:rsidP="006A10D2">
      <w:pPr>
        <w:pStyle w:val="BodyText"/>
      </w:pPr>
      <w:r>
        <w:rPr>
          <w:noProof/>
        </w:rPr>
        <w:drawing>
          <wp:inline distT="0" distB="0" distL="0" distR="0" wp14:anchorId="5F5FB74F" wp14:editId="637EF840">
            <wp:extent cx="5421600" cy="3294000"/>
            <wp:effectExtent l="0" t="0" r="8255" b="1905"/>
            <wp:docPr id="68" name="Picture 68">
              <a:extLst xmlns:a="http://schemas.openxmlformats.org/drawingml/2006/main">
                <a:ext uri="{FF2B5EF4-FFF2-40B4-BE49-F238E27FC236}">
                  <a16:creationId xmlns:a16="http://schemas.microsoft.com/office/drawing/2014/main" id="{4458175E-BC96-401E-901C-A6A591AB4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458175E-BC96-401E-901C-A6A591AB45A8}"/>
                        </a:ext>
                      </a:extLst>
                    </pic:cNvPr>
                    <pic:cNvPicPr>
                      <a:picLocks noChangeAspect="1"/>
                    </pic:cNvPicPr>
                  </pic:nvPicPr>
                  <pic:blipFill>
                    <a:blip r:embed="rId50"/>
                    <a:stretch>
                      <a:fillRect/>
                    </a:stretch>
                  </pic:blipFill>
                  <pic:spPr>
                    <a:xfrm>
                      <a:off x="0" y="0"/>
                      <a:ext cx="5421600" cy="3294000"/>
                    </a:xfrm>
                    <a:prstGeom prst="rect">
                      <a:avLst/>
                    </a:prstGeom>
                  </pic:spPr>
                </pic:pic>
              </a:graphicData>
            </a:graphic>
          </wp:inline>
        </w:drawing>
      </w:r>
    </w:p>
    <w:p w14:paraId="178636BC" w14:textId="77777777" w:rsidR="00552375" w:rsidRPr="001F1E61" w:rsidRDefault="00552375" w:rsidP="006A10D2">
      <w:pPr>
        <w:pStyle w:val="BodyText"/>
      </w:pPr>
      <w:r w:rsidRPr="001F1E61">
        <w:t xml:space="preserve">To compare </w:t>
      </w:r>
      <w:r w:rsidRPr="006A10D2">
        <w:t>FMU</w:t>
      </w:r>
      <w:r w:rsidRPr="001F1E61">
        <w:t xml:space="preserve"> instream to receiving environment nutrient criteria requires: </w:t>
      </w:r>
    </w:p>
    <w:p w14:paraId="12EE9394" w14:textId="15C2D947" w:rsidR="00552375" w:rsidRPr="001F1E61" w:rsidRDefault="00552375" w:rsidP="006A10D2">
      <w:pPr>
        <w:pStyle w:val="Bullet"/>
      </w:pPr>
      <w:r w:rsidRPr="001F1E61">
        <w:t>nutrient criteria expressed in concentrations, and able to be converted into the same nutrient form. For example, conversion of riverine DIN or nitrate-N criteria into TN-based receiving environment criteria</w:t>
      </w:r>
      <w:r w:rsidR="00DD47E9">
        <w:t xml:space="preserve"> </w:t>
      </w:r>
    </w:p>
    <w:p w14:paraId="65A060F7" w14:textId="4215CE97" w:rsidR="00552375" w:rsidRDefault="00552375" w:rsidP="006A10D2">
      <w:pPr>
        <w:pStyle w:val="Bullet"/>
      </w:pPr>
      <w:r w:rsidRPr="001F1E61">
        <w:t>FMU instream nutrient concentrations to be converted into corresponding receiving environment concentrations. For example, a river with a median concentration of 100</w:t>
      </w:r>
      <w:r w:rsidR="006A10D2">
        <w:t> </w:t>
      </w:r>
      <w:r w:rsidRPr="001F1E61">
        <w:t>mg/m</w:t>
      </w:r>
      <w:r w:rsidRPr="001F1E61">
        <w:rPr>
          <w:vertAlign w:val="superscript"/>
        </w:rPr>
        <w:t>3</w:t>
      </w:r>
      <w:r>
        <w:t xml:space="preserve"> of TN will not necessarily correspond to an estuary or lake concentration of</w:t>
      </w:r>
      <w:r w:rsidR="006A10D2">
        <w:t> </w:t>
      </w:r>
      <w:r>
        <w:t>100</w:t>
      </w:r>
      <w:r w:rsidR="006A10D2">
        <w:t> </w:t>
      </w:r>
      <w:r>
        <w:t>mg/m</w:t>
      </w:r>
      <w:r w:rsidRPr="00F001CD">
        <w:rPr>
          <w:vertAlign w:val="superscript"/>
        </w:rPr>
        <w:t>3</w:t>
      </w:r>
      <w:r>
        <w:t>.</w:t>
      </w:r>
    </w:p>
    <w:p w14:paraId="54B4D984" w14:textId="77777777" w:rsidR="00552375" w:rsidRDefault="00552375" w:rsidP="00552375">
      <w:pPr>
        <w:pStyle w:val="BodyText"/>
      </w:pPr>
      <w:r>
        <w:t>These processes are discussed in more detail in section 3.3.3.</w:t>
      </w:r>
    </w:p>
    <w:p w14:paraId="39098B79" w14:textId="59A351E4" w:rsidR="00552375" w:rsidRPr="004F08D4" w:rsidRDefault="00552375" w:rsidP="00984D09">
      <w:pPr>
        <w:pStyle w:val="Heading3"/>
      </w:pPr>
      <w:r w:rsidRPr="00FF5DCD">
        <w:t xml:space="preserve">3.3.2 </w:t>
      </w:r>
      <w:r w:rsidR="006A10D2">
        <w:tab/>
      </w:r>
      <w:r w:rsidRPr="00FF5DCD">
        <w:t>Nutrient criteria to meet trophic state objectives</w:t>
      </w:r>
    </w:p>
    <w:p w14:paraId="3E3877B9" w14:textId="5ED64635" w:rsidR="00552375" w:rsidRPr="00FF5DCD" w:rsidRDefault="00552375" w:rsidP="00552375">
      <w:pPr>
        <w:pStyle w:val="BodyText"/>
      </w:pPr>
      <w:r w:rsidRPr="00FF5DCD">
        <w:t xml:space="preserve">Section 3.2.2 summarised available nutrient criteria and thresholds that can be used to define trophic-state objectives for different types of receiving environments. Of the four receiving environment types considered relevant to </w:t>
      </w:r>
      <w:r>
        <w:t>Clause 3.13</w:t>
      </w:r>
      <w:r w:rsidRPr="00FF5DCD">
        <w:t>, there are indicative values that can be</w:t>
      </w:r>
      <w:r w:rsidR="003740A2">
        <w:t> </w:t>
      </w:r>
      <w:r w:rsidRPr="00FF5DCD">
        <w:t xml:space="preserve">used as screening-level criteria for lakes and estuaries only. Downstream riverine FMUs require instream criteria to be developed under </w:t>
      </w:r>
      <w:r>
        <w:t>s</w:t>
      </w:r>
      <w:r w:rsidRPr="00FF5DCD">
        <w:t xml:space="preserve">tep </w:t>
      </w:r>
      <w:r>
        <w:t>(</w:t>
      </w:r>
      <w:r w:rsidRPr="00FF5DCD">
        <w:t>a</w:t>
      </w:r>
      <w:r>
        <w:t>)</w:t>
      </w:r>
      <w:r w:rsidRPr="00FF5DCD">
        <w:t>. There are currently no nutrient objectives or criteria available for wetlands in New Zealand, where there are known issues councils should develop their own or take a precautionary approach. Criteria for lakes and estuaries are summarised below (</w:t>
      </w:r>
      <w:r w:rsidRPr="00FF5DCD">
        <w:fldChar w:fldCharType="begin"/>
      </w:r>
      <w:r w:rsidRPr="00FF5DCD">
        <w:instrText xml:space="preserve"> REF _Ref518174195 \h  \* MERGEFORMAT </w:instrText>
      </w:r>
      <w:r w:rsidRPr="00FF5DCD">
        <w:fldChar w:fldCharType="separate"/>
      </w:r>
      <w:r w:rsidR="001A7243" w:rsidRPr="000E4058">
        <w:t xml:space="preserve">Table </w:t>
      </w:r>
      <w:r w:rsidR="001A7243">
        <w:rPr>
          <w:noProof/>
        </w:rPr>
        <w:t>8</w:t>
      </w:r>
      <w:r w:rsidRPr="00FF5DCD">
        <w:fldChar w:fldCharType="end"/>
      </w:r>
      <w:r w:rsidRPr="00FF5DCD">
        <w:t>).</w:t>
      </w:r>
    </w:p>
    <w:p w14:paraId="53C29D87" w14:textId="6B567C9C" w:rsidR="00552375" w:rsidRDefault="00552375" w:rsidP="00552375">
      <w:pPr>
        <w:pStyle w:val="Tableheading"/>
      </w:pPr>
      <w:bookmarkStart w:id="109" w:name="_Ref518174195"/>
      <w:bookmarkStart w:id="110" w:name="_Toc519683025"/>
      <w:bookmarkStart w:id="111" w:name="_Toc520810480"/>
      <w:bookmarkStart w:id="112" w:name="_Toc520810684"/>
      <w:bookmarkStart w:id="113" w:name="_Toc520898757"/>
      <w:bookmarkStart w:id="114" w:name="_Toc73713304"/>
      <w:bookmarkStart w:id="115" w:name="_Ref515327560"/>
      <w:bookmarkStart w:id="116" w:name="_Ref513731079"/>
      <w:r w:rsidRPr="000E4058">
        <w:lastRenderedPageBreak/>
        <w:t xml:space="preserve">Table </w:t>
      </w:r>
      <w:fldSimple w:instr=" SEQ Table \* ARABIC ">
        <w:r w:rsidR="001A7243">
          <w:rPr>
            <w:noProof/>
          </w:rPr>
          <w:t>8</w:t>
        </w:r>
      </w:fldSimple>
      <w:bookmarkEnd w:id="109"/>
      <w:r>
        <w:t>:</w:t>
      </w:r>
      <w:r>
        <w:tab/>
      </w:r>
      <w:r w:rsidRPr="00906277">
        <w:t xml:space="preserve">Summary of NPS-FM and other potentially useful nutrient criteria that correspond to the trophic state of downstream receiving environments. Refer to </w:t>
      </w:r>
      <w:hyperlink w:anchor="_3.2.2__Trophic" w:history="1">
        <w:r w:rsidRPr="00732BA1">
          <w:rPr>
            <w:rStyle w:val="Hyperlink"/>
          </w:rPr>
          <w:t>section 3.2.2</w:t>
        </w:r>
      </w:hyperlink>
      <w:r w:rsidRPr="00906277">
        <w:t xml:space="preserve"> for details</w:t>
      </w:r>
      <w:bookmarkEnd w:id="110"/>
      <w:bookmarkEnd w:id="111"/>
      <w:bookmarkEnd w:id="112"/>
      <w:bookmarkEnd w:id="113"/>
      <w:bookmarkEnd w:id="114"/>
    </w:p>
    <w:tbl>
      <w:tblPr>
        <w:tblStyle w:val="TableGrid"/>
        <w:tblW w:w="8556"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1185"/>
        <w:gridCol w:w="784"/>
        <w:gridCol w:w="1571"/>
        <w:gridCol w:w="1280"/>
        <w:gridCol w:w="825"/>
        <w:gridCol w:w="1006"/>
        <w:gridCol w:w="1905"/>
      </w:tblGrid>
      <w:tr w:rsidR="00552375" w14:paraId="4B8435F2" w14:textId="77777777" w:rsidTr="00734F95">
        <w:trPr>
          <w:tblHeader/>
        </w:trPr>
        <w:tc>
          <w:tcPr>
            <w:tcW w:w="693" w:type="pct"/>
            <w:shd w:val="clear" w:color="auto" w:fill="1C556C" w:themeFill="accent1"/>
            <w:vAlign w:val="bottom"/>
          </w:tcPr>
          <w:p w14:paraId="6C222945" w14:textId="77777777" w:rsidR="00552375" w:rsidRPr="00A73245" w:rsidRDefault="00552375" w:rsidP="00734F95">
            <w:pPr>
              <w:pStyle w:val="TableTextbold"/>
              <w:keepNext/>
              <w:rPr>
                <w:color w:val="FFFFFF" w:themeColor="background1"/>
              </w:rPr>
            </w:pPr>
            <w:r>
              <w:rPr>
                <w:color w:val="FFFFFF" w:themeColor="background1"/>
              </w:rPr>
              <w:t>Receiving environment</w:t>
            </w:r>
          </w:p>
        </w:tc>
        <w:tc>
          <w:tcPr>
            <w:tcW w:w="2124" w:type="pct"/>
            <w:gridSpan w:val="3"/>
            <w:shd w:val="clear" w:color="auto" w:fill="1C556C" w:themeFill="accent1"/>
            <w:vAlign w:val="bottom"/>
          </w:tcPr>
          <w:p w14:paraId="7596251D" w14:textId="77777777" w:rsidR="00552375" w:rsidRPr="00A73245" w:rsidRDefault="00552375" w:rsidP="00734F95">
            <w:pPr>
              <w:pStyle w:val="TableTextbold"/>
              <w:keepNext/>
              <w:jc w:val="center"/>
              <w:rPr>
                <w:color w:val="FFFFFF" w:themeColor="background1"/>
              </w:rPr>
            </w:pPr>
            <w:r>
              <w:rPr>
                <w:color w:val="FFFFFF" w:themeColor="background1"/>
              </w:rPr>
              <w:t>Nitrogen (TN) criteria (mg/m</w:t>
            </w:r>
            <w:r w:rsidRPr="006738CF">
              <w:rPr>
                <w:color w:val="FFFFFF" w:themeColor="background1"/>
                <w:vertAlign w:val="superscript"/>
              </w:rPr>
              <w:t>3</w:t>
            </w:r>
            <w:r>
              <w:rPr>
                <w:color w:val="FFFFFF" w:themeColor="background1"/>
              </w:rPr>
              <w:t>)</w:t>
            </w:r>
          </w:p>
        </w:tc>
        <w:tc>
          <w:tcPr>
            <w:tcW w:w="1069" w:type="pct"/>
            <w:gridSpan w:val="2"/>
            <w:shd w:val="clear" w:color="auto" w:fill="1C556C" w:themeFill="accent1"/>
            <w:vAlign w:val="bottom"/>
          </w:tcPr>
          <w:p w14:paraId="1C1ABCDA" w14:textId="77777777" w:rsidR="00552375" w:rsidRDefault="00552375" w:rsidP="00734F95">
            <w:pPr>
              <w:pStyle w:val="TableTextbold"/>
              <w:keepNext/>
              <w:jc w:val="center"/>
              <w:rPr>
                <w:color w:val="FFFFFF" w:themeColor="background1"/>
              </w:rPr>
            </w:pPr>
            <w:r>
              <w:rPr>
                <w:color w:val="FFFFFF" w:themeColor="background1"/>
              </w:rPr>
              <w:t>Phosphorus (TP) criteria (mg/m</w:t>
            </w:r>
            <w:r w:rsidRPr="006738CF">
              <w:rPr>
                <w:color w:val="FFFFFF" w:themeColor="background1"/>
                <w:vertAlign w:val="superscript"/>
              </w:rPr>
              <w:t>3</w:t>
            </w:r>
            <w:r>
              <w:rPr>
                <w:color w:val="FFFFFF" w:themeColor="background1"/>
              </w:rPr>
              <w:t>)</w:t>
            </w:r>
          </w:p>
        </w:tc>
        <w:tc>
          <w:tcPr>
            <w:tcW w:w="1114" w:type="pct"/>
            <w:shd w:val="clear" w:color="auto" w:fill="1C556C" w:themeFill="accent1"/>
            <w:vAlign w:val="bottom"/>
          </w:tcPr>
          <w:p w14:paraId="48CBBFA7" w14:textId="77777777" w:rsidR="00552375" w:rsidRDefault="00552375" w:rsidP="00734F95">
            <w:pPr>
              <w:pStyle w:val="TableTextbold"/>
              <w:keepNext/>
              <w:rPr>
                <w:color w:val="FFFFFF" w:themeColor="background1"/>
              </w:rPr>
            </w:pPr>
            <w:r>
              <w:rPr>
                <w:color w:val="FFFFFF" w:themeColor="background1"/>
              </w:rPr>
              <w:t>Additional comments</w:t>
            </w:r>
          </w:p>
        </w:tc>
      </w:tr>
      <w:tr w:rsidR="00552375" w:rsidRPr="000F7AFA" w14:paraId="5D8991FD" w14:textId="77777777" w:rsidTr="00734F95">
        <w:tc>
          <w:tcPr>
            <w:tcW w:w="693" w:type="pct"/>
            <w:vMerge w:val="restart"/>
            <w:shd w:val="clear" w:color="auto" w:fill="auto"/>
          </w:tcPr>
          <w:p w14:paraId="2A165B4F" w14:textId="77777777" w:rsidR="00552375" w:rsidRPr="006B4810" w:rsidRDefault="00552375" w:rsidP="00734F95">
            <w:pPr>
              <w:pStyle w:val="TableText"/>
              <w:keepNext/>
            </w:pPr>
            <w:r>
              <w:t>Lake</w:t>
            </w:r>
          </w:p>
        </w:tc>
        <w:tc>
          <w:tcPr>
            <w:tcW w:w="458" w:type="pct"/>
          </w:tcPr>
          <w:p w14:paraId="36B9A9BC" w14:textId="77777777" w:rsidR="00552375" w:rsidRPr="006B4810" w:rsidRDefault="00552375" w:rsidP="00CF703B">
            <w:pPr>
              <w:pStyle w:val="TableText"/>
              <w:keepNext/>
              <w:spacing w:before="40" w:after="40"/>
            </w:pPr>
          </w:p>
        </w:tc>
        <w:tc>
          <w:tcPr>
            <w:tcW w:w="918" w:type="pct"/>
            <w:tcBorders>
              <w:bottom w:val="single" w:sz="4" w:space="0" w:color="1C556C" w:themeColor="accent1"/>
            </w:tcBorders>
          </w:tcPr>
          <w:p w14:paraId="0BB16871" w14:textId="77777777" w:rsidR="00552375" w:rsidRPr="006B4810" w:rsidRDefault="00552375" w:rsidP="00CF703B">
            <w:pPr>
              <w:pStyle w:val="TableText"/>
              <w:keepNext/>
              <w:spacing w:before="40" w:after="40"/>
            </w:pPr>
            <w:r>
              <w:t>Stratified/Brackish</w:t>
            </w:r>
          </w:p>
        </w:tc>
        <w:tc>
          <w:tcPr>
            <w:tcW w:w="747" w:type="pct"/>
            <w:tcBorders>
              <w:bottom w:val="single" w:sz="4" w:space="0" w:color="1C556C" w:themeColor="accent1"/>
            </w:tcBorders>
          </w:tcPr>
          <w:p w14:paraId="3000740B" w14:textId="77777777" w:rsidR="00552375" w:rsidRPr="006B4810" w:rsidRDefault="00552375" w:rsidP="00CF703B">
            <w:pPr>
              <w:pStyle w:val="TableText"/>
              <w:keepNext/>
              <w:spacing w:before="40" w:after="40"/>
            </w:pPr>
            <w:r>
              <w:t>Polymictic</w:t>
            </w:r>
          </w:p>
        </w:tc>
        <w:tc>
          <w:tcPr>
            <w:tcW w:w="1069" w:type="pct"/>
            <w:gridSpan w:val="2"/>
          </w:tcPr>
          <w:p w14:paraId="1C709E4B" w14:textId="77777777" w:rsidR="00552375" w:rsidRPr="000F7AFA" w:rsidRDefault="00552375" w:rsidP="00CF703B">
            <w:pPr>
              <w:pStyle w:val="TableText"/>
              <w:keepNext/>
              <w:spacing w:before="40" w:after="40"/>
              <w:rPr>
                <w:szCs w:val="18"/>
              </w:rPr>
            </w:pPr>
          </w:p>
        </w:tc>
        <w:tc>
          <w:tcPr>
            <w:tcW w:w="1114" w:type="pct"/>
            <w:vMerge w:val="restart"/>
          </w:tcPr>
          <w:p w14:paraId="277563FC" w14:textId="77777777" w:rsidR="00552375" w:rsidRPr="000F7AFA" w:rsidRDefault="00552375" w:rsidP="00734F95">
            <w:pPr>
              <w:pStyle w:val="TableText"/>
              <w:keepNext/>
              <w:rPr>
                <w:szCs w:val="18"/>
              </w:rPr>
            </w:pPr>
            <w:r w:rsidRPr="00E56EB5">
              <w:rPr>
                <w:szCs w:val="18"/>
              </w:rPr>
              <w:t>NPS-FM attribute band thresholds (both N &amp; P)</w:t>
            </w:r>
          </w:p>
        </w:tc>
      </w:tr>
      <w:tr w:rsidR="00552375" w:rsidRPr="000F7AFA" w14:paraId="51752B83" w14:textId="77777777" w:rsidTr="00734F95">
        <w:tc>
          <w:tcPr>
            <w:tcW w:w="693" w:type="pct"/>
            <w:vMerge/>
            <w:shd w:val="clear" w:color="auto" w:fill="auto"/>
          </w:tcPr>
          <w:p w14:paraId="01B26FC7" w14:textId="77777777" w:rsidR="00552375" w:rsidRPr="006B4810" w:rsidRDefault="00552375" w:rsidP="00734F95">
            <w:pPr>
              <w:pStyle w:val="TableText"/>
              <w:keepNext/>
            </w:pPr>
          </w:p>
        </w:tc>
        <w:tc>
          <w:tcPr>
            <w:tcW w:w="458" w:type="pct"/>
          </w:tcPr>
          <w:p w14:paraId="3576E91B" w14:textId="77777777" w:rsidR="00552375" w:rsidRPr="006C4256" w:rsidRDefault="00552375" w:rsidP="00CF703B">
            <w:pPr>
              <w:pStyle w:val="TableText"/>
              <w:keepNext/>
              <w:spacing w:before="40" w:after="40"/>
              <w:rPr>
                <w:b/>
              </w:rPr>
            </w:pPr>
            <w:r w:rsidRPr="006C4256">
              <w:rPr>
                <w:b/>
              </w:rPr>
              <w:t>Band A</w:t>
            </w:r>
            <w:r>
              <w:rPr>
                <w:b/>
              </w:rPr>
              <w:t>:</w:t>
            </w:r>
          </w:p>
        </w:tc>
        <w:tc>
          <w:tcPr>
            <w:tcW w:w="918" w:type="pct"/>
            <w:tcBorders>
              <w:bottom w:val="nil"/>
              <w:right w:val="nil"/>
            </w:tcBorders>
          </w:tcPr>
          <w:p w14:paraId="2DD9730D" w14:textId="77777777" w:rsidR="00552375" w:rsidRPr="006B4810" w:rsidRDefault="00552375" w:rsidP="00CF703B">
            <w:pPr>
              <w:pStyle w:val="TableText"/>
              <w:keepNext/>
              <w:spacing w:before="40" w:after="40"/>
            </w:pPr>
            <w:r>
              <w:rPr>
                <w:szCs w:val="18"/>
              </w:rPr>
              <w:t>≤</w:t>
            </w:r>
            <w:r w:rsidRPr="00AE0FC1">
              <w:rPr>
                <w:szCs w:val="18"/>
              </w:rPr>
              <w:t>160</w:t>
            </w:r>
          </w:p>
        </w:tc>
        <w:tc>
          <w:tcPr>
            <w:tcW w:w="747" w:type="pct"/>
            <w:tcBorders>
              <w:left w:val="nil"/>
              <w:bottom w:val="nil"/>
            </w:tcBorders>
          </w:tcPr>
          <w:p w14:paraId="0A1F73B9" w14:textId="77777777" w:rsidR="00552375" w:rsidRPr="006B4810" w:rsidRDefault="00552375" w:rsidP="00CF703B">
            <w:pPr>
              <w:pStyle w:val="TableText"/>
              <w:keepNext/>
              <w:spacing w:before="40" w:after="40"/>
            </w:pPr>
            <w:r>
              <w:rPr>
                <w:szCs w:val="18"/>
              </w:rPr>
              <w:t>≤</w:t>
            </w:r>
            <w:r w:rsidRPr="006951E9">
              <w:rPr>
                <w:szCs w:val="18"/>
              </w:rPr>
              <w:t>300</w:t>
            </w:r>
          </w:p>
        </w:tc>
        <w:tc>
          <w:tcPr>
            <w:tcW w:w="482" w:type="pct"/>
          </w:tcPr>
          <w:p w14:paraId="73A723F2" w14:textId="77777777" w:rsidR="00552375" w:rsidRPr="006C4256" w:rsidRDefault="00552375" w:rsidP="00CF703B">
            <w:pPr>
              <w:pStyle w:val="TableText"/>
              <w:keepNext/>
              <w:spacing w:before="40" w:after="40"/>
              <w:rPr>
                <w:b/>
                <w:szCs w:val="18"/>
              </w:rPr>
            </w:pPr>
            <w:r w:rsidRPr="006C4256">
              <w:rPr>
                <w:b/>
              </w:rPr>
              <w:t>Band A</w:t>
            </w:r>
            <w:r>
              <w:rPr>
                <w:b/>
              </w:rPr>
              <w:t>:</w:t>
            </w:r>
          </w:p>
        </w:tc>
        <w:tc>
          <w:tcPr>
            <w:tcW w:w="588" w:type="pct"/>
          </w:tcPr>
          <w:p w14:paraId="6E1AED67" w14:textId="77777777" w:rsidR="00552375" w:rsidRPr="000F7AFA" w:rsidRDefault="00552375" w:rsidP="00CF703B">
            <w:pPr>
              <w:pStyle w:val="TableText"/>
              <w:keepNext/>
              <w:spacing w:before="40" w:after="40"/>
              <w:rPr>
                <w:szCs w:val="18"/>
              </w:rPr>
            </w:pPr>
            <w:r>
              <w:rPr>
                <w:szCs w:val="18"/>
              </w:rPr>
              <w:t>≤10</w:t>
            </w:r>
          </w:p>
        </w:tc>
        <w:tc>
          <w:tcPr>
            <w:tcW w:w="1114" w:type="pct"/>
            <w:vMerge/>
          </w:tcPr>
          <w:p w14:paraId="1A12773D" w14:textId="77777777" w:rsidR="00552375" w:rsidRPr="000F7AFA" w:rsidRDefault="00552375" w:rsidP="00734F95">
            <w:pPr>
              <w:pStyle w:val="TableText"/>
              <w:keepNext/>
              <w:rPr>
                <w:szCs w:val="18"/>
              </w:rPr>
            </w:pPr>
          </w:p>
        </w:tc>
      </w:tr>
      <w:tr w:rsidR="00552375" w:rsidRPr="000F7AFA" w14:paraId="408A09D1" w14:textId="77777777" w:rsidTr="00734F95">
        <w:tc>
          <w:tcPr>
            <w:tcW w:w="693" w:type="pct"/>
            <w:vMerge/>
            <w:shd w:val="clear" w:color="auto" w:fill="auto"/>
          </w:tcPr>
          <w:p w14:paraId="17131DF4" w14:textId="77777777" w:rsidR="00552375" w:rsidRPr="006B4810" w:rsidRDefault="00552375" w:rsidP="00734F95">
            <w:pPr>
              <w:pStyle w:val="TableText"/>
              <w:keepNext/>
            </w:pPr>
          </w:p>
        </w:tc>
        <w:tc>
          <w:tcPr>
            <w:tcW w:w="458" w:type="pct"/>
          </w:tcPr>
          <w:p w14:paraId="5370D98E" w14:textId="77777777" w:rsidR="00552375" w:rsidRPr="006C4256" w:rsidRDefault="00552375" w:rsidP="00CF703B">
            <w:pPr>
              <w:pStyle w:val="TableText"/>
              <w:keepNext/>
              <w:spacing w:before="40" w:after="40"/>
              <w:rPr>
                <w:b/>
              </w:rPr>
            </w:pPr>
            <w:r w:rsidRPr="006C4256">
              <w:rPr>
                <w:b/>
              </w:rPr>
              <w:t>Band B</w:t>
            </w:r>
            <w:r>
              <w:rPr>
                <w:b/>
              </w:rPr>
              <w:t>:</w:t>
            </w:r>
          </w:p>
        </w:tc>
        <w:tc>
          <w:tcPr>
            <w:tcW w:w="918" w:type="pct"/>
            <w:tcBorders>
              <w:top w:val="nil"/>
              <w:bottom w:val="nil"/>
              <w:right w:val="nil"/>
            </w:tcBorders>
          </w:tcPr>
          <w:p w14:paraId="2B56F41B" w14:textId="77777777" w:rsidR="00552375" w:rsidRPr="006B4810" w:rsidRDefault="00552375" w:rsidP="00CF703B">
            <w:pPr>
              <w:pStyle w:val="TableText"/>
              <w:keepNext/>
              <w:spacing w:before="40" w:after="40"/>
            </w:pPr>
            <w:r>
              <w:rPr>
                <w:szCs w:val="18"/>
              </w:rPr>
              <w:t>&gt;160 to ≤</w:t>
            </w:r>
            <w:r w:rsidRPr="00AE0FC1">
              <w:rPr>
                <w:szCs w:val="18"/>
              </w:rPr>
              <w:t>350</w:t>
            </w:r>
          </w:p>
        </w:tc>
        <w:tc>
          <w:tcPr>
            <w:tcW w:w="747" w:type="pct"/>
            <w:tcBorders>
              <w:top w:val="nil"/>
              <w:left w:val="nil"/>
              <w:bottom w:val="nil"/>
            </w:tcBorders>
          </w:tcPr>
          <w:p w14:paraId="41DF6947" w14:textId="77777777" w:rsidR="00552375" w:rsidRPr="006B4810" w:rsidRDefault="00552375" w:rsidP="00CF703B">
            <w:pPr>
              <w:pStyle w:val="TableText"/>
              <w:keepNext/>
              <w:spacing w:before="40" w:after="40"/>
            </w:pPr>
            <w:r>
              <w:rPr>
                <w:szCs w:val="18"/>
              </w:rPr>
              <w:t>&gt;300 to ≤</w:t>
            </w:r>
            <w:r w:rsidRPr="006951E9">
              <w:rPr>
                <w:szCs w:val="18"/>
              </w:rPr>
              <w:t>500</w:t>
            </w:r>
          </w:p>
        </w:tc>
        <w:tc>
          <w:tcPr>
            <w:tcW w:w="482" w:type="pct"/>
          </w:tcPr>
          <w:p w14:paraId="32D6AED9" w14:textId="77777777" w:rsidR="00552375" w:rsidRPr="006C4256" w:rsidRDefault="00552375" w:rsidP="00CF703B">
            <w:pPr>
              <w:pStyle w:val="TableText"/>
              <w:keepNext/>
              <w:spacing w:before="40" w:after="40"/>
              <w:rPr>
                <w:b/>
                <w:szCs w:val="18"/>
              </w:rPr>
            </w:pPr>
            <w:r w:rsidRPr="006C4256">
              <w:rPr>
                <w:b/>
              </w:rPr>
              <w:t>Band B</w:t>
            </w:r>
            <w:r>
              <w:rPr>
                <w:b/>
              </w:rPr>
              <w:t>:</w:t>
            </w:r>
          </w:p>
        </w:tc>
        <w:tc>
          <w:tcPr>
            <w:tcW w:w="588" w:type="pct"/>
          </w:tcPr>
          <w:p w14:paraId="70FE7D71" w14:textId="77777777" w:rsidR="00552375" w:rsidRPr="000F7AFA" w:rsidRDefault="00552375" w:rsidP="00CF703B">
            <w:pPr>
              <w:pStyle w:val="TableText"/>
              <w:keepNext/>
              <w:spacing w:before="40" w:after="40"/>
              <w:rPr>
                <w:szCs w:val="18"/>
              </w:rPr>
            </w:pPr>
            <w:r>
              <w:rPr>
                <w:szCs w:val="18"/>
              </w:rPr>
              <w:t>&gt;10 to ≤20</w:t>
            </w:r>
          </w:p>
        </w:tc>
        <w:tc>
          <w:tcPr>
            <w:tcW w:w="1114" w:type="pct"/>
            <w:vMerge/>
          </w:tcPr>
          <w:p w14:paraId="6E1F443F" w14:textId="77777777" w:rsidR="00552375" w:rsidRPr="000F7AFA" w:rsidRDefault="00552375" w:rsidP="00734F95">
            <w:pPr>
              <w:pStyle w:val="TableText"/>
              <w:keepNext/>
              <w:rPr>
                <w:szCs w:val="18"/>
              </w:rPr>
            </w:pPr>
          </w:p>
        </w:tc>
      </w:tr>
      <w:tr w:rsidR="00552375" w:rsidRPr="000F7AFA" w14:paraId="692F6E67" w14:textId="77777777" w:rsidTr="00734F95">
        <w:tc>
          <w:tcPr>
            <w:tcW w:w="693" w:type="pct"/>
            <w:vMerge/>
            <w:shd w:val="clear" w:color="auto" w:fill="auto"/>
          </w:tcPr>
          <w:p w14:paraId="0AA7642E" w14:textId="77777777" w:rsidR="00552375" w:rsidRPr="006B4810" w:rsidRDefault="00552375" w:rsidP="00552375">
            <w:pPr>
              <w:pStyle w:val="TableText"/>
            </w:pPr>
          </w:p>
        </w:tc>
        <w:tc>
          <w:tcPr>
            <w:tcW w:w="458" w:type="pct"/>
          </w:tcPr>
          <w:p w14:paraId="52BAF69A" w14:textId="77777777" w:rsidR="00552375" w:rsidRPr="006C4256" w:rsidRDefault="00552375" w:rsidP="00CF703B">
            <w:pPr>
              <w:pStyle w:val="TableText"/>
              <w:spacing w:before="40" w:after="40"/>
              <w:rPr>
                <w:b/>
              </w:rPr>
            </w:pPr>
            <w:r w:rsidRPr="006C4256">
              <w:rPr>
                <w:b/>
              </w:rPr>
              <w:t>Band C</w:t>
            </w:r>
            <w:r>
              <w:rPr>
                <w:b/>
              </w:rPr>
              <w:t>:</w:t>
            </w:r>
          </w:p>
        </w:tc>
        <w:tc>
          <w:tcPr>
            <w:tcW w:w="918" w:type="pct"/>
            <w:tcBorders>
              <w:top w:val="nil"/>
              <w:bottom w:val="nil"/>
              <w:right w:val="nil"/>
            </w:tcBorders>
          </w:tcPr>
          <w:p w14:paraId="69934D21" w14:textId="77777777" w:rsidR="00552375" w:rsidRPr="006B4810" w:rsidRDefault="00552375" w:rsidP="00CF703B">
            <w:pPr>
              <w:pStyle w:val="TableText"/>
              <w:spacing w:before="40" w:after="40"/>
            </w:pPr>
            <w:r>
              <w:rPr>
                <w:szCs w:val="18"/>
              </w:rPr>
              <w:t>&gt;350 to ≤</w:t>
            </w:r>
            <w:r w:rsidRPr="00AE0FC1">
              <w:rPr>
                <w:szCs w:val="18"/>
              </w:rPr>
              <w:t>750</w:t>
            </w:r>
          </w:p>
        </w:tc>
        <w:tc>
          <w:tcPr>
            <w:tcW w:w="747" w:type="pct"/>
            <w:tcBorders>
              <w:top w:val="nil"/>
              <w:left w:val="nil"/>
              <w:bottom w:val="nil"/>
            </w:tcBorders>
          </w:tcPr>
          <w:p w14:paraId="5302ED5D" w14:textId="77777777" w:rsidR="00552375" w:rsidRPr="006B4810" w:rsidRDefault="00552375" w:rsidP="00CF703B">
            <w:pPr>
              <w:pStyle w:val="TableText"/>
              <w:spacing w:before="40" w:after="40"/>
            </w:pPr>
            <w:r>
              <w:rPr>
                <w:szCs w:val="18"/>
              </w:rPr>
              <w:t>&gt;500 to ≤</w:t>
            </w:r>
            <w:r w:rsidRPr="006951E9">
              <w:rPr>
                <w:szCs w:val="18"/>
              </w:rPr>
              <w:t>800</w:t>
            </w:r>
          </w:p>
        </w:tc>
        <w:tc>
          <w:tcPr>
            <w:tcW w:w="482" w:type="pct"/>
          </w:tcPr>
          <w:p w14:paraId="3258E4B9" w14:textId="77777777" w:rsidR="00552375" w:rsidRPr="006C4256" w:rsidRDefault="00552375" w:rsidP="00CF703B">
            <w:pPr>
              <w:pStyle w:val="TableText"/>
              <w:spacing w:before="40" w:after="40"/>
              <w:rPr>
                <w:b/>
                <w:szCs w:val="18"/>
              </w:rPr>
            </w:pPr>
            <w:r w:rsidRPr="006C4256">
              <w:rPr>
                <w:b/>
              </w:rPr>
              <w:t>Band C</w:t>
            </w:r>
            <w:r>
              <w:rPr>
                <w:b/>
              </w:rPr>
              <w:t>:</w:t>
            </w:r>
          </w:p>
        </w:tc>
        <w:tc>
          <w:tcPr>
            <w:tcW w:w="588" w:type="pct"/>
          </w:tcPr>
          <w:p w14:paraId="174B622E" w14:textId="77777777" w:rsidR="00552375" w:rsidRPr="000F7AFA" w:rsidRDefault="00552375" w:rsidP="00CF703B">
            <w:pPr>
              <w:pStyle w:val="TableText"/>
              <w:spacing w:before="40" w:after="40"/>
              <w:rPr>
                <w:szCs w:val="18"/>
              </w:rPr>
            </w:pPr>
            <w:r>
              <w:rPr>
                <w:szCs w:val="18"/>
              </w:rPr>
              <w:t>&gt;20 to ≤50</w:t>
            </w:r>
          </w:p>
        </w:tc>
        <w:tc>
          <w:tcPr>
            <w:tcW w:w="1114" w:type="pct"/>
            <w:vMerge/>
          </w:tcPr>
          <w:p w14:paraId="42023170" w14:textId="77777777" w:rsidR="00552375" w:rsidRPr="000F7AFA" w:rsidRDefault="00552375" w:rsidP="00552375">
            <w:pPr>
              <w:pStyle w:val="TableText"/>
              <w:rPr>
                <w:szCs w:val="18"/>
              </w:rPr>
            </w:pPr>
          </w:p>
        </w:tc>
      </w:tr>
      <w:tr w:rsidR="00552375" w:rsidRPr="000F7AFA" w14:paraId="0AEB35AB" w14:textId="77777777" w:rsidTr="00734F95">
        <w:tc>
          <w:tcPr>
            <w:tcW w:w="693" w:type="pct"/>
            <w:vMerge/>
            <w:shd w:val="clear" w:color="auto" w:fill="auto"/>
          </w:tcPr>
          <w:p w14:paraId="5BAB41A7" w14:textId="77777777" w:rsidR="00552375" w:rsidRPr="006B4810" w:rsidRDefault="00552375" w:rsidP="00552375">
            <w:pPr>
              <w:pStyle w:val="TableText"/>
            </w:pPr>
          </w:p>
        </w:tc>
        <w:tc>
          <w:tcPr>
            <w:tcW w:w="458" w:type="pct"/>
          </w:tcPr>
          <w:p w14:paraId="54029482" w14:textId="77777777" w:rsidR="00552375" w:rsidRPr="006C4256" w:rsidRDefault="00552375" w:rsidP="00CF703B">
            <w:pPr>
              <w:pStyle w:val="TableText"/>
              <w:spacing w:before="40" w:after="40"/>
              <w:rPr>
                <w:b/>
              </w:rPr>
            </w:pPr>
            <w:r w:rsidRPr="006C4256">
              <w:rPr>
                <w:b/>
              </w:rPr>
              <w:t>Band D</w:t>
            </w:r>
            <w:r>
              <w:rPr>
                <w:b/>
              </w:rPr>
              <w:t>:</w:t>
            </w:r>
          </w:p>
        </w:tc>
        <w:tc>
          <w:tcPr>
            <w:tcW w:w="918" w:type="pct"/>
            <w:tcBorders>
              <w:top w:val="nil"/>
              <w:right w:val="nil"/>
            </w:tcBorders>
          </w:tcPr>
          <w:p w14:paraId="02082E33" w14:textId="77777777" w:rsidR="00552375" w:rsidRPr="006B4810" w:rsidRDefault="00552375" w:rsidP="00CF703B">
            <w:pPr>
              <w:pStyle w:val="TableText"/>
              <w:spacing w:before="40" w:after="40"/>
            </w:pPr>
            <w:r w:rsidRPr="00AE0FC1">
              <w:rPr>
                <w:szCs w:val="18"/>
              </w:rPr>
              <w:t>&gt;750</w:t>
            </w:r>
          </w:p>
        </w:tc>
        <w:tc>
          <w:tcPr>
            <w:tcW w:w="747" w:type="pct"/>
            <w:tcBorders>
              <w:top w:val="nil"/>
              <w:left w:val="nil"/>
            </w:tcBorders>
          </w:tcPr>
          <w:p w14:paraId="0EE10E62" w14:textId="77777777" w:rsidR="00552375" w:rsidRPr="006B4810" w:rsidRDefault="00552375" w:rsidP="00CF703B">
            <w:pPr>
              <w:pStyle w:val="TableText"/>
              <w:spacing w:before="40" w:after="40"/>
            </w:pPr>
            <w:r w:rsidRPr="006951E9">
              <w:rPr>
                <w:szCs w:val="18"/>
              </w:rPr>
              <w:t>&gt;800</w:t>
            </w:r>
          </w:p>
        </w:tc>
        <w:tc>
          <w:tcPr>
            <w:tcW w:w="482" w:type="pct"/>
          </w:tcPr>
          <w:p w14:paraId="6AF16D63" w14:textId="77777777" w:rsidR="00552375" w:rsidRPr="006C4256" w:rsidRDefault="00552375" w:rsidP="00CF703B">
            <w:pPr>
              <w:pStyle w:val="TableText"/>
              <w:spacing w:before="40" w:after="40"/>
              <w:rPr>
                <w:b/>
                <w:szCs w:val="18"/>
              </w:rPr>
            </w:pPr>
            <w:r w:rsidRPr="006C4256">
              <w:rPr>
                <w:b/>
              </w:rPr>
              <w:t>Band D</w:t>
            </w:r>
            <w:r>
              <w:rPr>
                <w:b/>
              </w:rPr>
              <w:t>:</w:t>
            </w:r>
          </w:p>
        </w:tc>
        <w:tc>
          <w:tcPr>
            <w:tcW w:w="588" w:type="pct"/>
          </w:tcPr>
          <w:p w14:paraId="4AFE711D" w14:textId="77777777" w:rsidR="00552375" w:rsidRPr="000F7AFA" w:rsidRDefault="00552375" w:rsidP="00CF703B">
            <w:pPr>
              <w:pStyle w:val="TableText"/>
              <w:spacing w:before="40" w:after="40"/>
              <w:rPr>
                <w:szCs w:val="18"/>
              </w:rPr>
            </w:pPr>
            <w:r>
              <w:rPr>
                <w:szCs w:val="18"/>
              </w:rPr>
              <w:t>&gt;50</w:t>
            </w:r>
          </w:p>
        </w:tc>
        <w:tc>
          <w:tcPr>
            <w:tcW w:w="1114" w:type="pct"/>
            <w:vMerge/>
          </w:tcPr>
          <w:p w14:paraId="1E465302" w14:textId="77777777" w:rsidR="00552375" w:rsidRPr="000F7AFA" w:rsidRDefault="00552375" w:rsidP="00552375">
            <w:pPr>
              <w:pStyle w:val="TableText"/>
              <w:rPr>
                <w:szCs w:val="18"/>
              </w:rPr>
            </w:pPr>
          </w:p>
        </w:tc>
      </w:tr>
      <w:tr w:rsidR="00552375" w14:paraId="37DC1492" w14:textId="77777777" w:rsidTr="00734F95">
        <w:trPr>
          <w:trHeight w:val="5789"/>
        </w:trPr>
        <w:tc>
          <w:tcPr>
            <w:tcW w:w="693" w:type="pct"/>
            <w:shd w:val="clear" w:color="auto" w:fill="auto"/>
          </w:tcPr>
          <w:p w14:paraId="7C768E99" w14:textId="77777777" w:rsidR="00552375" w:rsidRDefault="00552375" w:rsidP="00552375">
            <w:pPr>
              <w:pStyle w:val="TableText"/>
            </w:pPr>
            <w:r>
              <w:t>Estuary</w:t>
            </w:r>
          </w:p>
        </w:tc>
        <w:tc>
          <w:tcPr>
            <w:tcW w:w="2124" w:type="pct"/>
            <w:gridSpan w:val="3"/>
          </w:tcPr>
          <w:p w14:paraId="6B498D99" w14:textId="77777777" w:rsidR="00552375" w:rsidRPr="006C4256" w:rsidRDefault="00552375" w:rsidP="00552375">
            <w:pPr>
              <w:pStyle w:val="TableText"/>
              <w:rPr>
                <w:szCs w:val="18"/>
              </w:rPr>
            </w:pPr>
            <w:r>
              <w:rPr>
                <w:szCs w:val="18"/>
              </w:rPr>
              <w:t xml:space="preserve">Expressed as </w:t>
            </w:r>
            <w:r w:rsidRPr="00280A6A">
              <w:rPr>
                <w:i/>
                <w:szCs w:val="18"/>
              </w:rPr>
              <w:t>potential</w:t>
            </w:r>
            <w:r>
              <w:rPr>
                <w:szCs w:val="18"/>
              </w:rPr>
              <w:t xml:space="preserve"> TN concentrations (nitrate N also possible). </w:t>
            </w:r>
          </w:p>
          <w:p w14:paraId="7FCA16E5" w14:textId="77777777" w:rsidR="00552375" w:rsidRPr="00280A6A" w:rsidRDefault="00552375" w:rsidP="001266CB">
            <w:pPr>
              <w:pStyle w:val="TableText"/>
              <w:spacing w:after="0"/>
              <w:rPr>
                <w:b/>
                <w:szCs w:val="18"/>
              </w:rPr>
            </w:pPr>
            <w:r w:rsidRPr="00280A6A">
              <w:rPr>
                <w:b/>
                <w:szCs w:val="18"/>
              </w:rPr>
              <w:t>Macro</w:t>
            </w:r>
            <w:r>
              <w:rPr>
                <w:b/>
                <w:szCs w:val="18"/>
              </w:rPr>
              <w:t>algal-based</w:t>
            </w:r>
            <w:r w:rsidRPr="00280A6A">
              <w:rPr>
                <w:b/>
                <w:szCs w:val="18"/>
              </w:rPr>
              <w:t xml:space="preserve"> trophic bands:</w:t>
            </w:r>
          </w:p>
          <w:p w14:paraId="06DD5A30" w14:textId="34B1EA8D" w:rsidR="00552375" w:rsidRDefault="00552375" w:rsidP="001266CB">
            <w:pPr>
              <w:pStyle w:val="TableText"/>
              <w:spacing w:after="0"/>
              <w:rPr>
                <w:szCs w:val="18"/>
              </w:rPr>
            </w:pPr>
            <w:r w:rsidRPr="00280A6A">
              <w:rPr>
                <w:b/>
                <w:szCs w:val="18"/>
              </w:rPr>
              <w:t>Band A</w:t>
            </w:r>
            <w:r>
              <w:rPr>
                <w:b/>
                <w:szCs w:val="18"/>
              </w:rPr>
              <w:t>:</w:t>
            </w:r>
            <w:r w:rsidR="00DD47E9">
              <w:rPr>
                <w:szCs w:val="18"/>
              </w:rPr>
              <w:t xml:space="preserve"> </w:t>
            </w:r>
            <w:r>
              <w:rPr>
                <w:szCs w:val="18"/>
              </w:rPr>
              <w:t>&lt;55</w:t>
            </w:r>
          </w:p>
          <w:p w14:paraId="74D994D0" w14:textId="5166DD1F" w:rsidR="00552375" w:rsidRDefault="00552375" w:rsidP="001266CB">
            <w:pPr>
              <w:pStyle w:val="TableText"/>
              <w:spacing w:after="0"/>
              <w:rPr>
                <w:szCs w:val="18"/>
              </w:rPr>
            </w:pPr>
            <w:r w:rsidRPr="00280A6A">
              <w:rPr>
                <w:b/>
                <w:szCs w:val="18"/>
              </w:rPr>
              <w:t>Band B</w:t>
            </w:r>
            <w:r>
              <w:rPr>
                <w:szCs w:val="18"/>
              </w:rPr>
              <w:t>:</w:t>
            </w:r>
            <w:r w:rsidR="00DD47E9">
              <w:rPr>
                <w:szCs w:val="18"/>
              </w:rPr>
              <w:t xml:space="preserve"> </w:t>
            </w:r>
            <w:r>
              <w:rPr>
                <w:szCs w:val="18"/>
              </w:rPr>
              <w:t>≥55 to &lt;180</w:t>
            </w:r>
          </w:p>
          <w:p w14:paraId="5A2EE44D" w14:textId="4851D22F" w:rsidR="00552375" w:rsidRDefault="00552375" w:rsidP="001266CB">
            <w:pPr>
              <w:pStyle w:val="TableText"/>
              <w:spacing w:after="0"/>
              <w:rPr>
                <w:szCs w:val="18"/>
              </w:rPr>
            </w:pPr>
            <w:r w:rsidRPr="00280A6A">
              <w:rPr>
                <w:b/>
                <w:szCs w:val="18"/>
              </w:rPr>
              <w:t>Band C</w:t>
            </w:r>
            <w:r>
              <w:rPr>
                <w:b/>
                <w:szCs w:val="18"/>
              </w:rPr>
              <w:t>:</w:t>
            </w:r>
            <w:r w:rsidR="00DD47E9">
              <w:rPr>
                <w:b/>
                <w:szCs w:val="18"/>
              </w:rPr>
              <w:t xml:space="preserve"> </w:t>
            </w:r>
            <w:r>
              <w:rPr>
                <w:szCs w:val="18"/>
              </w:rPr>
              <w:t>≥180 to &lt;350</w:t>
            </w:r>
          </w:p>
          <w:p w14:paraId="53F937D0" w14:textId="44F98820" w:rsidR="00552375" w:rsidRDefault="00552375" w:rsidP="00552375">
            <w:pPr>
              <w:pStyle w:val="TableText"/>
              <w:rPr>
                <w:szCs w:val="18"/>
                <w:vertAlign w:val="superscript"/>
              </w:rPr>
            </w:pPr>
            <w:r w:rsidRPr="00280A6A">
              <w:rPr>
                <w:b/>
                <w:szCs w:val="18"/>
              </w:rPr>
              <w:t>Band D</w:t>
            </w:r>
            <w:r>
              <w:rPr>
                <w:b/>
                <w:szCs w:val="18"/>
              </w:rPr>
              <w:t>:</w:t>
            </w:r>
            <w:r w:rsidR="00DD47E9">
              <w:rPr>
                <w:szCs w:val="18"/>
              </w:rPr>
              <w:t xml:space="preserve"> </w:t>
            </w:r>
            <w:r>
              <w:rPr>
                <w:szCs w:val="18"/>
              </w:rPr>
              <w:t>≥350</w:t>
            </w:r>
          </w:p>
          <w:p w14:paraId="1ADEF83D" w14:textId="77777777" w:rsidR="00552375" w:rsidRDefault="00552375" w:rsidP="001266CB">
            <w:pPr>
              <w:pStyle w:val="TableText"/>
              <w:spacing w:after="0"/>
              <w:rPr>
                <w:b/>
                <w:szCs w:val="18"/>
              </w:rPr>
            </w:pPr>
            <w:r>
              <w:rPr>
                <w:b/>
                <w:szCs w:val="18"/>
              </w:rPr>
              <w:t>Phytoplankton-based</w:t>
            </w:r>
            <w:r w:rsidRPr="00280A6A">
              <w:rPr>
                <w:b/>
                <w:szCs w:val="18"/>
              </w:rPr>
              <w:t xml:space="preserve"> trophic bands:</w:t>
            </w:r>
          </w:p>
          <w:p w14:paraId="76E5EF2F" w14:textId="77777777" w:rsidR="00552375" w:rsidRDefault="00552375" w:rsidP="00552375">
            <w:pPr>
              <w:pStyle w:val="TableText"/>
              <w:rPr>
                <w:szCs w:val="18"/>
              </w:rPr>
            </w:pPr>
            <w:r w:rsidRPr="00904F50">
              <w:rPr>
                <w:i/>
                <w:szCs w:val="18"/>
              </w:rPr>
              <w:t>for short flushing times (c. ≤3 days),</w:t>
            </w:r>
            <w:r>
              <w:rPr>
                <w:szCs w:val="18"/>
              </w:rPr>
              <w:t xml:space="preserve"> </w:t>
            </w:r>
            <w:r w:rsidRPr="00904F50">
              <w:rPr>
                <w:i/>
                <w:szCs w:val="18"/>
              </w:rPr>
              <w:t xml:space="preserve">FMU nutrient criteria are unlikely to result in estuary trophic </w:t>
            </w:r>
            <w:r>
              <w:rPr>
                <w:i/>
                <w:szCs w:val="18"/>
              </w:rPr>
              <w:t>states</w:t>
            </w:r>
            <w:r w:rsidRPr="00904F50">
              <w:rPr>
                <w:i/>
                <w:szCs w:val="18"/>
              </w:rPr>
              <w:t xml:space="preserve"> not being met</w:t>
            </w:r>
            <w:r>
              <w:rPr>
                <w:szCs w:val="18"/>
              </w:rPr>
              <w:t xml:space="preserve"> </w:t>
            </w:r>
          </w:p>
          <w:p w14:paraId="6E15D2A9" w14:textId="77777777" w:rsidR="00552375" w:rsidRPr="00280A6A" w:rsidRDefault="00552375" w:rsidP="001266CB">
            <w:pPr>
              <w:pStyle w:val="TableText"/>
              <w:spacing w:after="0"/>
              <w:rPr>
                <w:szCs w:val="18"/>
              </w:rPr>
            </w:pPr>
            <w:r>
              <w:rPr>
                <w:szCs w:val="18"/>
              </w:rPr>
              <w:t xml:space="preserve">for longer flushing times (c. ≥3-4 days), the following indicative </w:t>
            </w:r>
            <w:r w:rsidRPr="0019535E">
              <w:rPr>
                <w:i/>
                <w:szCs w:val="18"/>
              </w:rPr>
              <w:t xml:space="preserve">potential </w:t>
            </w:r>
            <w:r>
              <w:rPr>
                <w:szCs w:val="18"/>
              </w:rPr>
              <w:t>TN criteria are proposed:</w:t>
            </w:r>
          </w:p>
          <w:p w14:paraId="563F8F82" w14:textId="69B8101F" w:rsidR="00552375" w:rsidRDefault="00552375" w:rsidP="001266CB">
            <w:pPr>
              <w:pStyle w:val="TableText"/>
              <w:spacing w:after="0"/>
              <w:rPr>
                <w:szCs w:val="18"/>
              </w:rPr>
            </w:pPr>
            <w:r w:rsidRPr="00280A6A">
              <w:rPr>
                <w:b/>
                <w:szCs w:val="18"/>
              </w:rPr>
              <w:t>Band A</w:t>
            </w:r>
            <w:r>
              <w:rPr>
                <w:szCs w:val="18"/>
              </w:rPr>
              <w:t>:</w:t>
            </w:r>
            <w:r w:rsidR="00DD47E9">
              <w:rPr>
                <w:szCs w:val="18"/>
              </w:rPr>
              <w:t xml:space="preserve"> </w:t>
            </w:r>
            <w:r>
              <w:rPr>
                <w:szCs w:val="18"/>
              </w:rPr>
              <w:t>&lt;50</w:t>
            </w:r>
          </w:p>
          <w:p w14:paraId="5F7160A4" w14:textId="63ADAFA9" w:rsidR="00552375" w:rsidRDefault="00552375" w:rsidP="001266CB">
            <w:pPr>
              <w:pStyle w:val="TableText"/>
              <w:spacing w:after="0"/>
              <w:rPr>
                <w:szCs w:val="18"/>
              </w:rPr>
            </w:pPr>
            <w:r w:rsidRPr="00280A6A">
              <w:rPr>
                <w:b/>
                <w:szCs w:val="18"/>
              </w:rPr>
              <w:t>Band B</w:t>
            </w:r>
            <w:r>
              <w:rPr>
                <w:szCs w:val="18"/>
              </w:rPr>
              <w:t>:</w:t>
            </w:r>
            <w:r w:rsidR="00DD47E9">
              <w:rPr>
                <w:szCs w:val="18"/>
              </w:rPr>
              <w:t xml:space="preserve"> </w:t>
            </w:r>
            <w:r>
              <w:rPr>
                <w:szCs w:val="18"/>
              </w:rPr>
              <w:t>≥50 to &lt;100</w:t>
            </w:r>
          </w:p>
          <w:p w14:paraId="1B955B6E" w14:textId="33B1B2C2" w:rsidR="00552375" w:rsidRDefault="00552375" w:rsidP="001266CB">
            <w:pPr>
              <w:pStyle w:val="TableText"/>
              <w:spacing w:after="0"/>
              <w:rPr>
                <w:szCs w:val="18"/>
              </w:rPr>
            </w:pPr>
            <w:r w:rsidRPr="00280A6A">
              <w:rPr>
                <w:b/>
                <w:szCs w:val="18"/>
              </w:rPr>
              <w:t>Band C</w:t>
            </w:r>
            <w:r>
              <w:rPr>
                <w:szCs w:val="18"/>
              </w:rPr>
              <w:t>:</w:t>
            </w:r>
            <w:r w:rsidR="00DD47E9">
              <w:rPr>
                <w:szCs w:val="18"/>
              </w:rPr>
              <w:t xml:space="preserve"> </w:t>
            </w:r>
            <w:r>
              <w:rPr>
                <w:szCs w:val="18"/>
              </w:rPr>
              <w:t>≥100 to &lt;150</w:t>
            </w:r>
          </w:p>
          <w:p w14:paraId="4BE15B5C" w14:textId="481969C9" w:rsidR="00552375" w:rsidRPr="006C4256" w:rsidRDefault="00552375" w:rsidP="00552375">
            <w:pPr>
              <w:pStyle w:val="TableText"/>
              <w:rPr>
                <w:szCs w:val="18"/>
              </w:rPr>
            </w:pPr>
            <w:r w:rsidRPr="006C4256">
              <w:rPr>
                <w:b/>
                <w:szCs w:val="18"/>
              </w:rPr>
              <w:t>Band D:</w:t>
            </w:r>
            <w:r w:rsidR="00DD47E9">
              <w:rPr>
                <w:szCs w:val="18"/>
              </w:rPr>
              <w:t xml:space="preserve"> </w:t>
            </w:r>
            <w:r>
              <w:rPr>
                <w:szCs w:val="18"/>
              </w:rPr>
              <w:t>≥</w:t>
            </w:r>
            <w:r w:rsidRPr="006C4256">
              <w:rPr>
                <w:szCs w:val="18"/>
              </w:rPr>
              <w:t>150</w:t>
            </w:r>
          </w:p>
        </w:tc>
        <w:tc>
          <w:tcPr>
            <w:tcW w:w="1069" w:type="pct"/>
            <w:gridSpan w:val="2"/>
          </w:tcPr>
          <w:p w14:paraId="1F7AAE71" w14:textId="77777777" w:rsidR="00552375" w:rsidRDefault="00552375" w:rsidP="00552375">
            <w:pPr>
              <w:pStyle w:val="TableText"/>
              <w:rPr>
                <w:lang w:val="en-US"/>
              </w:rPr>
            </w:pPr>
            <w:r>
              <w:rPr>
                <w:szCs w:val="18"/>
              </w:rPr>
              <w:t>No phosphorus criteria as N regarded as limiting nutrient in estuaries</w:t>
            </w:r>
          </w:p>
        </w:tc>
        <w:tc>
          <w:tcPr>
            <w:tcW w:w="1114" w:type="pct"/>
          </w:tcPr>
          <w:p w14:paraId="4082EC9C" w14:textId="118801C9" w:rsidR="00552375" w:rsidRDefault="00552375" w:rsidP="001266CB">
            <w:pPr>
              <w:pStyle w:val="TableText"/>
              <w:spacing w:after="0"/>
              <w:rPr>
                <w:szCs w:val="18"/>
              </w:rPr>
            </w:pPr>
            <w:r w:rsidRPr="004D1532">
              <w:rPr>
                <w:b/>
                <w:szCs w:val="18"/>
              </w:rPr>
              <w:t>Indicative</w:t>
            </w:r>
            <w:r>
              <w:rPr>
                <w:szCs w:val="18"/>
              </w:rPr>
              <w:t xml:space="preserve"> </w:t>
            </w:r>
            <w:r w:rsidRPr="004D1532">
              <w:rPr>
                <w:b/>
                <w:szCs w:val="18"/>
              </w:rPr>
              <w:t>criteria only</w:t>
            </w:r>
            <w:r>
              <w:rPr>
                <w:szCs w:val="18"/>
              </w:rPr>
              <w:t>, expected to be modified based on regional/estuary-specific knowledge and/or monitoring data; furthermore, indicative national ETI thresholds are likely to evolve as more data become available.</w:t>
            </w:r>
            <w:r w:rsidR="00DD47E9">
              <w:rPr>
                <w:szCs w:val="18"/>
              </w:rPr>
              <w:t xml:space="preserve"> </w:t>
            </w:r>
          </w:p>
          <w:p w14:paraId="79BBE20D" w14:textId="539F4715" w:rsidR="00552375" w:rsidRPr="002521D0" w:rsidRDefault="00552375" w:rsidP="00552375">
            <w:pPr>
              <w:pStyle w:val="TableText"/>
              <w:rPr>
                <w:lang w:val="en-US"/>
              </w:rPr>
            </w:pPr>
            <w:r w:rsidRPr="002521D0">
              <w:rPr>
                <w:szCs w:val="18"/>
              </w:rPr>
              <w:t xml:space="preserve">Note that the indicative nutrient criteria for phytoplankton trophic susceptibility are </w:t>
            </w:r>
            <w:r w:rsidRPr="002521D0">
              <w:rPr>
                <w:b/>
                <w:szCs w:val="18"/>
              </w:rPr>
              <w:t>based on the modelled band contour plot</w:t>
            </w:r>
            <w:r w:rsidRPr="002521D0">
              <w:rPr>
                <w:szCs w:val="18"/>
              </w:rPr>
              <w:t xml:space="preserve"> (</w:t>
            </w:r>
            <w:r w:rsidRPr="002521D0">
              <w:rPr>
                <w:szCs w:val="18"/>
              </w:rPr>
              <w:fldChar w:fldCharType="begin"/>
            </w:r>
            <w:r w:rsidRPr="002521D0">
              <w:rPr>
                <w:szCs w:val="18"/>
              </w:rPr>
              <w:instrText xml:space="preserve"> REF _Ref517907243 \h  \* MERGEFORMAT </w:instrText>
            </w:r>
            <w:r w:rsidRPr="002521D0">
              <w:rPr>
                <w:szCs w:val="18"/>
              </w:rPr>
            </w:r>
            <w:r w:rsidRPr="002521D0">
              <w:rPr>
                <w:szCs w:val="18"/>
              </w:rPr>
              <w:fldChar w:fldCharType="separate"/>
            </w:r>
            <w:r w:rsidR="001A7243" w:rsidRPr="00FB2379">
              <w:t xml:space="preserve">Figure </w:t>
            </w:r>
            <w:r w:rsidR="001A7243">
              <w:rPr>
                <w:noProof/>
              </w:rPr>
              <w:t>8</w:t>
            </w:r>
            <w:r w:rsidRPr="002521D0">
              <w:rPr>
                <w:szCs w:val="18"/>
              </w:rPr>
              <w:fldChar w:fldCharType="end"/>
            </w:r>
            <w:r w:rsidRPr="002521D0">
              <w:rPr>
                <w:szCs w:val="18"/>
              </w:rPr>
              <w:t xml:space="preserve">), and have been </w:t>
            </w:r>
            <w:r w:rsidRPr="002521D0">
              <w:rPr>
                <w:b/>
                <w:szCs w:val="18"/>
              </w:rPr>
              <w:t xml:space="preserve">estimated </w:t>
            </w:r>
            <w:r w:rsidRPr="002521D0">
              <w:rPr>
                <w:szCs w:val="18"/>
              </w:rPr>
              <w:t xml:space="preserve">for this guidance document. These criteria </w:t>
            </w:r>
            <w:r w:rsidRPr="002521D0">
              <w:rPr>
                <w:b/>
                <w:szCs w:val="18"/>
              </w:rPr>
              <w:t>were not derived as part of the development of ETI Tool</w:t>
            </w:r>
            <w:r w:rsidRPr="002521D0">
              <w:rPr>
                <w:szCs w:val="18"/>
              </w:rPr>
              <w:t xml:space="preserve"> </w:t>
            </w:r>
            <w:r w:rsidRPr="002521D0">
              <w:rPr>
                <w:b/>
                <w:szCs w:val="18"/>
              </w:rPr>
              <w:t>1.</w:t>
            </w:r>
          </w:p>
        </w:tc>
      </w:tr>
      <w:tr w:rsidR="00552375" w:rsidRPr="00D77228" w14:paraId="0307783F" w14:textId="77777777" w:rsidTr="00734F95">
        <w:tc>
          <w:tcPr>
            <w:tcW w:w="693" w:type="pct"/>
            <w:shd w:val="clear" w:color="auto" w:fill="auto"/>
          </w:tcPr>
          <w:p w14:paraId="110DE4A8" w14:textId="77777777" w:rsidR="00552375" w:rsidRDefault="00552375" w:rsidP="00552375">
            <w:pPr>
              <w:pStyle w:val="TableText"/>
            </w:pPr>
            <w:r>
              <w:t>Downstream riverine FMUs</w:t>
            </w:r>
          </w:p>
        </w:tc>
        <w:tc>
          <w:tcPr>
            <w:tcW w:w="2124" w:type="pct"/>
            <w:gridSpan w:val="3"/>
          </w:tcPr>
          <w:p w14:paraId="5D09BCAC" w14:textId="77777777" w:rsidR="00552375" w:rsidRPr="00D77228" w:rsidRDefault="00552375" w:rsidP="00552375">
            <w:pPr>
              <w:pStyle w:val="TableText"/>
            </w:pPr>
            <w:r>
              <w:rPr>
                <w:szCs w:val="18"/>
              </w:rPr>
              <w:t>Step (a) of Clause 3.13; or other regulatory limit/order that applies to the water body.</w:t>
            </w:r>
          </w:p>
        </w:tc>
        <w:tc>
          <w:tcPr>
            <w:tcW w:w="1069" w:type="pct"/>
            <w:gridSpan w:val="2"/>
          </w:tcPr>
          <w:p w14:paraId="599802CD" w14:textId="77777777" w:rsidR="00552375" w:rsidRPr="00D77228" w:rsidRDefault="00552375" w:rsidP="00552375">
            <w:pPr>
              <w:pStyle w:val="TableText"/>
            </w:pPr>
            <w:r>
              <w:rPr>
                <w:szCs w:val="18"/>
              </w:rPr>
              <w:t>Step (a) of Clause 3.13; or other regulatory limit/order that applies to the water body.</w:t>
            </w:r>
          </w:p>
        </w:tc>
        <w:tc>
          <w:tcPr>
            <w:tcW w:w="1114" w:type="pct"/>
          </w:tcPr>
          <w:p w14:paraId="37B05707" w14:textId="77777777" w:rsidR="00552375" w:rsidRPr="00D77228" w:rsidRDefault="00552375" w:rsidP="00552375">
            <w:pPr>
              <w:pStyle w:val="TableText"/>
            </w:pPr>
          </w:p>
        </w:tc>
      </w:tr>
    </w:tbl>
    <w:bookmarkEnd w:id="115"/>
    <w:bookmarkEnd w:id="116"/>
    <w:p w14:paraId="509CAE0D" w14:textId="7690BC38" w:rsidR="00552375" w:rsidRPr="00FF5DCD" w:rsidRDefault="00552375" w:rsidP="00984D09">
      <w:pPr>
        <w:pStyle w:val="Heading3"/>
      </w:pPr>
      <w:r w:rsidRPr="00FF5DCD">
        <w:t xml:space="preserve">3.3.3 </w:t>
      </w:r>
      <w:r w:rsidR="001266CB">
        <w:tab/>
      </w:r>
      <w:r w:rsidRPr="00FF5DCD">
        <w:t>Converting FMU nutrient concentrations to receiving environment</w:t>
      </w:r>
      <w:r w:rsidR="00984D09">
        <w:t> </w:t>
      </w:r>
      <w:r w:rsidRPr="00FF5DCD">
        <w:t>concentrations</w:t>
      </w:r>
    </w:p>
    <w:p w14:paraId="25CE062A" w14:textId="77777777" w:rsidR="00552375" w:rsidRPr="00FF5DCD" w:rsidRDefault="00552375" w:rsidP="00984D09">
      <w:pPr>
        <w:pStyle w:val="Heading4"/>
      </w:pPr>
      <w:bookmarkStart w:id="117" w:name="_Hlk515358116"/>
      <w:r w:rsidRPr="00FF5DCD">
        <w:t>Conversion between nutrient forms</w:t>
      </w:r>
    </w:p>
    <w:p w14:paraId="6BCF30C7" w14:textId="6EC36D9C" w:rsidR="00552375" w:rsidRPr="00FF5DCD" w:rsidRDefault="00552375" w:rsidP="00552375">
      <w:pPr>
        <w:pStyle w:val="BodyText"/>
      </w:pPr>
      <w:r w:rsidRPr="00FF5DCD">
        <w:t>Instream criteria for rivers are often expressed as dissolved inorganic forms of N and P (</w:t>
      </w:r>
      <w:r>
        <w:t>eg,</w:t>
      </w:r>
      <w:r w:rsidRPr="00FF5DCD">
        <w:t xml:space="preserve"> DIN</w:t>
      </w:r>
      <w:r w:rsidR="00CF703B">
        <w:t> </w:t>
      </w:r>
      <w:r w:rsidRPr="00FF5DCD">
        <w:t>and DRP), whereas total concentrations of nutrients (TN and TP) are used for lakes and estuarine criteria. Converting nutrients into the same form (i</w:t>
      </w:r>
      <w:r>
        <w:t>e</w:t>
      </w:r>
      <w:r w:rsidRPr="00FF5DCD">
        <w:t>, into either dissolved inorganic concentrations or total concentrations</w:t>
      </w:r>
      <w:r w:rsidRPr="00FF5DCD">
        <w:rPr>
          <w:vertAlign w:val="superscript"/>
        </w:rPr>
        <w:footnoteReference w:id="15"/>
      </w:r>
      <w:r w:rsidRPr="00CD11F2">
        <w:t>)</w:t>
      </w:r>
      <w:r w:rsidRPr="00FF5DCD">
        <w:t xml:space="preserve"> is a useful first step for reconciling nutrient criteria </w:t>
      </w:r>
      <w:r w:rsidRPr="00FF5DCD">
        <w:lastRenderedPageBreak/>
        <w:t>between riverine FMUs and downstream receiving environments. Fortunately, this is a relatively straight-forward process for most regional councils in New Zealand with TN, TP, NO</w:t>
      </w:r>
      <w:r w:rsidRPr="00CF703B">
        <w:rPr>
          <w:vertAlign w:val="subscript"/>
        </w:rPr>
        <w:t>3</w:t>
      </w:r>
      <w:r w:rsidR="00CF703B">
        <w:noBreakHyphen/>
      </w:r>
      <w:r w:rsidRPr="00FF5DCD">
        <w:t>N, NH4-N and DRP measured at 748 of 832 riverine water quality monitoring sites in the</w:t>
      </w:r>
      <w:r w:rsidR="00CF703B">
        <w:t> </w:t>
      </w:r>
      <w:r w:rsidRPr="00FF5DCD">
        <w:t xml:space="preserve">national dataset (Larned </w:t>
      </w:r>
      <w:r w:rsidRPr="00984D09">
        <w:t>et al.,</w:t>
      </w:r>
      <w:r w:rsidRPr="00FF5DCD">
        <w:t xml:space="preserve"> 2015). All councils should collect TN and TP at their monitoring sites</w:t>
      </w:r>
    </w:p>
    <w:p w14:paraId="068F32FD" w14:textId="67B7727B" w:rsidR="00552375" w:rsidRPr="00FF5DCD" w:rsidRDefault="00552375" w:rsidP="00CF703B">
      <w:pPr>
        <w:pStyle w:val="BodyText"/>
        <w:ind w:right="56"/>
      </w:pPr>
      <w:r w:rsidRPr="00FF5DCD">
        <w:fldChar w:fldCharType="begin"/>
      </w:r>
      <w:r w:rsidRPr="00FF5DCD">
        <w:instrText xml:space="preserve"> REF _Ref518244068 \h  \* MERGEFORMAT </w:instrText>
      </w:r>
      <w:r w:rsidRPr="00FF5DCD">
        <w:fldChar w:fldCharType="separate"/>
      </w:r>
      <w:r w:rsidR="001A7243" w:rsidRPr="00C57A3B">
        <w:rPr>
          <w:lang w:val="en-AU"/>
        </w:rPr>
        <w:t xml:space="preserve">Table </w:t>
      </w:r>
      <w:r w:rsidR="001A7243">
        <w:rPr>
          <w:noProof/>
          <w:lang w:val="en-AU"/>
        </w:rPr>
        <w:t>9</w:t>
      </w:r>
      <w:r w:rsidRPr="00FF5DCD">
        <w:fldChar w:fldCharType="end"/>
      </w:r>
      <w:r w:rsidRPr="00FF5DCD">
        <w:t xml:space="preserve"> shows examples from three river monitoring sites of the long-term median concentrations of different nutrient forms and inorganic-to-total nutrient ratios. The examples</w:t>
      </w:r>
      <w:r w:rsidR="00CF703B">
        <w:t> </w:t>
      </w:r>
      <w:r w:rsidRPr="00FF5DCD">
        <w:t>cover a range of TN and TP concentrations. The associated DIN/TN and DRP/TP ratios</w:t>
      </w:r>
      <w:r w:rsidR="00CF703B">
        <w:t> </w:t>
      </w:r>
      <w:r w:rsidRPr="00FF5DCD">
        <w:t>vary from 0.6 to 0.74, and 0.10 to 0.56, respectively. The variation illustrates that it is not</w:t>
      </w:r>
      <w:r w:rsidR="00CF703B">
        <w:t> </w:t>
      </w:r>
      <w:r w:rsidRPr="00FF5DCD">
        <w:t>ideal to use generic conversion ratios derived from national datasets. Accordingly, the collection of total and inorganic nutrient data at FMU monitoring sites is recommended to derive more accurate conversion factors.</w:t>
      </w:r>
      <w:r w:rsidR="00DD47E9">
        <w:t xml:space="preserve"> </w:t>
      </w:r>
    </w:p>
    <w:p w14:paraId="3EA3CE94" w14:textId="437D2F2C" w:rsidR="00552375" w:rsidRPr="00283492" w:rsidRDefault="00552375" w:rsidP="00552375">
      <w:pPr>
        <w:pStyle w:val="Tableheading"/>
        <w:rPr>
          <w:lang w:val="en-AU"/>
        </w:rPr>
      </w:pPr>
      <w:bookmarkStart w:id="118" w:name="_Ref518244068"/>
      <w:bookmarkStart w:id="119" w:name="_Toc519683026"/>
      <w:bookmarkStart w:id="120" w:name="_Toc520810481"/>
      <w:bookmarkStart w:id="121" w:name="_Toc520810685"/>
      <w:bookmarkStart w:id="122" w:name="_Toc520898758"/>
      <w:bookmarkStart w:id="123" w:name="_Toc73713305"/>
      <w:bookmarkStart w:id="124" w:name="_Ref515357079"/>
      <w:r w:rsidRPr="00C57A3B">
        <w:rPr>
          <w:lang w:val="en-AU"/>
        </w:rPr>
        <w:t xml:space="preserve">Table </w:t>
      </w:r>
      <w:r w:rsidRPr="00C57A3B">
        <w:rPr>
          <w:lang w:val="en-AU"/>
        </w:rPr>
        <w:fldChar w:fldCharType="begin"/>
      </w:r>
      <w:r w:rsidRPr="00C57A3B">
        <w:rPr>
          <w:lang w:val="en-AU"/>
        </w:rPr>
        <w:instrText xml:space="preserve"> SEQ Table \* ARABIC </w:instrText>
      </w:r>
      <w:r w:rsidRPr="00C57A3B">
        <w:rPr>
          <w:lang w:val="en-AU"/>
        </w:rPr>
        <w:fldChar w:fldCharType="separate"/>
      </w:r>
      <w:r w:rsidR="001A7243">
        <w:rPr>
          <w:noProof/>
          <w:lang w:val="en-AU"/>
        </w:rPr>
        <w:t>9</w:t>
      </w:r>
      <w:r w:rsidRPr="00C57A3B">
        <w:rPr>
          <w:lang w:val="en-AU"/>
        </w:rPr>
        <w:fldChar w:fldCharType="end"/>
      </w:r>
      <w:bookmarkEnd w:id="118"/>
      <w:r>
        <w:rPr>
          <w:lang w:val="en-AU"/>
        </w:rPr>
        <w:t>:</w:t>
      </w:r>
      <w:r>
        <w:rPr>
          <w:lang w:val="en-AU"/>
        </w:rPr>
        <w:tab/>
      </w:r>
      <w:r w:rsidRPr="00C57A3B">
        <w:rPr>
          <w:lang w:val="en-AU"/>
        </w:rPr>
        <w:t>Three e</w:t>
      </w:r>
      <w:r>
        <w:rPr>
          <w:lang w:val="en-AU"/>
        </w:rPr>
        <w:t>xamples of long-term median concentrations</w:t>
      </w:r>
      <w:r w:rsidRPr="00C57A3B">
        <w:rPr>
          <w:lang w:val="en-AU"/>
        </w:rPr>
        <w:t xml:space="preserve"> of N and P</w:t>
      </w:r>
      <w:r>
        <w:rPr>
          <w:lang w:val="en-AU"/>
        </w:rPr>
        <w:t xml:space="preserve"> forms</w:t>
      </w:r>
      <w:r w:rsidRPr="00C57A3B">
        <w:rPr>
          <w:lang w:val="en-AU"/>
        </w:rPr>
        <w:t xml:space="preserve">, and the corresponding </w:t>
      </w:r>
      <w:r>
        <w:rPr>
          <w:lang w:val="en-AU"/>
        </w:rPr>
        <w:t xml:space="preserve">inorganic-to-total nutrient </w:t>
      </w:r>
      <w:r w:rsidRPr="00C57A3B">
        <w:rPr>
          <w:lang w:val="en-AU"/>
        </w:rPr>
        <w:t xml:space="preserve">ratios. </w:t>
      </w:r>
      <w:r w:rsidRPr="00283492">
        <w:rPr>
          <w:lang w:val="en-AU"/>
        </w:rPr>
        <w:t>Dataset from 2004 to 2013</w:t>
      </w:r>
      <w:bookmarkEnd w:id="119"/>
      <w:bookmarkEnd w:id="120"/>
      <w:bookmarkEnd w:id="121"/>
      <w:bookmarkEnd w:id="122"/>
      <w:bookmarkEnd w:id="123"/>
    </w:p>
    <w:tbl>
      <w:tblPr>
        <w:tblStyle w:val="TableGrid"/>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954"/>
        <w:gridCol w:w="827"/>
        <w:gridCol w:w="738"/>
        <w:gridCol w:w="627"/>
        <w:gridCol w:w="627"/>
        <w:gridCol w:w="565"/>
        <w:gridCol w:w="527"/>
        <w:gridCol w:w="846"/>
        <w:gridCol w:w="851"/>
      </w:tblGrid>
      <w:tr w:rsidR="00CF703B" w14:paraId="50AF2620" w14:textId="77777777" w:rsidTr="00CF703B">
        <w:trPr>
          <w:tblHeader/>
        </w:trPr>
        <w:tc>
          <w:tcPr>
            <w:tcW w:w="1725" w:type="pct"/>
            <w:vMerge w:val="restart"/>
            <w:shd w:val="clear" w:color="auto" w:fill="1C556C" w:themeFill="accent1"/>
            <w:vAlign w:val="bottom"/>
          </w:tcPr>
          <w:p w14:paraId="2D38E639" w14:textId="77777777" w:rsidR="00CF703B" w:rsidRPr="00A73245" w:rsidRDefault="00CF703B" w:rsidP="00552375">
            <w:pPr>
              <w:pStyle w:val="TableTextbold"/>
              <w:rPr>
                <w:color w:val="FFFFFF" w:themeColor="background1"/>
              </w:rPr>
            </w:pPr>
            <w:r>
              <w:rPr>
                <w:color w:val="FFFFFF" w:themeColor="background1"/>
              </w:rPr>
              <w:t>River site</w:t>
            </w:r>
          </w:p>
        </w:tc>
        <w:tc>
          <w:tcPr>
            <w:tcW w:w="483" w:type="pct"/>
            <w:shd w:val="clear" w:color="auto" w:fill="1C556C" w:themeFill="accent1"/>
            <w:vAlign w:val="bottom"/>
          </w:tcPr>
          <w:p w14:paraId="7AE4E61B" w14:textId="77777777" w:rsidR="00CF703B" w:rsidRPr="00A73245" w:rsidRDefault="00CF703B" w:rsidP="00CF703B">
            <w:pPr>
              <w:pStyle w:val="TableTextbold"/>
              <w:spacing w:after="0"/>
              <w:rPr>
                <w:color w:val="FFFFFF" w:themeColor="background1"/>
              </w:rPr>
            </w:pPr>
            <w:r>
              <w:rPr>
                <w:color w:val="FFFFFF" w:themeColor="background1"/>
              </w:rPr>
              <w:t>NO</w:t>
            </w:r>
            <w:r w:rsidRPr="003940D2">
              <w:rPr>
                <w:color w:val="FFFFFF" w:themeColor="background1"/>
                <w:vertAlign w:val="subscript"/>
              </w:rPr>
              <w:t>3</w:t>
            </w:r>
            <w:r>
              <w:rPr>
                <w:color w:val="FFFFFF" w:themeColor="background1"/>
              </w:rPr>
              <w:t>-N</w:t>
            </w:r>
          </w:p>
        </w:tc>
        <w:tc>
          <w:tcPr>
            <w:tcW w:w="431" w:type="pct"/>
            <w:shd w:val="clear" w:color="auto" w:fill="1C556C" w:themeFill="accent1"/>
            <w:vAlign w:val="bottom"/>
          </w:tcPr>
          <w:p w14:paraId="3A5C8C00" w14:textId="77777777" w:rsidR="00CF703B" w:rsidRDefault="00CF703B" w:rsidP="00CF703B">
            <w:pPr>
              <w:pStyle w:val="TableTextbold"/>
              <w:spacing w:after="0"/>
              <w:rPr>
                <w:color w:val="FFFFFF" w:themeColor="background1"/>
              </w:rPr>
            </w:pPr>
            <w:r>
              <w:rPr>
                <w:color w:val="FFFFFF" w:themeColor="background1"/>
              </w:rPr>
              <w:t>NH</w:t>
            </w:r>
            <w:r w:rsidRPr="003940D2">
              <w:rPr>
                <w:color w:val="FFFFFF" w:themeColor="background1"/>
                <w:vertAlign w:val="subscript"/>
              </w:rPr>
              <w:t>4</w:t>
            </w:r>
            <w:r>
              <w:rPr>
                <w:color w:val="FFFFFF" w:themeColor="background1"/>
              </w:rPr>
              <w:t>-N</w:t>
            </w:r>
          </w:p>
        </w:tc>
        <w:tc>
          <w:tcPr>
            <w:tcW w:w="366" w:type="pct"/>
            <w:shd w:val="clear" w:color="auto" w:fill="1C556C" w:themeFill="accent1"/>
            <w:vAlign w:val="bottom"/>
          </w:tcPr>
          <w:p w14:paraId="0B73AEF3" w14:textId="77777777" w:rsidR="00CF703B" w:rsidRDefault="00CF703B" w:rsidP="00CF703B">
            <w:pPr>
              <w:pStyle w:val="TableTextbold"/>
              <w:spacing w:after="0"/>
              <w:rPr>
                <w:color w:val="FFFFFF" w:themeColor="background1"/>
              </w:rPr>
            </w:pPr>
            <w:r>
              <w:rPr>
                <w:color w:val="FFFFFF" w:themeColor="background1"/>
              </w:rPr>
              <w:t>DIN</w:t>
            </w:r>
          </w:p>
        </w:tc>
        <w:tc>
          <w:tcPr>
            <w:tcW w:w="366" w:type="pct"/>
            <w:shd w:val="clear" w:color="auto" w:fill="1C556C" w:themeFill="accent1"/>
            <w:vAlign w:val="bottom"/>
          </w:tcPr>
          <w:p w14:paraId="700B56AC" w14:textId="77777777" w:rsidR="00CF703B" w:rsidRDefault="00CF703B" w:rsidP="00CF703B">
            <w:pPr>
              <w:pStyle w:val="TableTextbold"/>
              <w:spacing w:after="0"/>
              <w:rPr>
                <w:color w:val="FFFFFF" w:themeColor="background1"/>
              </w:rPr>
            </w:pPr>
            <w:r>
              <w:rPr>
                <w:color w:val="FFFFFF" w:themeColor="background1"/>
              </w:rPr>
              <w:t>TN</w:t>
            </w:r>
          </w:p>
        </w:tc>
        <w:tc>
          <w:tcPr>
            <w:tcW w:w="330" w:type="pct"/>
            <w:shd w:val="clear" w:color="auto" w:fill="1C556C" w:themeFill="accent1"/>
            <w:vAlign w:val="bottom"/>
          </w:tcPr>
          <w:p w14:paraId="7E08FFBD" w14:textId="77777777" w:rsidR="00CF703B" w:rsidRDefault="00CF703B" w:rsidP="00CF703B">
            <w:pPr>
              <w:pStyle w:val="TableTextbold"/>
              <w:spacing w:after="0"/>
              <w:rPr>
                <w:color w:val="FFFFFF" w:themeColor="background1"/>
              </w:rPr>
            </w:pPr>
            <w:r>
              <w:rPr>
                <w:color w:val="FFFFFF" w:themeColor="background1"/>
              </w:rPr>
              <w:t>DRP</w:t>
            </w:r>
          </w:p>
        </w:tc>
        <w:tc>
          <w:tcPr>
            <w:tcW w:w="308" w:type="pct"/>
            <w:shd w:val="clear" w:color="auto" w:fill="1C556C" w:themeFill="accent1"/>
            <w:vAlign w:val="bottom"/>
          </w:tcPr>
          <w:p w14:paraId="3A47EE38" w14:textId="77777777" w:rsidR="00CF703B" w:rsidRDefault="00CF703B" w:rsidP="00CF703B">
            <w:pPr>
              <w:pStyle w:val="TableTextbold"/>
              <w:spacing w:after="0"/>
              <w:rPr>
                <w:color w:val="FFFFFF" w:themeColor="background1"/>
              </w:rPr>
            </w:pPr>
            <w:r>
              <w:rPr>
                <w:color w:val="FFFFFF" w:themeColor="background1"/>
              </w:rPr>
              <w:t>TP</w:t>
            </w:r>
          </w:p>
        </w:tc>
        <w:tc>
          <w:tcPr>
            <w:tcW w:w="494" w:type="pct"/>
            <w:shd w:val="clear" w:color="auto" w:fill="1C556C" w:themeFill="accent1"/>
            <w:vAlign w:val="bottom"/>
          </w:tcPr>
          <w:p w14:paraId="748ABE38" w14:textId="77777777" w:rsidR="00CF703B" w:rsidRDefault="00CF703B" w:rsidP="00CF703B">
            <w:pPr>
              <w:pStyle w:val="TableTextbold"/>
              <w:spacing w:after="0"/>
              <w:rPr>
                <w:color w:val="FFFFFF" w:themeColor="background1"/>
              </w:rPr>
            </w:pPr>
            <w:r>
              <w:rPr>
                <w:color w:val="FFFFFF" w:themeColor="background1"/>
              </w:rPr>
              <w:t>DIN/TN</w:t>
            </w:r>
          </w:p>
        </w:tc>
        <w:tc>
          <w:tcPr>
            <w:tcW w:w="497" w:type="pct"/>
            <w:shd w:val="clear" w:color="auto" w:fill="1C556C" w:themeFill="accent1"/>
            <w:vAlign w:val="bottom"/>
          </w:tcPr>
          <w:p w14:paraId="09B06F6C" w14:textId="77777777" w:rsidR="00CF703B" w:rsidRDefault="00CF703B" w:rsidP="00CF703B">
            <w:pPr>
              <w:pStyle w:val="TableTextbold"/>
              <w:spacing w:after="0"/>
              <w:rPr>
                <w:color w:val="FFFFFF" w:themeColor="background1"/>
              </w:rPr>
            </w:pPr>
            <w:r>
              <w:rPr>
                <w:color w:val="FFFFFF" w:themeColor="background1"/>
              </w:rPr>
              <w:t>DRP/TP</w:t>
            </w:r>
          </w:p>
        </w:tc>
      </w:tr>
      <w:tr w:rsidR="00CF703B" w14:paraId="1F9FF9F6" w14:textId="77777777" w:rsidTr="00CF703B">
        <w:trPr>
          <w:tblHeader/>
        </w:trPr>
        <w:tc>
          <w:tcPr>
            <w:tcW w:w="1725" w:type="pct"/>
            <w:vMerge/>
            <w:shd w:val="clear" w:color="auto" w:fill="1C556C" w:themeFill="accent1"/>
            <w:vAlign w:val="bottom"/>
          </w:tcPr>
          <w:p w14:paraId="6A5673B0" w14:textId="77777777" w:rsidR="00CF703B" w:rsidRDefault="00CF703B" w:rsidP="00552375">
            <w:pPr>
              <w:pStyle w:val="TableTextbold"/>
              <w:rPr>
                <w:color w:val="FFFFFF" w:themeColor="background1"/>
              </w:rPr>
            </w:pPr>
          </w:p>
        </w:tc>
        <w:tc>
          <w:tcPr>
            <w:tcW w:w="2284" w:type="pct"/>
            <w:gridSpan w:val="6"/>
            <w:shd w:val="clear" w:color="auto" w:fill="1C556C" w:themeFill="accent1"/>
            <w:vAlign w:val="bottom"/>
          </w:tcPr>
          <w:p w14:paraId="11A10D84" w14:textId="77777777" w:rsidR="00CF703B" w:rsidRDefault="00CF703B" w:rsidP="00552375">
            <w:pPr>
              <w:pStyle w:val="TableTextbold"/>
              <w:jc w:val="center"/>
              <w:rPr>
                <w:color w:val="FFFFFF" w:themeColor="background1"/>
              </w:rPr>
            </w:pPr>
            <w:r>
              <w:rPr>
                <w:color w:val="FFFFFF" w:themeColor="background1"/>
              </w:rPr>
              <w:t>(mg/m</w:t>
            </w:r>
            <w:r w:rsidRPr="00220B17">
              <w:rPr>
                <w:color w:val="FFFFFF" w:themeColor="background1"/>
                <w:vertAlign w:val="superscript"/>
              </w:rPr>
              <w:t>3</w:t>
            </w:r>
            <w:r>
              <w:rPr>
                <w:color w:val="FFFFFF" w:themeColor="background1"/>
              </w:rPr>
              <w:t>)</w:t>
            </w:r>
          </w:p>
        </w:tc>
        <w:tc>
          <w:tcPr>
            <w:tcW w:w="494" w:type="pct"/>
            <w:shd w:val="clear" w:color="auto" w:fill="1C556C" w:themeFill="accent1"/>
            <w:vAlign w:val="bottom"/>
          </w:tcPr>
          <w:p w14:paraId="6A904DFA" w14:textId="77777777" w:rsidR="00CF703B" w:rsidRDefault="00CF703B" w:rsidP="00552375">
            <w:pPr>
              <w:pStyle w:val="TableTextbold"/>
              <w:rPr>
                <w:color w:val="FFFFFF" w:themeColor="background1"/>
              </w:rPr>
            </w:pPr>
          </w:p>
        </w:tc>
        <w:tc>
          <w:tcPr>
            <w:tcW w:w="497" w:type="pct"/>
            <w:shd w:val="clear" w:color="auto" w:fill="1C556C" w:themeFill="accent1"/>
            <w:vAlign w:val="bottom"/>
          </w:tcPr>
          <w:p w14:paraId="3D0C6588" w14:textId="77777777" w:rsidR="00CF703B" w:rsidRDefault="00CF703B" w:rsidP="00552375">
            <w:pPr>
              <w:pStyle w:val="TableTextbold"/>
              <w:rPr>
                <w:color w:val="FFFFFF" w:themeColor="background1"/>
              </w:rPr>
            </w:pPr>
          </w:p>
        </w:tc>
      </w:tr>
      <w:tr w:rsidR="00552375" w:rsidRPr="000F7AFA" w14:paraId="076423B1" w14:textId="77777777" w:rsidTr="00CF703B">
        <w:tc>
          <w:tcPr>
            <w:tcW w:w="1725" w:type="pct"/>
            <w:shd w:val="clear" w:color="auto" w:fill="auto"/>
          </w:tcPr>
          <w:p w14:paraId="574506E4" w14:textId="77777777" w:rsidR="00552375" w:rsidRPr="006B4810" w:rsidRDefault="00552375" w:rsidP="00552375">
            <w:pPr>
              <w:pStyle w:val="TableText"/>
            </w:pPr>
            <w:r>
              <w:t>Waimakariri @ Old HW Bridge</w:t>
            </w:r>
          </w:p>
        </w:tc>
        <w:tc>
          <w:tcPr>
            <w:tcW w:w="483" w:type="pct"/>
          </w:tcPr>
          <w:p w14:paraId="0E263F55" w14:textId="77777777" w:rsidR="00552375" w:rsidRPr="006B4810" w:rsidRDefault="00552375" w:rsidP="00552375">
            <w:pPr>
              <w:pStyle w:val="TableText"/>
            </w:pPr>
            <w:r w:rsidRPr="005D6D20">
              <w:rPr>
                <w:szCs w:val="18"/>
              </w:rPr>
              <w:t>127</w:t>
            </w:r>
          </w:p>
        </w:tc>
        <w:tc>
          <w:tcPr>
            <w:tcW w:w="431" w:type="pct"/>
          </w:tcPr>
          <w:p w14:paraId="6C5865EF" w14:textId="77777777" w:rsidR="00552375" w:rsidRPr="000F7AFA" w:rsidRDefault="00552375" w:rsidP="00552375">
            <w:pPr>
              <w:pStyle w:val="TableText"/>
              <w:rPr>
                <w:szCs w:val="18"/>
              </w:rPr>
            </w:pPr>
            <w:r w:rsidRPr="005D6D20">
              <w:rPr>
                <w:szCs w:val="18"/>
              </w:rPr>
              <w:t>1.5</w:t>
            </w:r>
          </w:p>
        </w:tc>
        <w:tc>
          <w:tcPr>
            <w:tcW w:w="366" w:type="pct"/>
          </w:tcPr>
          <w:p w14:paraId="164B7BA9" w14:textId="77777777" w:rsidR="00552375" w:rsidRPr="000F7AFA" w:rsidRDefault="00552375" w:rsidP="00552375">
            <w:pPr>
              <w:pStyle w:val="TableText"/>
              <w:rPr>
                <w:szCs w:val="18"/>
              </w:rPr>
            </w:pPr>
            <w:r w:rsidRPr="005D6D20">
              <w:rPr>
                <w:szCs w:val="18"/>
              </w:rPr>
              <w:t>129</w:t>
            </w:r>
          </w:p>
        </w:tc>
        <w:tc>
          <w:tcPr>
            <w:tcW w:w="366" w:type="pct"/>
          </w:tcPr>
          <w:p w14:paraId="68D3C35B" w14:textId="77777777" w:rsidR="00552375" w:rsidRPr="000F7AFA" w:rsidRDefault="00552375" w:rsidP="00552375">
            <w:pPr>
              <w:pStyle w:val="TableText"/>
              <w:rPr>
                <w:szCs w:val="18"/>
              </w:rPr>
            </w:pPr>
            <w:r w:rsidRPr="005D6D20">
              <w:rPr>
                <w:szCs w:val="18"/>
              </w:rPr>
              <w:t>173</w:t>
            </w:r>
          </w:p>
        </w:tc>
        <w:tc>
          <w:tcPr>
            <w:tcW w:w="330" w:type="pct"/>
          </w:tcPr>
          <w:p w14:paraId="1EFA6668" w14:textId="77777777" w:rsidR="00552375" w:rsidRPr="000F7AFA" w:rsidRDefault="00552375" w:rsidP="00552375">
            <w:pPr>
              <w:pStyle w:val="TableText"/>
              <w:rPr>
                <w:szCs w:val="18"/>
              </w:rPr>
            </w:pPr>
            <w:r w:rsidRPr="005D6D20">
              <w:rPr>
                <w:szCs w:val="18"/>
              </w:rPr>
              <w:t>2</w:t>
            </w:r>
          </w:p>
        </w:tc>
        <w:tc>
          <w:tcPr>
            <w:tcW w:w="308" w:type="pct"/>
          </w:tcPr>
          <w:p w14:paraId="07377049" w14:textId="77777777" w:rsidR="00552375" w:rsidRPr="000F7AFA" w:rsidRDefault="00552375" w:rsidP="00552375">
            <w:pPr>
              <w:pStyle w:val="TableText"/>
              <w:rPr>
                <w:szCs w:val="18"/>
              </w:rPr>
            </w:pPr>
            <w:r w:rsidRPr="005D6D20">
              <w:rPr>
                <w:szCs w:val="18"/>
              </w:rPr>
              <w:t>19</w:t>
            </w:r>
          </w:p>
        </w:tc>
        <w:tc>
          <w:tcPr>
            <w:tcW w:w="494" w:type="pct"/>
          </w:tcPr>
          <w:p w14:paraId="74DB6573" w14:textId="77777777" w:rsidR="00552375" w:rsidRPr="000F7AFA" w:rsidRDefault="00552375" w:rsidP="00552375">
            <w:pPr>
              <w:pStyle w:val="TableText"/>
              <w:rPr>
                <w:szCs w:val="18"/>
              </w:rPr>
            </w:pPr>
            <w:r w:rsidRPr="005D6D20">
              <w:rPr>
                <w:b/>
                <w:szCs w:val="18"/>
              </w:rPr>
              <w:t>0.74</w:t>
            </w:r>
          </w:p>
        </w:tc>
        <w:tc>
          <w:tcPr>
            <w:tcW w:w="497" w:type="pct"/>
          </w:tcPr>
          <w:p w14:paraId="1FCFF12E" w14:textId="77777777" w:rsidR="00552375" w:rsidRPr="000F7AFA" w:rsidRDefault="00552375" w:rsidP="00552375">
            <w:pPr>
              <w:pStyle w:val="TableText"/>
              <w:rPr>
                <w:szCs w:val="18"/>
              </w:rPr>
            </w:pPr>
            <w:r w:rsidRPr="005D6D20">
              <w:rPr>
                <w:b/>
                <w:szCs w:val="18"/>
              </w:rPr>
              <w:t>0.10</w:t>
            </w:r>
          </w:p>
        </w:tc>
      </w:tr>
      <w:tr w:rsidR="00552375" w14:paraId="48802767" w14:textId="77777777" w:rsidTr="00CF703B">
        <w:tc>
          <w:tcPr>
            <w:tcW w:w="1725" w:type="pct"/>
            <w:shd w:val="clear" w:color="auto" w:fill="auto"/>
          </w:tcPr>
          <w:p w14:paraId="27B9F6B3" w14:textId="77777777" w:rsidR="00552375" w:rsidRDefault="00552375" w:rsidP="00552375">
            <w:pPr>
              <w:pStyle w:val="TableText"/>
            </w:pPr>
            <w:r>
              <w:t>Waikato @ Rangariri</w:t>
            </w:r>
          </w:p>
        </w:tc>
        <w:tc>
          <w:tcPr>
            <w:tcW w:w="483" w:type="pct"/>
          </w:tcPr>
          <w:p w14:paraId="2439E9C0" w14:textId="77777777" w:rsidR="00552375" w:rsidRDefault="00552375" w:rsidP="00552375">
            <w:pPr>
              <w:pStyle w:val="TableText"/>
              <w:rPr>
                <w:lang w:val="en-US"/>
              </w:rPr>
            </w:pPr>
            <w:r w:rsidRPr="005D6D20">
              <w:rPr>
                <w:szCs w:val="18"/>
              </w:rPr>
              <w:t>343</w:t>
            </w:r>
          </w:p>
        </w:tc>
        <w:tc>
          <w:tcPr>
            <w:tcW w:w="431" w:type="pct"/>
          </w:tcPr>
          <w:p w14:paraId="5CC9317B" w14:textId="77777777" w:rsidR="00552375" w:rsidRDefault="00552375" w:rsidP="00552375">
            <w:pPr>
              <w:pStyle w:val="TableText"/>
              <w:rPr>
                <w:lang w:val="en-US"/>
              </w:rPr>
            </w:pPr>
            <w:r w:rsidRPr="005D6D20">
              <w:rPr>
                <w:szCs w:val="18"/>
              </w:rPr>
              <w:t>7</w:t>
            </w:r>
          </w:p>
        </w:tc>
        <w:tc>
          <w:tcPr>
            <w:tcW w:w="366" w:type="pct"/>
          </w:tcPr>
          <w:p w14:paraId="2D7C2782" w14:textId="77777777" w:rsidR="00552375" w:rsidRDefault="00552375" w:rsidP="00552375">
            <w:pPr>
              <w:pStyle w:val="TableText"/>
              <w:rPr>
                <w:lang w:val="en-US"/>
              </w:rPr>
            </w:pPr>
            <w:r w:rsidRPr="005D6D20">
              <w:rPr>
                <w:szCs w:val="18"/>
              </w:rPr>
              <w:t>350</w:t>
            </w:r>
          </w:p>
        </w:tc>
        <w:tc>
          <w:tcPr>
            <w:tcW w:w="366" w:type="pct"/>
          </w:tcPr>
          <w:p w14:paraId="0F046851" w14:textId="77777777" w:rsidR="00552375" w:rsidRDefault="00552375" w:rsidP="00552375">
            <w:pPr>
              <w:pStyle w:val="TableText"/>
              <w:rPr>
                <w:lang w:val="en-US"/>
              </w:rPr>
            </w:pPr>
            <w:r w:rsidRPr="005D6D20">
              <w:rPr>
                <w:szCs w:val="18"/>
              </w:rPr>
              <w:t>582</w:t>
            </w:r>
          </w:p>
        </w:tc>
        <w:tc>
          <w:tcPr>
            <w:tcW w:w="330" w:type="pct"/>
          </w:tcPr>
          <w:p w14:paraId="3722A6D8" w14:textId="77777777" w:rsidR="00552375" w:rsidRDefault="00552375" w:rsidP="00552375">
            <w:pPr>
              <w:pStyle w:val="TableText"/>
              <w:rPr>
                <w:lang w:val="en-US"/>
              </w:rPr>
            </w:pPr>
            <w:r w:rsidRPr="005D6D20">
              <w:rPr>
                <w:szCs w:val="18"/>
              </w:rPr>
              <w:t>22</w:t>
            </w:r>
          </w:p>
        </w:tc>
        <w:tc>
          <w:tcPr>
            <w:tcW w:w="308" w:type="pct"/>
          </w:tcPr>
          <w:p w14:paraId="476787E2" w14:textId="77777777" w:rsidR="00552375" w:rsidRDefault="00552375" w:rsidP="00552375">
            <w:pPr>
              <w:pStyle w:val="TableText"/>
              <w:rPr>
                <w:lang w:val="en-US"/>
              </w:rPr>
            </w:pPr>
            <w:r w:rsidRPr="005D6D20">
              <w:rPr>
                <w:szCs w:val="18"/>
              </w:rPr>
              <w:t>59</w:t>
            </w:r>
          </w:p>
        </w:tc>
        <w:tc>
          <w:tcPr>
            <w:tcW w:w="494" w:type="pct"/>
          </w:tcPr>
          <w:p w14:paraId="69D4B3A7" w14:textId="77777777" w:rsidR="00552375" w:rsidRDefault="00552375" w:rsidP="00552375">
            <w:pPr>
              <w:pStyle w:val="TableText"/>
              <w:rPr>
                <w:lang w:val="en-US"/>
              </w:rPr>
            </w:pPr>
            <w:r w:rsidRPr="005D6D20">
              <w:rPr>
                <w:b/>
                <w:szCs w:val="18"/>
              </w:rPr>
              <w:t>0.60</w:t>
            </w:r>
          </w:p>
        </w:tc>
        <w:tc>
          <w:tcPr>
            <w:tcW w:w="497" w:type="pct"/>
          </w:tcPr>
          <w:p w14:paraId="1FFD039B" w14:textId="77777777" w:rsidR="00552375" w:rsidRDefault="00552375" w:rsidP="00552375">
            <w:pPr>
              <w:pStyle w:val="TableText"/>
              <w:rPr>
                <w:lang w:val="en-US"/>
              </w:rPr>
            </w:pPr>
            <w:r w:rsidRPr="005D6D20">
              <w:rPr>
                <w:b/>
                <w:szCs w:val="18"/>
              </w:rPr>
              <w:t>0.37</w:t>
            </w:r>
          </w:p>
        </w:tc>
      </w:tr>
      <w:tr w:rsidR="00552375" w:rsidRPr="00D77228" w14:paraId="2DC25A0A" w14:textId="77777777" w:rsidTr="00CF703B">
        <w:tc>
          <w:tcPr>
            <w:tcW w:w="1725" w:type="pct"/>
            <w:shd w:val="clear" w:color="auto" w:fill="auto"/>
          </w:tcPr>
          <w:p w14:paraId="777468F1" w14:textId="77777777" w:rsidR="00552375" w:rsidRDefault="00552375" w:rsidP="00552375">
            <w:pPr>
              <w:pStyle w:val="TableText"/>
            </w:pPr>
            <w:r>
              <w:t>Paiko @ Paeroa-Tahuna Rd Bridge</w:t>
            </w:r>
          </w:p>
        </w:tc>
        <w:tc>
          <w:tcPr>
            <w:tcW w:w="483" w:type="pct"/>
          </w:tcPr>
          <w:p w14:paraId="47EACD2D" w14:textId="77777777" w:rsidR="00552375" w:rsidRPr="00D77228" w:rsidRDefault="00552375" w:rsidP="00552375">
            <w:pPr>
              <w:pStyle w:val="TableText"/>
            </w:pPr>
            <w:r>
              <w:rPr>
                <w:szCs w:val="18"/>
              </w:rPr>
              <w:t>1</w:t>
            </w:r>
            <w:r w:rsidRPr="005D6D20">
              <w:rPr>
                <w:szCs w:val="18"/>
              </w:rPr>
              <w:t>560</w:t>
            </w:r>
          </w:p>
        </w:tc>
        <w:tc>
          <w:tcPr>
            <w:tcW w:w="431" w:type="pct"/>
          </w:tcPr>
          <w:p w14:paraId="15CE1948" w14:textId="77777777" w:rsidR="00552375" w:rsidRPr="00D77228" w:rsidRDefault="00552375" w:rsidP="00552375">
            <w:pPr>
              <w:pStyle w:val="TableText"/>
            </w:pPr>
            <w:r w:rsidRPr="005D6D20">
              <w:rPr>
                <w:szCs w:val="18"/>
              </w:rPr>
              <w:t>5</w:t>
            </w:r>
          </w:p>
        </w:tc>
        <w:tc>
          <w:tcPr>
            <w:tcW w:w="366" w:type="pct"/>
          </w:tcPr>
          <w:p w14:paraId="1EACA225" w14:textId="77777777" w:rsidR="00552375" w:rsidRPr="00D77228" w:rsidRDefault="00552375" w:rsidP="00552375">
            <w:pPr>
              <w:pStyle w:val="TableText"/>
            </w:pPr>
            <w:r>
              <w:rPr>
                <w:szCs w:val="18"/>
              </w:rPr>
              <w:t>1</w:t>
            </w:r>
            <w:r w:rsidRPr="005D6D20">
              <w:rPr>
                <w:szCs w:val="18"/>
              </w:rPr>
              <w:t>610</w:t>
            </w:r>
          </w:p>
        </w:tc>
        <w:tc>
          <w:tcPr>
            <w:tcW w:w="366" w:type="pct"/>
          </w:tcPr>
          <w:p w14:paraId="5FD527C0" w14:textId="77777777" w:rsidR="00552375" w:rsidRPr="00D77228" w:rsidRDefault="00552375" w:rsidP="00552375">
            <w:pPr>
              <w:pStyle w:val="TableText"/>
            </w:pPr>
            <w:r>
              <w:rPr>
                <w:szCs w:val="18"/>
              </w:rPr>
              <w:t>2</w:t>
            </w:r>
            <w:r w:rsidRPr="005D6D20">
              <w:rPr>
                <w:szCs w:val="18"/>
              </w:rPr>
              <w:t>345</w:t>
            </w:r>
          </w:p>
        </w:tc>
        <w:tc>
          <w:tcPr>
            <w:tcW w:w="330" w:type="pct"/>
          </w:tcPr>
          <w:p w14:paraId="0F62E771" w14:textId="77777777" w:rsidR="00552375" w:rsidRPr="00D77228" w:rsidRDefault="00552375" w:rsidP="00552375">
            <w:pPr>
              <w:pStyle w:val="TableText"/>
            </w:pPr>
            <w:r w:rsidRPr="005D6D20">
              <w:rPr>
                <w:szCs w:val="18"/>
              </w:rPr>
              <w:t>152</w:t>
            </w:r>
          </w:p>
        </w:tc>
        <w:tc>
          <w:tcPr>
            <w:tcW w:w="308" w:type="pct"/>
          </w:tcPr>
          <w:p w14:paraId="605582BC" w14:textId="77777777" w:rsidR="00552375" w:rsidRPr="00D77228" w:rsidRDefault="00552375" w:rsidP="00552375">
            <w:pPr>
              <w:pStyle w:val="TableText"/>
            </w:pPr>
            <w:r w:rsidRPr="005D6D20">
              <w:rPr>
                <w:szCs w:val="18"/>
              </w:rPr>
              <w:t>270</w:t>
            </w:r>
          </w:p>
        </w:tc>
        <w:tc>
          <w:tcPr>
            <w:tcW w:w="494" w:type="pct"/>
          </w:tcPr>
          <w:p w14:paraId="4B855856" w14:textId="77777777" w:rsidR="00552375" w:rsidRPr="00D77228" w:rsidRDefault="00552375" w:rsidP="00552375">
            <w:pPr>
              <w:pStyle w:val="TableText"/>
            </w:pPr>
            <w:r w:rsidRPr="005D6D20">
              <w:rPr>
                <w:b/>
                <w:szCs w:val="18"/>
              </w:rPr>
              <w:t>0.69</w:t>
            </w:r>
          </w:p>
        </w:tc>
        <w:tc>
          <w:tcPr>
            <w:tcW w:w="497" w:type="pct"/>
          </w:tcPr>
          <w:p w14:paraId="559AC69D" w14:textId="77777777" w:rsidR="00552375" w:rsidRPr="00D77228" w:rsidRDefault="00552375" w:rsidP="00552375">
            <w:pPr>
              <w:pStyle w:val="TableText"/>
            </w:pPr>
            <w:r w:rsidRPr="005D6D20">
              <w:rPr>
                <w:b/>
                <w:szCs w:val="18"/>
              </w:rPr>
              <w:t>0.56</w:t>
            </w:r>
          </w:p>
        </w:tc>
      </w:tr>
    </w:tbl>
    <w:p w14:paraId="140505C8" w14:textId="77777777" w:rsidR="00552375" w:rsidRPr="00FF5DCD" w:rsidRDefault="00552375" w:rsidP="00CF703B">
      <w:pPr>
        <w:pStyle w:val="BodyText"/>
        <w:spacing w:before="240"/>
      </w:pPr>
      <w:r w:rsidRPr="00FF5DCD">
        <w:t>Working through an example using the Piako River (using hypothetical nutrient criteria):</w:t>
      </w:r>
    </w:p>
    <w:p w14:paraId="1FBB7C76" w14:textId="03090B12" w:rsidR="00552375" w:rsidRPr="00FF5DCD" w:rsidRDefault="00552375" w:rsidP="00552375">
      <w:pPr>
        <w:pStyle w:val="BodyText"/>
      </w:pPr>
      <w:r w:rsidRPr="00FF5DCD">
        <w:t>If the Piako River had instream criteria of 1,000 mg/m</w:t>
      </w:r>
      <w:r w:rsidRPr="000855B3">
        <w:rPr>
          <w:vertAlign w:val="superscript"/>
        </w:rPr>
        <w:t xml:space="preserve">3 </w:t>
      </w:r>
      <w:r w:rsidRPr="00FF5DCD">
        <w:t>DIN and 60 mg/m</w:t>
      </w:r>
      <w:r w:rsidRPr="00FF5DCD">
        <w:rPr>
          <w:vertAlign w:val="superscript"/>
        </w:rPr>
        <w:t>3</w:t>
      </w:r>
      <w:r w:rsidRPr="00FF5DCD">
        <w:t xml:space="preserve"> DRP these are converted to corresponding TN and TP concentrations by dividing by the ratios (0.69 and 0.56,</w:t>
      </w:r>
      <w:r w:rsidR="00096303">
        <w:t> </w:t>
      </w:r>
      <w:r w:rsidRPr="00FF5DCD">
        <w:t xml:space="preserve">respectively </w:t>
      </w:r>
      <w:r>
        <w:t>–</w:t>
      </w:r>
      <w:r w:rsidR="00DD47E9">
        <w:t xml:space="preserve"> </w:t>
      </w:r>
      <w:r w:rsidRPr="00FF5DCD">
        <w:fldChar w:fldCharType="begin"/>
      </w:r>
      <w:r w:rsidRPr="00FF5DCD">
        <w:instrText xml:space="preserve"> REF _Ref518244068 \h  \* MERGEFORMAT </w:instrText>
      </w:r>
      <w:r w:rsidRPr="00FF5DCD">
        <w:fldChar w:fldCharType="separate"/>
      </w:r>
      <w:r w:rsidR="001A7243" w:rsidRPr="00C57A3B">
        <w:rPr>
          <w:lang w:val="en-AU"/>
        </w:rPr>
        <w:t xml:space="preserve">Table </w:t>
      </w:r>
      <w:r w:rsidR="001A7243">
        <w:rPr>
          <w:noProof/>
          <w:lang w:val="en-AU"/>
        </w:rPr>
        <w:t>9</w:t>
      </w:r>
      <w:r w:rsidRPr="00FF5DCD">
        <w:fldChar w:fldCharType="end"/>
      </w:r>
      <w:r w:rsidRPr="00FF5DCD">
        <w:t>). This yields respective TN and TP concentrations of 1450 and 107</w:t>
      </w:r>
      <w:r w:rsidR="00096303">
        <w:t> </w:t>
      </w:r>
      <w:r w:rsidRPr="00FF5DCD">
        <w:t>mg/m</w:t>
      </w:r>
      <w:r w:rsidRPr="00FF5DCD">
        <w:rPr>
          <w:vertAlign w:val="superscript"/>
        </w:rPr>
        <w:t>3</w:t>
      </w:r>
      <w:r w:rsidRPr="00FF5DCD">
        <w:t>.</w:t>
      </w:r>
    </w:p>
    <w:p w14:paraId="76A2742F" w14:textId="3629F9E4" w:rsidR="00552375" w:rsidRPr="00FF5DCD" w:rsidRDefault="00552375" w:rsidP="00552375">
      <w:pPr>
        <w:pStyle w:val="BodyText"/>
      </w:pPr>
      <w:r w:rsidRPr="00FF5DCD">
        <w:t xml:space="preserve">Measurement of TN and TP is recommended, but where these data are not available, </w:t>
      </w:r>
      <w:r w:rsidRPr="00984D09">
        <w:t>Unwin et</w:t>
      </w:r>
      <w:r w:rsidR="00096303">
        <w:t> </w:t>
      </w:r>
      <w:r w:rsidRPr="00984D09">
        <w:t>al.</w:t>
      </w:r>
      <w:r w:rsidRPr="00FF5DCD">
        <w:t xml:space="preserve"> (2010) developed a model to predict the fraction of TN present as nitrate-N (or DIN) and similarly, the fraction of TP present as DRP. The ETI (Tool 1) uses these calculated fractions to convert TN and TP (from CLUES catchment load model) into nitrate-N and DRP.</w:t>
      </w:r>
    </w:p>
    <w:bookmarkEnd w:id="117"/>
    <w:bookmarkEnd w:id="124"/>
    <w:p w14:paraId="51502D8D" w14:textId="77777777" w:rsidR="00552375" w:rsidRPr="00FF5DCD" w:rsidRDefault="00552375" w:rsidP="00984D09">
      <w:pPr>
        <w:pStyle w:val="Heading4"/>
      </w:pPr>
      <w:r w:rsidRPr="00FF5DCD">
        <w:t xml:space="preserve">Converting FMU nitrogen criteria into predicted estuarine concentrations </w:t>
      </w:r>
    </w:p>
    <w:p w14:paraId="0BF06B71" w14:textId="77777777" w:rsidR="00552375" w:rsidRPr="00FF5DCD" w:rsidRDefault="00552375" w:rsidP="00552375">
      <w:pPr>
        <w:pStyle w:val="Heading5"/>
      </w:pPr>
      <w:r w:rsidRPr="00FF5DCD">
        <w:t>The dilution factor (i</w:t>
      </w:r>
      <w:r>
        <w:t>e</w:t>
      </w:r>
      <w:r w:rsidRPr="00FF5DCD">
        <w:t>, how much FMU water is diluted with oceanic water)</w:t>
      </w:r>
    </w:p>
    <w:p w14:paraId="21569323" w14:textId="033D0CFA" w:rsidR="00552375" w:rsidRDefault="00552375" w:rsidP="00552375">
      <w:pPr>
        <w:pStyle w:val="BodyText"/>
        <w:rPr>
          <w:lang w:val="en-AU"/>
        </w:rPr>
      </w:pPr>
      <w:r>
        <w:rPr>
          <w:lang w:val="en-AU"/>
        </w:rPr>
        <w:t>The ETI CLUES Estuary module (Tool 1) uses annual loads/flows from the CLUES model, and then depending on the estuary characteristics, applies one of three models to mix the riverine water with oceanic water. The important parameter determined for all estuaries (in Tool 1) is the estimated dilution factor (</w:t>
      </w:r>
      <w:r w:rsidRPr="00CB5581">
        <w:rPr>
          <w:i/>
          <w:lang w:val="en-AU"/>
        </w:rPr>
        <w:t>D</w:t>
      </w:r>
      <w:r>
        <w:rPr>
          <w:lang w:val="en-AU"/>
        </w:rPr>
        <w:t xml:space="preserve">) of riverine water with oceanic water – the higher the dilution factor, then greater the proportion of oceanic water and hence dilution of nitrogen nutrients from riverine water. The </w:t>
      </w:r>
      <w:r>
        <w:rPr>
          <w:i/>
          <w:lang w:val="en-AU"/>
        </w:rPr>
        <w:t xml:space="preserve">potential </w:t>
      </w:r>
      <w:r w:rsidRPr="00B9130D">
        <w:rPr>
          <w:i/>
          <w:lang w:val="en-AU"/>
        </w:rPr>
        <w:t>TN</w:t>
      </w:r>
      <w:r w:rsidRPr="00B9130D">
        <w:rPr>
          <w:i/>
          <w:vertAlign w:val="subscript"/>
          <w:lang w:val="en-AU"/>
        </w:rPr>
        <w:t>estimated</w:t>
      </w:r>
      <w:r>
        <w:rPr>
          <w:lang w:val="en-AU"/>
        </w:rPr>
        <w:t xml:space="preserve"> concentration is then readily calculated using Eq.</w:t>
      </w:r>
      <w:r w:rsidR="00984D09">
        <w:rPr>
          <w:lang w:val="en-AU"/>
        </w:rPr>
        <w:t> </w:t>
      </w:r>
      <w:r>
        <w:rPr>
          <w:lang w:val="en-AU"/>
        </w:rPr>
        <w:t>1</w:t>
      </w:r>
      <w:r w:rsidR="00984D09">
        <w:rPr>
          <w:lang w:val="en-AU"/>
        </w:rPr>
        <w:t> </w:t>
      </w:r>
      <w:r>
        <w:rPr>
          <w:lang w:val="en-AU"/>
        </w:rPr>
        <w:t xml:space="preserve">(modified from Plew </w:t>
      </w:r>
      <w:r w:rsidRPr="001D0EDF">
        <w:rPr>
          <w:i/>
          <w:lang w:val="en-AU"/>
        </w:rPr>
        <w:t>et al.</w:t>
      </w:r>
      <w:r>
        <w:rPr>
          <w:i/>
          <w:lang w:val="en-AU"/>
        </w:rPr>
        <w:t>,</w:t>
      </w:r>
      <w:r>
        <w:rPr>
          <w:lang w:val="en-AU"/>
        </w:rPr>
        <w:t xml:space="preserve"> 2017). </w:t>
      </w:r>
    </w:p>
    <w:p w14:paraId="11576B54" w14:textId="0114A866" w:rsidR="00552375" w:rsidRPr="00A312A3" w:rsidRDefault="00552375" w:rsidP="00552375">
      <w:pPr>
        <w:pStyle w:val="BodyText"/>
        <w:keepNext/>
        <w:ind w:left="1191" w:firstLine="397"/>
        <w:rPr>
          <w:lang w:val="en-AU"/>
        </w:rPr>
      </w:pPr>
      <m:oMath>
        <m:r>
          <w:rPr>
            <w:rFonts w:ascii="Cambria Math" w:hAnsi="Cambria Math" w:cs="Cambria Math"/>
            <w:lang w:val="en-AU"/>
          </w:rPr>
          <m:t>Potential TN(estimated)</m:t>
        </m:r>
        <m:r>
          <m:rPr>
            <m:sty m:val="p"/>
          </m:rPr>
          <w:rPr>
            <w:rFonts w:ascii="Cambria Math" w:hAnsi="Cambria Math" w:cs="Cambria Math"/>
            <w:lang w:val="en-AU"/>
          </w:rPr>
          <m:t>=</m:t>
        </m:r>
        <m:f>
          <m:fPr>
            <m:ctrlPr>
              <w:rPr>
                <w:rFonts w:ascii="Cambria Math" w:hAnsi="Cambria Math"/>
                <w:lang w:val="en-AU"/>
              </w:rPr>
            </m:ctrlPr>
          </m:fPr>
          <m:num>
            <m:sSub>
              <m:sSubPr>
                <m:ctrlPr>
                  <w:rPr>
                    <w:rFonts w:ascii="Cambria Math" w:hAnsi="Cambria Math" w:cs="Cambria Math"/>
                    <w:lang w:val="en-AU"/>
                  </w:rPr>
                </m:ctrlPr>
              </m:sSubPr>
              <m:e>
                <m:r>
                  <w:rPr>
                    <w:rFonts w:ascii="Cambria Math" w:hAnsi="Cambria Math" w:cs="Cambria Math"/>
                    <w:lang w:val="en-AU"/>
                  </w:rPr>
                  <m:t>N</m:t>
                </m:r>
              </m:e>
              <m:sub>
                <m:r>
                  <w:rPr>
                    <w:rFonts w:ascii="Cambria Math" w:hAnsi="Cambria Math" w:cs="Cambria Math"/>
                    <w:lang w:val="en-AU"/>
                  </w:rPr>
                  <m:t>FMU</m:t>
                </m:r>
              </m:sub>
            </m:sSub>
            <m:r>
              <m:rPr>
                <m:sty m:val="p"/>
              </m:rPr>
              <w:rPr>
                <w:rFonts w:ascii="Cambria Math" w:hAnsi="Cambria Math" w:cs="Cambria Math"/>
                <w:lang w:val="en-AU"/>
              </w:rPr>
              <m:t xml:space="preserve">+ </m:t>
            </m:r>
            <m:sSub>
              <m:sSubPr>
                <m:ctrlPr>
                  <w:rPr>
                    <w:rFonts w:ascii="Cambria Math" w:hAnsi="Cambria Math" w:cs="Cambria Math"/>
                    <w:lang w:val="en-AU"/>
                  </w:rPr>
                </m:ctrlPr>
              </m:sSubPr>
              <m:e>
                <m:r>
                  <w:rPr>
                    <w:rFonts w:ascii="Cambria Math" w:hAnsi="Cambria Math" w:cs="Cambria Math"/>
                    <w:lang w:val="en-AU"/>
                  </w:rPr>
                  <m:t>N</m:t>
                </m:r>
              </m:e>
              <m:sub>
                <m:r>
                  <w:rPr>
                    <w:rFonts w:ascii="Cambria Math" w:hAnsi="Cambria Math" w:cs="Cambria Math"/>
                    <w:lang w:val="en-AU"/>
                  </w:rPr>
                  <m:t>Ocean</m:t>
                </m:r>
              </m:sub>
            </m:sSub>
            <m:r>
              <w:rPr>
                <w:rFonts w:ascii="Cambria Math" w:hAnsi="Cambria Math" w:cs="Cambria Math"/>
                <w:lang w:val="en-AU"/>
              </w:rPr>
              <m:t>(D-1)</m:t>
            </m:r>
          </m:num>
          <m:den>
            <m:r>
              <w:rPr>
                <w:rFonts w:ascii="Cambria Math" w:hAnsi="Cambria Math" w:cs="Cambria Math"/>
                <w:lang w:val="en-AU"/>
              </w:rPr>
              <m:t>D</m:t>
            </m:r>
          </m:den>
        </m:f>
      </m:oMath>
      <w:r w:rsidR="00DD47E9">
        <w:rPr>
          <w:lang w:val="en-AU"/>
        </w:rPr>
        <w:t xml:space="preserve"> </w:t>
      </w:r>
      <w:r>
        <w:rPr>
          <w:lang w:val="en-AU"/>
        </w:rPr>
        <w:tab/>
      </w:r>
      <w:r>
        <w:rPr>
          <w:lang w:val="en-AU"/>
        </w:rPr>
        <w:tab/>
      </w:r>
      <w:r>
        <w:rPr>
          <w:lang w:val="en-AU"/>
        </w:rPr>
        <w:tab/>
        <w:t>Eq. 1</w:t>
      </w:r>
    </w:p>
    <w:p w14:paraId="61BD1F2D" w14:textId="77777777" w:rsidR="00552375" w:rsidRDefault="00552375" w:rsidP="00552375">
      <w:pPr>
        <w:pStyle w:val="BodyText"/>
        <w:rPr>
          <w:lang w:val="en-AU"/>
        </w:rPr>
      </w:pPr>
      <w:r>
        <w:rPr>
          <w:lang w:val="en-AU"/>
        </w:rPr>
        <w:t xml:space="preserve">Where </w:t>
      </w:r>
      <w:r w:rsidRPr="00A312A3">
        <w:rPr>
          <w:i/>
          <w:lang w:val="en-AU"/>
        </w:rPr>
        <w:t>N</w:t>
      </w:r>
      <w:r w:rsidRPr="00A312A3">
        <w:rPr>
          <w:i/>
          <w:vertAlign w:val="subscript"/>
          <w:lang w:val="en-AU"/>
        </w:rPr>
        <w:t>FMU</w:t>
      </w:r>
      <w:r>
        <w:rPr>
          <w:lang w:val="en-AU"/>
        </w:rPr>
        <w:t xml:space="preserve"> is the N concentration for the FMU (ie, river), </w:t>
      </w:r>
      <w:r w:rsidRPr="00A312A3">
        <w:rPr>
          <w:i/>
          <w:lang w:val="en-AU"/>
        </w:rPr>
        <w:t>N</w:t>
      </w:r>
      <w:r w:rsidRPr="00A312A3">
        <w:rPr>
          <w:i/>
          <w:vertAlign w:val="subscript"/>
          <w:lang w:val="en-AU"/>
        </w:rPr>
        <w:t>O</w:t>
      </w:r>
      <w:r>
        <w:rPr>
          <w:i/>
          <w:vertAlign w:val="subscript"/>
          <w:lang w:val="en-AU"/>
        </w:rPr>
        <w:t>cean</w:t>
      </w:r>
      <w:r>
        <w:rPr>
          <w:lang w:val="en-AU"/>
        </w:rPr>
        <w:t xml:space="preserve"> is the N concentration of the oceanic water, and </w:t>
      </w:r>
      <w:r>
        <w:rPr>
          <w:i/>
          <w:lang w:val="en-AU"/>
        </w:rPr>
        <w:t xml:space="preserve">D </w:t>
      </w:r>
      <w:r>
        <w:rPr>
          <w:lang w:val="en-AU"/>
        </w:rPr>
        <w:t xml:space="preserve">is the dilution factor. </w:t>
      </w:r>
    </w:p>
    <w:p w14:paraId="2F61DAE3" w14:textId="2C5E855C" w:rsidR="00552375" w:rsidRPr="00AE1183" w:rsidRDefault="00552375" w:rsidP="00096303">
      <w:pPr>
        <w:pStyle w:val="BodyText"/>
        <w:rPr>
          <w:i/>
          <w:lang w:val="en-AU"/>
        </w:rPr>
      </w:pPr>
      <w:r>
        <w:rPr>
          <w:lang w:val="en-AU"/>
        </w:rPr>
        <w:t xml:space="preserve">In the ETI, the </w:t>
      </w:r>
      <w:r>
        <w:rPr>
          <w:i/>
          <w:lang w:val="en-AU"/>
        </w:rPr>
        <w:t xml:space="preserve">potential </w:t>
      </w:r>
      <w:r>
        <w:rPr>
          <w:lang w:val="en-AU"/>
        </w:rPr>
        <w:t>TN</w:t>
      </w:r>
      <w:r>
        <w:rPr>
          <w:vertAlign w:val="subscript"/>
          <w:lang w:val="en-AU"/>
        </w:rPr>
        <w:t xml:space="preserve">estimated </w:t>
      </w:r>
      <w:r>
        <w:rPr>
          <w:lang w:val="en-AU"/>
        </w:rPr>
        <w:t>(TN</w:t>
      </w:r>
      <w:r>
        <w:rPr>
          <w:vertAlign w:val="subscript"/>
          <w:lang w:val="en-AU"/>
        </w:rPr>
        <w:t>est</w:t>
      </w:r>
      <w:r>
        <w:rPr>
          <w:lang w:val="en-AU"/>
        </w:rPr>
        <w:t>) concentration calculation will be based on current state using average loads and flow outputs from the CLUES model. S</w:t>
      </w:r>
      <w:r w:rsidRPr="00AE1183">
        <w:rPr>
          <w:lang w:val="en-AU"/>
        </w:rPr>
        <w:t xml:space="preserve">tep </w:t>
      </w:r>
      <w:r>
        <w:rPr>
          <w:lang w:val="en-AU"/>
        </w:rPr>
        <w:t>(</w:t>
      </w:r>
      <w:r w:rsidRPr="00AE1183">
        <w:rPr>
          <w:lang w:val="en-AU"/>
        </w:rPr>
        <w:t>c</w:t>
      </w:r>
      <w:r>
        <w:rPr>
          <w:lang w:val="en-AU"/>
        </w:rPr>
        <w:t>)</w:t>
      </w:r>
      <w:r w:rsidRPr="00AE1183">
        <w:rPr>
          <w:lang w:val="en-AU"/>
        </w:rPr>
        <w:t xml:space="preserve"> of </w:t>
      </w:r>
      <w:r>
        <w:rPr>
          <w:lang w:val="en-AU"/>
        </w:rPr>
        <w:t>Clause 3.13</w:t>
      </w:r>
      <w:r w:rsidRPr="00AE1183">
        <w:rPr>
          <w:lang w:val="en-AU"/>
        </w:rPr>
        <w:t xml:space="preserve"> </w:t>
      </w:r>
      <w:r>
        <w:rPr>
          <w:lang w:val="en-AU"/>
        </w:rPr>
        <w:t>requires</w:t>
      </w:r>
      <w:r w:rsidRPr="00AE1183">
        <w:rPr>
          <w:lang w:val="en-AU"/>
        </w:rPr>
        <w:t xml:space="preserve"> regional councils to convert riverine instream criteria from upstream FMUs (i</w:t>
      </w:r>
      <w:r>
        <w:rPr>
          <w:lang w:val="en-AU"/>
        </w:rPr>
        <w:t xml:space="preserve">e, </w:t>
      </w:r>
      <w:r w:rsidRPr="00AE1183">
        <w:rPr>
          <w:lang w:val="en-AU"/>
        </w:rPr>
        <w:t xml:space="preserve">[X]; </w:t>
      </w:r>
      <w:r w:rsidRPr="00AE1183">
        <w:rPr>
          <w:lang w:val="en-AU"/>
        </w:rPr>
        <w:fldChar w:fldCharType="begin"/>
      </w:r>
      <w:r w:rsidRPr="00AE1183">
        <w:rPr>
          <w:lang w:val="en-AU"/>
        </w:rPr>
        <w:instrText xml:space="preserve"> REF _Ref517914425 \h </w:instrText>
      </w:r>
      <w:r>
        <w:rPr>
          <w:lang w:val="en-AU"/>
        </w:rPr>
        <w:instrText xml:space="preserve"> \* MERGEFORMAT </w:instrText>
      </w:r>
      <w:r w:rsidRPr="00AE1183">
        <w:rPr>
          <w:lang w:val="en-AU"/>
        </w:rPr>
      </w:r>
      <w:r w:rsidRPr="00AE1183">
        <w:rPr>
          <w:lang w:val="en-AU"/>
        </w:rPr>
        <w:fldChar w:fldCharType="separate"/>
      </w:r>
      <w:r w:rsidR="001A7243" w:rsidRPr="00FB2379">
        <w:t xml:space="preserve">Figure </w:t>
      </w:r>
      <w:r w:rsidR="001A7243">
        <w:rPr>
          <w:noProof/>
        </w:rPr>
        <w:t>11</w:t>
      </w:r>
      <w:r w:rsidRPr="00AE1183">
        <w:rPr>
          <w:lang w:val="en-AU"/>
        </w:rPr>
        <w:fldChar w:fldCharType="end"/>
      </w:r>
      <w:r w:rsidRPr="00AE1183">
        <w:rPr>
          <w:lang w:val="en-AU"/>
        </w:rPr>
        <w:t>) into estimated estuarine concentrations (i</w:t>
      </w:r>
      <w:r>
        <w:rPr>
          <w:lang w:val="en-AU"/>
        </w:rPr>
        <w:t>e,</w:t>
      </w:r>
      <w:r w:rsidRPr="00AE1183">
        <w:rPr>
          <w:lang w:val="en-AU"/>
        </w:rPr>
        <w:t xml:space="preserve"> [Y]; </w:t>
      </w:r>
      <w:r w:rsidRPr="00AE1183">
        <w:rPr>
          <w:lang w:val="en-AU"/>
        </w:rPr>
        <w:fldChar w:fldCharType="begin"/>
      </w:r>
      <w:r w:rsidRPr="00AE1183">
        <w:rPr>
          <w:lang w:val="en-AU"/>
        </w:rPr>
        <w:instrText xml:space="preserve"> REF _Ref517914425 \h </w:instrText>
      </w:r>
      <w:r>
        <w:rPr>
          <w:lang w:val="en-AU"/>
        </w:rPr>
        <w:instrText xml:space="preserve"> \* MERGEFORMAT </w:instrText>
      </w:r>
      <w:r w:rsidRPr="00AE1183">
        <w:rPr>
          <w:lang w:val="en-AU"/>
        </w:rPr>
      </w:r>
      <w:r w:rsidRPr="00AE1183">
        <w:rPr>
          <w:lang w:val="en-AU"/>
        </w:rPr>
        <w:fldChar w:fldCharType="separate"/>
      </w:r>
      <w:r w:rsidR="001A7243" w:rsidRPr="00FB2379">
        <w:t xml:space="preserve">Figure </w:t>
      </w:r>
      <w:r w:rsidR="001A7243">
        <w:rPr>
          <w:noProof/>
        </w:rPr>
        <w:t>11</w:t>
      </w:r>
      <w:r w:rsidRPr="00AE1183">
        <w:rPr>
          <w:lang w:val="en-AU"/>
        </w:rPr>
        <w:fldChar w:fldCharType="end"/>
      </w:r>
      <w:r w:rsidRPr="00AE1183">
        <w:rPr>
          <w:lang w:val="en-AU"/>
        </w:rPr>
        <w:t>) for comparison with indicative estuarine nitrogen criteria (i</w:t>
      </w:r>
      <w:r>
        <w:rPr>
          <w:lang w:val="en-AU"/>
        </w:rPr>
        <w:t>e,</w:t>
      </w:r>
      <w:r w:rsidRPr="00AE1183">
        <w:rPr>
          <w:lang w:val="en-AU"/>
        </w:rPr>
        <w:t xml:space="preserve"> [Z]; </w:t>
      </w:r>
      <w:r w:rsidRPr="00AE1183">
        <w:rPr>
          <w:lang w:val="en-AU"/>
        </w:rPr>
        <w:fldChar w:fldCharType="begin"/>
      </w:r>
      <w:r w:rsidRPr="00AE1183">
        <w:rPr>
          <w:lang w:val="en-AU"/>
        </w:rPr>
        <w:instrText xml:space="preserve"> REF _Ref517914425 \h </w:instrText>
      </w:r>
      <w:r>
        <w:rPr>
          <w:lang w:val="en-AU"/>
        </w:rPr>
        <w:instrText xml:space="preserve"> \* MERGEFORMAT </w:instrText>
      </w:r>
      <w:r w:rsidRPr="00AE1183">
        <w:rPr>
          <w:lang w:val="en-AU"/>
        </w:rPr>
      </w:r>
      <w:r w:rsidRPr="00AE1183">
        <w:rPr>
          <w:lang w:val="en-AU"/>
        </w:rPr>
        <w:fldChar w:fldCharType="separate"/>
      </w:r>
      <w:r w:rsidR="001A7243" w:rsidRPr="00FB2379">
        <w:t xml:space="preserve">Figure </w:t>
      </w:r>
      <w:r w:rsidR="001A7243">
        <w:rPr>
          <w:noProof/>
        </w:rPr>
        <w:t>11</w:t>
      </w:r>
      <w:r w:rsidRPr="00AE1183">
        <w:rPr>
          <w:lang w:val="en-AU"/>
        </w:rPr>
        <w:fldChar w:fldCharType="end"/>
      </w:r>
      <w:r w:rsidRPr="00AE1183">
        <w:rPr>
          <w:i/>
          <w:lang w:val="en-AU"/>
        </w:rPr>
        <w:t xml:space="preserve">). </w:t>
      </w:r>
      <w:r w:rsidRPr="00AE1183">
        <w:rPr>
          <w:lang w:val="en-AU"/>
        </w:rPr>
        <w:t>This is why Eq. 1 has the N</w:t>
      </w:r>
      <w:r w:rsidRPr="00AE1183">
        <w:rPr>
          <w:vertAlign w:val="subscript"/>
          <w:lang w:val="en-AU"/>
        </w:rPr>
        <w:t>FMU</w:t>
      </w:r>
      <w:r w:rsidRPr="00AE1183">
        <w:rPr>
          <w:vertAlign w:val="superscript"/>
          <w:lang w:val="en-AU"/>
        </w:rPr>
        <w:t xml:space="preserve"> </w:t>
      </w:r>
      <w:r w:rsidRPr="00AE1183">
        <w:rPr>
          <w:lang w:val="en-AU"/>
        </w:rPr>
        <w:t xml:space="preserve">term, which can </w:t>
      </w:r>
      <w:r w:rsidRPr="00096303">
        <w:t>represent</w:t>
      </w:r>
      <w:r w:rsidRPr="00AE1183">
        <w:rPr>
          <w:lang w:val="en-AU"/>
        </w:rPr>
        <w:t>:</w:t>
      </w:r>
    </w:p>
    <w:p w14:paraId="581712A0" w14:textId="7F15C641" w:rsidR="00552375" w:rsidRPr="00FF5DCD" w:rsidRDefault="00552375" w:rsidP="00096303">
      <w:pPr>
        <w:pStyle w:val="Bullet"/>
      </w:pPr>
      <w:r w:rsidRPr="00FF5DCD">
        <w:t>the instream concentration criterion set at a terminal node (or administration point) of the</w:t>
      </w:r>
      <w:r w:rsidR="00984D09">
        <w:t> </w:t>
      </w:r>
      <w:r w:rsidRPr="00FF5DCD">
        <w:t>FMU</w:t>
      </w:r>
    </w:p>
    <w:p w14:paraId="08326E01" w14:textId="77777777" w:rsidR="00552375" w:rsidRPr="00FF5DCD" w:rsidRDefault="00552375" w:rsidP="00096303">
      <w:pPr>
        <w:pStyle w:val="Bullet"/>
      </w:pPr>
      <w:r w:rsidRPr="00FF5DCD">
        <w:t>the flow-weighted average of instream criterion set through the FMU</w:t>
      </w:r>
    </w:p>
    <w:p w14:paraId="11B2C2BB" w14:textId="77777777" w:rsidR="00552375" w:rsidRPr="00FF5DCD" w:rsidRDefault="00552375" w:rsidP="00096303">
      <w:pPr>
        <w:pStyle w:val="Bullet"/>
      </w:pPr>
      <w:r w:rsidRPr="00FF5DCD">
        <w:t xml:space="preserve">the flow-weighted average of multiple upstream FMUs that contribute nutrients to the receiving environment being considered. </w:t>
      </w:r>
    </w:p>
    <w:p w14:paraId="11E5336A" w14:textId="5D281270" w:rsidR="00552375" w:rsidRDefault="00552375" w:rsidP="00552375">
      <w:pPr>
        <w:pStyle w:val="Figureheading"/>
      </w:pPr>
      <w:bookmarkStart w:id="125" w:name="_Ref518244212"/>
      <w:bookmarkStart w:id="126" w:name="_Toc521487719"/>
      <w:bookmarkStart w:id="127" w:name="_Toc73711485"/>
      <w:r w:rsidRPr="00971CD3">
        <w:t xml:space="preserve">Figure </w:t>
      </w:r>
      <w:fldSimple w:instr=" SEQ Figure \* ARABIC ">
        <w:r w:rsidR="001A7243">
          <w:rPr>
            <w:noProof/>
          </w:rPr>
          <w:t>12</w:t>
        </w:r>
      </w:fldSimple>
      <w:bookmarkEnd w:id="125"/>
      <w:r>
        <w:t>:</w:t>
      </w:r>
      <w:r>
        <w:tab/>
      </w:r>
      <w:r w:rsidRPr="00971CD3">
        <w:t xml:space="preserve">A simple scenario </w:t>
      </w:r>
      <w:r>
        <w:t>of</w:t>
      </w:r>
      <w:r w:rsidRPr="00971CD3">
        <w:t xml:space="preserve"> </w:t>
      </w:r>
      <w:r>
        <w:t xml:space="preserve">an </w:t>
      </w:r>
      <w:r w:rsidRPr="00971CD3">
        <w:t xml:space="preserve">FMU </w:t>
      </w:r>
      <w:r>
        <w:t xml:space="preserve">that </w:t>
      </w:r>
      <w:r w:rsidRPr="00971CD3">
        <w:t xml:space="preserve">discharges into a </w:t>
      </w:r>
      <w:r>
        <w:t>shallow, intertidal dominated estuary (SIDE) that is susceptible to macroalgal blooms</w:t>
      </w:r>
      <w:r w:rsidRPr="00971CD3">
        <w:t>.</w:t>
      </w:r>
      <w:bookmarkEnd w:id="126"/>
      <w:bookmarkEnd w:id="127"/>
    </w:p>
    <w:p w14:paraId="20F214D2" w14:textId="77777777" w:rsidR="00552375" w:rsidRDefault="00552375" w:rsidP="00552375">
      <w:pPr>
        <w:pStyle w:val="BodyText"/>
        <w:jc w:val="center"/>
      </w:pPr>
      <w:r>
        <w:rPr>
          <w:noProof/>
        </w:rPr>
        <w:drawing>
          <wp:inline distT="0" distB="0" distL="0" distR="0" wp14:anchorId="358EBB5F" wp14:editId="3FB6F444">
            <wp:extent cx="3061252" cy="2061041"/>
            <wp:effectExtent l="0" t="0" r="0" b="0"/>
            <wp:docPr id="34" name="Picture 34">
              <a:extLst xmlns:a="http://schemas.openxmlformats.org/drawingml/2006/main">
                <a:ext uri="{FF2B5EF4-FFF2-40B4-BE49-F238E27FC236}">
                  <a16:creationId xmlns:a16="http://schemas.microsoft.com/office/drawing/2014/main" id="{F99E4C73-F76E-471D-A4B5-7CB006893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99E4C73-F76E-471D-A4B5-7CB006893355}"/>
                        </a:ext>
                      </a:extLst>
                    </pic:cNvPr>
                    <pic:cNvPicPr>
                      <a:picLocks noChangeAspect="1"/>
                    </pic:cNvPicPr>
                  </pic:nvPicPr>
                  <pic:blipFill>
                    <a:blip r:embed="rId51"/>
                    <a:stretch>
                      <a:fillRect/>
                    </a:stretch>
                  </pic:blipFill>
                  <pic:spPr>
                    <a:xfrm>
                      <a:off x="0" y="0"/>
                      <a:ext cx="3094937" cy="2083720"/>
                    </a:xfrm>
                    <a:prstGeom prst="rect">
                      <a:avLst/>
                    </a:prstGeom>
                  </pic:spPr>
                </pic:pic>
              </a:graphicData>
            </a:graphic>
          </wp:inline>
        </w:drawing>
      </w:r>
    </w:p>
    <w:p w14:paraId="02156F52" w14:textId="77777777" w:rsidR="00552375" w:rsidRDefault="00552375" w:rsidP="00096303">
      <w:pPr>
        <w:pStyle w:val="Source"/>
        <w:spacing w:after="360"/>
      </w:pPr>
      <w:bookmarkStart w:id="128" w:name="_Toc519682848"/>
      <w:r w:rsidRPr="00971CD3">
        <w:t>The nitrogen criterion to achieve the trophic</w:t>
      </w:r>
      <w:r>
        <w:t>-state</w:t>
      </w:r>
      <w:r w:rsidRPr="00971CD3">
        <w:t xml:space="preserve"> objectives sought </w:t>
      </w:r>
      <w:r>
        <w:t xml:space="preserve">for riverine FMU and estuary (ie, B-band) </w:t>
      </w:r>
      <w:r w:rsidRPr="00971CD3">
        <w:t>are &lt;</w:t>
      </w:r>
      <w:r>
        <w:t>35</w:t>
      </w:r>
      <w:r w:rsidRPr="00971CD3">
        <w:t xml:space="preserve">0 </w:t>
      </w:r>
      <w:r>
        <w:t>mg/m</w:t>
      </w:r>
      <w:r w:rsidRPr="00410A11">
        <w:rPr>
          <w:vertAlign w:val="superscript"/>
        </w:rPr>
        <w:t>3</w:t>
      </w:r>
      <w:r>
        <w:t xml:space="preserve"> of DIN </w:t>
      </w:r>
      <w:r w:rsidRPr="00971CD3">
        <w:t>and &lt;180 mg/m</w:t>
      </w:r>
      <w:r w:rsidRPr="00971CD3">
        <w:rPr>
          <w:vertAlign w:val="superscript"/>
        </w:rPr>
        <w:t xml:space="preserve">3 </w:t>
      </w:r>
      <w:r w:rsidRPr="00971CD3">
        <w:t xml:space="preserve">of </w:t>
      </w:r>
      <w:r w:rsidRPr="00410A11">
        <w:rPr>
          <w:i/>
        </w:rPr>
        <w:t>potential</w:t>
      </w:r>
      <w:r>
        <w:t xml:space="preserve"> </w:t>
      </w:r>
      <w:r w:rsidRPr="00971CD3">
        <w:t>TN, respectively.</w:t>
      </w:r>
      <w:bookmarkEnd w:id="128"/>
    </w:p>
    <w:tbl>
      <w:tblPr>
        <w:tblW w:w="8505" w:type="dxa"/>
        <w:shd w:val="clear" w:color="auto" w:fill="F5F8F9" w:themeFill="accent3" w:themeFillTint="33"/>
        <w:tblLook w:val="04A0" w:firstRow="1" w:lastRow="0" w:firstColumn="1" w:lastColumn="0" w:noHBand="0" w:noVBand="1"/>
      </w:tblPr>
      <w:tblGrid>
        <w:gridCol w:w="8505"/>
      </w:tblGrid>
      <w:tr w:rsidR="00552375" w:rsidRPr="006B77BB" w14:paraId="5AABC034" w14:textId="77777777" w:rsidTr="00D77933">
        <w:trPr>
          <w:tblHeader/>
        </w:trPr>
        <w:tc>
          <w:tcPr>
            <w:tcW w:w="8505" w:type="dxa"/>
            <w:tcBorders>
              <w:bottom w:val="single" w:sz="4" w:space="0" w:color="D2DDE2" w:themeColor="accent3"/>
            </w:tcBorders>
            <w:shd w:val="clear" w:color="auto" w:fill="1C556C" w:themeFill="accent1"/>
            <w:vAlign w:val="center"/>
          </w:tcPr>
          <w:p w14:paraId="6DC2866C" w14:textId="77777777" w:rsidR="00552375" w:rsidRPr="006B77BB" w:rsidDel="00D5390D" w:rsidRDefault="00552375" w:rsidP="00096303">
            <w:pPr>
              <w:pStyle w:val="Casestudyheading"/>
              <w:keepNext w:val="0"/>
            </w:pPr>
            <w:r w:rsidRPr="00AC77B0">
              <w:t>Estuarine worked example 1: Simple example</w:t>
            </w:r>
          </w:p>
        </w:tc>
      </w:tr>
      <w:tr w:rsidR="00552375" w:rsidRPr="006B77BB" w14:paraId="642E91BA" w14:textId="77777777" w:rsidTr="008604BA">
        <w:tc>
          <w:tcPr>
            <w:tcW w:w="8505" w:type="dxa"/>
            <w:tcBorders>
              <w:top w:val="single" w:sz="4" w:space="0" w:color="D2DDE2" w:themeColor="accent3"/>
              <w:left w:val="single" w:sz="4" w:space="0" w:color="D2DDE2" w:themeColor="accent3"/>
              <w:bottom w:val="single" w:sz="4" w:space="0" w:color="D2DDE2" w:themeColor="accent3"/>
              <w:right w:val="single" w:sz="4" w:space="0" w:color="D2DDE2" w:themeColor="accent3"/>
            </w:tcBorders>
            <w:shd w:val="clear" w:color="auto" w:fill="D2DDE2" w:themeFill="accent3"/>
          </w:tcPr>
          <w:p w14:paraId="09F979DD" w14:textId="05733F30" w:rsidR="00552375" w:rsidRPr="00AE1183" w:rsidRDefault="00552375" w:rsidP="00E0544F">
            <w:pPr>
              <w:pStyle w:val="Blueboxtext"/>
              <w:spacing w:after="0"/>
            </w:pPr>
            <w:r w:rsidRPr="00AE1183">
              <w:fldChar w:fldCharType="begin"/>
            </w:r>
            <w:r w:rsidRPr="00AE1183">
              <w:rPr>
                <w:b/>
                <w:lang w:val="en-AU"/>
              </w:rPr>
              <w:instrText xml:space="preserve"> REF _Ref518244212 \h </w:instrText>
            </w:r>
            <w:r w:rsidRPr="00AE1183">
              <w:instrText xml:space="preserve"> \* MERGEFORMAT </w:instrText>
            </w:r>
            <w:r w:rsidRPr="00AE1183">
              <w:fldChar w:fldCharType="separate"/>
            </w:r>
            <w:r w:rsidR="001A7243" w:rsidRPr="00971CD3">
              <w:t xml:space="preserve">Figure </w:t>
            </w:r>
            <w:r w:rsidR="001A7243">
              <w:rPr>
                <w:noProof/>
              </w:rPr>
              <w:t>12</w:t>
            </w:r>
            <w:r w:rsidRPr="00AE1183">
              <w:fldChar w:fldCharType="end"/>
            </w:r>
            <w:r w:rsidRPr="00AE1183">
              <w:t xml:space="preserve"> shows a simple example consisting of a single FMU instream nitrogen criterion</w:t>
            </w:r>
            <w:r w:rsidRPr="00AE1183">
              <w:rPr>
                <w:rStyle w:val="FootnoteReference"/>
              </w:rPr>
              <w:footnoteReference w:id="16"/>
            </w:r>
            <w:r w:rsidRPr="00AE1183">
              <w:t xml:space="preserve"> of 350 mg/m</w:t>
            </w:r>
            <w:r w:rsidRPr="00AE1183">
              <w:rPr>
                <w:vertAlign w:val="superscript"/>
              </w:rPr>
              <w:t>3</w:t>
            </w:r>
            <w:r w:rsidRPr="00AE1183">
              <w:t xml:space="preserve"> of DIN</w:t>
            </w:r>
            <w:r w:rsidRPr="00AE1183">
              <w:rPr>
                <w:rStyle w:val="FootnoteReference"/>
              </w:rPr>
              <w:footnoteReference w:id="17"/>
            </w:r>
            <w:r w:rsidRPr="00AE1183">
              <w:t xml:space="preserve"> discharging to a SIDE-type estuary (refer to </w:t>
            </w:r>
            <w:r w:rsidRPr="00AE1183">
              <w:fldChar w:fldCharType="begin"/>
            </w:r>
            <w:r w:rsidRPr="00AE1183">
              <w:instrText xml:space="preserve"> REF _Ref515319600 \h  \* MERGEFORMAT </w:instrText>
            </w:r>
            <w:r w:rsidRPr="00AE1183">
              <w:fldChar w:fldCharType="separate"/>
            </w:r>
            <w:r w:rsidR="001A7243" w:rsidRPr="002D7D1A">
              <w:t xml:space="preserve">Figure </w:t>
            </w:r>
            <w:r w:rsidR="001A7243">
              <w:rPr>
                <w:noProof/>
              </w:rPr>
              <w:t>6</w:t>
            </w:r>
            <w:r w:rsidRPr="00AE1183">
              <w:fldChar w:fldCharType="end"/>
            </w:r>
            <w:r w:rsidRPr="00AE1183">
              <w:t xml:space="preserve">). </w:t>
            </w:r>
          </w:p>
          <w:p w14:paraId="42C4C723" w14:textId="77777777" w:rsidR="00552375" w:rsidRDefault="00552375" w:rsidP="00010512">
            <w:pPr>
              <w:pStyle w:val="Blueboxtext"/>
            </w:pPr>
            <w:r>
              <w:t>The process to work through is illustrated in figure 11 (although shown for a lake), with the main steps outlined below:</w:t>
            </w:r>
          </w:p>
          <w:p w14:paraId="121857DE" w14:textId="77777777" w:rsidR="00552375" w:rsidRDefault="00552375" w:rsidP="00010512">
            <w:pPr>
              <w:pStyle w:val="Blue-boxbullet"/>
            </w:pPr>
            <w:r>
              <w:t>Convert FMU instream criterion value (usually DIN) into the same nitrogen units as the estuary (usually TN) – this is value [X] in figure 8 and NFMU in Equation 1.</w:t>
            </w:r>
          </w:p>
          <w:p w14:paraId="4AEFA46F" w14:textId="77777777" w:rsidR="00552375" w:rsidRDefault="00552375" w:rsidP="002145C4">
            <w:pPr>
              <w:pStyle w:val="Casestudytext"/>
              <w:spacing w:before="0"/>
              <w:ind w:left="680"/>
            </w:pPr>
            <w:r>
              <w:t>Working: Instream criterion (maximum value) for upstream FMU is 350 mg/m</w:t>
            </w:r>
            <w:r w:rsidRPr="001E430E">
              <w:rPr>
                <w:vertAlign w:val="superscript"/>
              </w:rPr>
              <w:t>3</w:t>
            </w:r>
            <w:r>
              <w:t xml:space="preserve"> of DIN. Assuming a DIN/TN conversion factor of 0.7 (calculated from measured data), the N</w:t>
            </w:r>
            <w:r w:rsidRPr="001E430E">
              <w:rPr>
                <w:vertAlign w:val="subscript"/>
              </w:rPr>
              <w:t>FMU</w:t>
            </w:r>
            <w:r>
              <w:t xml:space="preserve"> term (ie, [X]) is calculated as:</w:t>
            </w:r>
          </w:p>
          <w:p w14:paraId="6684066C" w14:textId="77777777" w:rsidR="00552375" w:rsidRDefault="00552375" w:rsidP="002145C4">
            <w:pPr>
              <w:pStyle w:val="Casestudybold"/>
              <w:spacing w:before="0" w:after="120"/>
              <w:ind w:left="680"/>
            </w:pPr>
            <w:r>
              <w:t>N</w:t>
            </w:r>
            <w:r w:rsidRPr="001E430E">
              <w:rPr>
                <w:vertAlign w:val="subscript"/>
              </w:rPr>
              <w:t>FMU</w:t>
            </w:r>
            <w:r>
              <w:t xml:space="preserve"> (or [X]) = 350/0.7 = 500 mg/m</w:t>
            </w:r>
            <w:r w:rsidRPr="000855B3">
              <w:rPr>
                <w:vertAlign w:val="superscript"/>
              </w:rPr>
              <w:t>3</w:t>
            </w:r>
            <w:r>
              <w:t xml:space="preserve"> TN</w:t>
            </w:r>
          </w:p>
          <w:p w14:paraId="71F73DBD" w14:textId="191D56CC" w:rsidR="00552375" w:rsidRDefault="00552375" w:rsidP="00096303">
            <w:pPr>
              <w:pStyle w:val="Blue-boxbullet"/>
              <w:spacing w:before="120" w:after="0"/>
            </w:pPr>
            <w:r>
              <w:t>Convert the NFMU (or [X]) value into the corresponding estimated estuarine concentration using Equation 1 – this provides the potential TN</w:t>
            </w:r>
            <w:r w:rsidRPr="006558CB">
              <w:rPr>
                <w:vertAlign w:val="subscript"/>
              </w:rPr>
              <w:t xml:space="preserve">estimated </w:t>
            </w:r>
            <w:r>
              <w:t>value (Eq. 1), which</w:t>
            </w:r>
            <w:r w:rsidR="002145C4">
              <w:t> </w:t>
            </w:r>
            <w:r>
              <w:t>is also referred to as the [Y] value in figure 11.</w:t>
            </w:r>
          </w:p>
          <w:p w14:paraId="35087A11" w14:textId="5808852A" w:rsidR="00552375" w:rsidRDefault="00552375" w:rsidP="002145C4">
            <w:pPr>
              <w:pStyle w:val="Casestudytext"/>
              <w:ind w:left="680"/>
            </w:pPr>
            <w:r>
              <w:t>Working: The nitrogen concentration in oceanic water (N</w:t>
            </w:r>
            <w:r w:rsidRPr="001E430E">
              <w:rPr>
                <w:vertAlign w:val="subscript"/>
              </w:rPr>
              <w:t>Ocean</w:t>
            </w:r>
            <w:r>
              <w:t>) is 18 mg/m</w:t>
            </w:r>
            <w:r w:rsidRPr="001E430E">
              <w:rPr>
                <w:vertAlign w:val="superscript"/>
              </w:rPr>
              <w:t>3</w:t>
            </w:r>
            <w:r>
              <w:t xml:space="preserve"> (Plew </w:t>
            </w:r>
            <w:r w:rsidRPr="002145C4">
              <w:rPr>
                <w:iCs/>
              </w:rPr>
              <w:t>et</w:t>
            </w:r>
            <w:r w:rsidR="002145C4">
              <w:rPr>
                <w:iCs/>
              </w:rPr>
              <w:t> </w:t>
            </w:r>
            <w:r w:rsidRPr="002145C4">
              <w:rPr>
                <w:iCs/>
              </w:rPr>
              <w:t>al.,</w:t>
            </w:r>
            <w:r w:rsidR="002145C4">
              <w:t> </w:t>
            </w:r>
            <w:r>
              <w:t>2017).</w:t>
            </w:r>
          </w:p>
          <w:p w14:paraId="213FA223" w14:textId="77777777" w:rsidR="00552375" w:rsidRPr="00AC77B0" w:rsidRDefault="00552375" w:rsidP="002145C4">
            <w:pPr>
              <w:pStyle w:val="Casestudytext"/>
              <w:spacing w:after="0"/>
              <w:ind w:left="680"/>
              <w:rPr>
                <w:i/>
              </w:rPr>
            </w:pPr>
            <w:r w:rsidRPr="00AC77B0">
              <w:rPr>
                <w:i/>
              </w:rPr>
              <w:t>Scenario 1: dilution factor (D) = 2</w:t>
            </w:r>
          </w:p>
          <w:p w14:paraId="213BE8E4" w14:textId="77777777" w:rsidR="00552375" w:rsidRDefault="00552375" w:rsidP="002145C4">
            <w:pPr>
              <w:pStyle w:val="Casestudybold"/>
              <w:spacing w:before="60" w:after="60"/>
              <w:ind w:left="680"/>
            </w:pPr>
            <w:r>
              <w:t>Potential TN</w:t>
            </w:r>
            <w:r w:rsidRPr="001E430E">
              <w:rPr>
                <w:vertAlign w:val="subscript"/>
              </w:rPr>
              <w:t>est</w:t>
            </w:r>
            <w:r>
              <w:t xml:space="preserve"> (or [Y]) = (500 + 18*(2-1))/2 = 259 mg/m</w:t>
            </w:r>
            <w:r w:rsidRPr="001E430E">
              <w:rPr>
                <w:vertAlign w:val="superscript"/>
              </w:rPr>
              <w:t>3</w:t>
            </w:r>
            <w:r>
              <w:t xml:space="preserve"> TN</w:t>
            </w:r>
          </w:p>
          <w:p w14:paraId="126233F2" w14:textId="77777777" w:rsidR="00552375" w:rsidRPr="00AC77B0" w:rsidRDefault="00552375" w:rsidP="002145C4">
            <w:pPr>
              <w:pStyle w:val="Casestudytext"/>
              <w:spacing w:after="0"/>
              <w:ind w:left="680"/>
              <w:rPr>
                <w:i/>
              </w:rPr>
            </w:pPr>
            <w:r w:rsidRPr="00AC77B0">
              <w:rPr>
                <w:i/>
              </w:rPr>
              <w:t>Scenario 2: dilution factor (D) = 6</w:t>
            </w:r>
          </w:p>
          <w:p w14:paraId="5C6F7878" w14:textId="77777777" w:rsidR="00552375" w:rsidRPr="00AC77B0" w:rsidRDefault="00552375" w:rsidP="002145C4">
            <w:pPr>
              <w:pStyle w:val="Casestudytext"/>
              <w:spacing w:before="60"/>
              <w:ind w:left="680"/>
              <w:rPr>
                <w:b/>
              </w:rPr>
            </w:pPr>
            <w:r w:rsidRPr="00AC77B0">
              <w:rPr>
                <w:b/>
              </w:rPr>
              <w:t>Potential TN</w:t>
            </w:r>
            <w:r w:rsidRPr="001E430E">
              <w:rPr>
                <w:b/>
                <w:vertAlign w:val="subscript"/>
              </w:rPr>
              <w:t>est</w:t>
            </w:r>
            <w:r w:rsidRPr="00AC77B0">
              <w:rPr>
                <w:b/>
              </w:rPr>
              <w:t xml:space="preserve"> (or [Y]) = (500 + 18*(6-1))/6 = 98 mg/m</w:t>
            </w:r>
            <w:r w:rsidRPr="001E430E">
              <w:rPr>
                <w:b/>
                <w:vertAlign w:val="superscript"/>
              </w:rPr>
              <w:t>3</w:t>
            </w:r>
            <w:r w:rsidRPr="00AC77B0">
              <w:rPr>
                <w:b/>
              </w:rPr>
              <w:t xml:space="preserve"> TN</w:t>
            </w:r>
          </w:p>
          <w:p w14:paraId="3B6D7E38" w14:textId="77777777" w:rsidR="00552375" w:rsidRDefault="00552375" w:rsidP="002145C4">
            <w:pPr>
              <w:pStyle w:val="Blue-boxbullet"/>
              <w:spacing w:before="60"/>
            </w:pPr>
            <w:r>
              <w:t>Compare the Potential TN</w:t>
            </w:r>
            <w:r w:rsidRPr="001E430E">
              <w:rPr>
                <w:vertAlign w:val="subscript"/>
              </w:rPr>
              <w:t>estimated</w:t>
            </w:r>
            <w:r>
              <w:t xml:space="preserve"> term (referred to as [Y] in figure 11) with the estuarine criteria set for the trophic state objective sought (ie, subcaluse 3(b) of Clause 3.13).</w:t>
            </w:r>
          </w:p>
          <w:p w14:paraId="728FF006" w14:textId="77777777" w:rsidR="00552375" w:rsidRDefault="00552375" w:rsidP="00E0544F">
            <w:pPr>
              <w:pStyle w:val="Blueboxtext"/>
              <w:spacing w:before="0"/>
              <w:ind w:left="680"/>
            </w:pPr>
            <w:r>
              <w:t>Working: In the example (figure 12), the estuary is a SIDE system which is a macroalgal-dominated system. The trophic state objective for the estuary is a B-band which corresponds to an indicative potential TN concentration band of 55 to 180 mg/m</w:t>
            </w:r>
            <w:r w:rsidRPr="007E640A">
              <w:rPr>
                <w:vertAlign w:val="superscript"/>
              </w:rPr>
              <w:t>3</w:t>
            </w:r>
            <w:r>
              <w:t>. The maximum value of the estuarine criterion value (ie, [Z] term in figure 11 is 180 mg/m</w:t>
            </w:r>
            <w:r w:rsidRPr="001E430E">
              <w:rPr>
                <w:vertAlign w:val="superscript"/>
              </w:rPr>
              <w:t>3</w:t>
            </w:r>
            <w:r>
              <w:t>, which is compared with the potential TN</w:t>
            </w:r>
            <w:r w:rsidRPr="001E430E">
              <w:rPr>
                <w:vertAlign w:val="subscript"/>
              </w:rPr>
              <w:t xml:space="preserve">estimated </w:t>
            </w:r>
            <w:r>
              <w:t xml:space="preserve">value (or [Y]) to determine which of the two following outcomes apply: </w:t>
            </w:r>
          </w:p>
          <w:p w14:paraId="16F8138A" w14:textId="0D5770B7" w:rsidR="00552375" w:rsidRDefault="00552375" w:rsidP="00E0544F">
            <w:pPr>
              <w:pStyle w:val="Blueboxtext"/>
              <w:spacing w:before="0"/>
              <w:ind w:left="1077" w:hanging="397"/>
            </w:pPr>
            <w:r>
              <w:t>1.</w:t>
            </w:r>
            <w:r w:rsidR="00DD47E9">
              <w:t xml:space="preserve"> </w:t>
            </w:r>
            <w:r w:rsidR="00E0544F">
              <w:tab/>
            </w:r>
            <w:r>
              <w:t>If Potential TN</w:t>
            </w:r>
            <w:r w:rsidRPr="001E430E">
              <w:rPr>
                <w:vertAlign w:val="subscript"/>
              </w:rPr>
              <w:t>est</w:t>
            </w:r>
            <w:r>
              <w:t xml:space="preserve"> (ie, [Y]) &lt; 180 mg/m</w:t>
            </w:r>
            <w:r w:rsidRPr="001E430E">
              <w:rPr>
                <w:vertAlign w:val="superscript"/>
              </w:rPr>
              <w:t>3</w:t>
            </w:r>
            <w:r>
              <w:t xml:space="preserve"> (ie, [Z]) then the FMU instream criterion of 350</w:t>
            </w:r>
            <w:r w:rsidR="00E0544F">
              <w:t> </w:t>
            </w:r>
            <w:r>
              <w:t>mg/m</w:t>
            </w:r>
            <w:r w:rsidRPr="001E430E">
              <w:rPr>
                <w:vertAlign w:val="superscript"/>
              </w:rPr>
              <w:t>3</w:t>
            </w:r>
            <w:r>
              <w:t xml:space="preserve"> DIN is likely to be protective of estuarine outcomes sought; or</w:t>
            </w:r>
          </w:p>
          <w:p w14:paraId="46124443" w14:textId="03096EF3" w:rsidR="00552375" w:rsidRDefault="00552375" w:rsidP="00E0544F">
            <w:pPr>
              <w:pStyle w:val="Blueboxtext"/>
              <w:spacing w:before="0"/>
              <w:ind w:left="1077" w:hanging="397"/>
            </w:pPr>
            <w:r>
              <w:t>2.</w:t>
            </w:r>
            <w:r w:rsidR="00DD47E9">
              <w:t xml:space="preserve"> </w:t>
            </w:r>
            <w:r w:rsidR="00E0544F">
              <w:tab/>
            </w:r>
            <w:r>
              <w:t>If Potential TN</w:t>
            </w:r>
            <w:r w:rsidRPr="001E430E">
              <w:rPr>
                <w:vertAlign w:val="subscript"/>
              </w:rPr>
              <w:t>est</w:t>
            </w:r>
            <w:r>
              <w:t xml:space="preserve"> (ie, [Y]) ≥ 180 mg/m</w:t>
            </w:r>
            <w:r w:rsidRPr="001E430E">
              <w:rPr>
                <w:vertAlign w:val="superscript"/>
              </w:rPr>
              <w:t>3</w:t>
            </w:r>
            <w:r>
              <w:t xml:space="preserve"> (ie, [Z]) then the FMU instream criterion of 350</w:t>
            </w:r>
            <w:r w:rsidR="00E0544F">
              <w:t> </w:t>
            </w:r>
            <w:r>
              <w:t>mg/m</w:t>
            </w:r>
            <w:r w:rsidRPr="001E430E">
              <w:rPr>
                <w:vertAlign w:val="superscript"/>
              </w:rPr>
              <w:t>3</w:t>
            </w:r>
            <w:r>
              <w:t xml:space="preserve"> DIN is not likely to be protective of the trophic-state objective.</w:t>
            </w:r>
          </w:p>
          <w:p w14:paraId="45D1A1D8" w14:textId="30E6E50C" w:rsidR="00552375" w:rsidRDefault="00552375" w:rsidP="00437052">
            <w:pPr>
              <w:pStyle w:val="Blueboxtext"/>
              <w:spacing w:before="0"/>
              <w:ind w:left="680"/>
            </w:pPr>
            <w:r>
              <w:t>The screening level assessment indicated that the FMU instream criterion value of 350</w:t>
            </w:r>
            <w:r w:rsidR="00E0544F">
              <w:t> </w:t>
            </w:r>
            <w:r>
              <w:t>mg/m</w:t>
            </w:r>
            <w:r w:rsidRPr="001E430E">
              <w:rPr>
                <w:vertAlign w:val="superscript"/>
              </w:rPr>
              <w:t>3</w:t>
            </w:r>
            <w:r>
              <w:t xml:space="preserve"> of DIN is protective for an estuarine mixing factor of 6, but not at the lower mixing factor of 2 (table 10).</w:t>
            </w:r>
          </w:p>
          <w:p w14:paraId="163ABDB4" w14:textId="42B08BAC" w:rsidR="00552375" w:rsidRDefault="00552375" w:rsidP="00552375">
            <w:pPr>
              <w:pStyle w:val="Tableheading"/>
              <w:ind w:left="1418"/>
            </w:pPr>
            <w:bookmarkStart w:id="129" w:name="_Ref518035854"/>
            <w:bookmarkStart w:id="130" w:name="_Toc73713306"/>
            <w:bookmarkStart w:id="131" w:name="_Toc519683027"/>
            <w:bookmarkStart w:id="132" w:name="_Toc520810482"/>
            <w:bookmarkStart w:id="133" w:name="_Toc520810686"/>
            <w:bookmarkStart w:id="134" w:name="_Toc520898759"/>
            <w:r w:rsidRPr="00BB51EB">
              <w:t xml:space="preserve">Table </w:t>
            </w:r>
            <w:fldSimple w:instr=" SEQ Table \* ARABIC ">
              <w:r w:rsidR="001A7243">
                <w:rPr>
                  <w:noProof/>
                </w:rPr>
                <w:t>10</w:t>
              </w:r>
            </w:fldSimple>
            <w:bookmarkEnd w:id="129"/>
            <w:r w:rsidRPr="00BB51EB">
              <w:t xml:space="preserve">: </w:t>
            </w:r>
            <w:r>
              <w:tab/>
            </w:r>
            <w:r w:rsidRPr="00BB51EB">
              <w:t xml:space="preserve">Results of FMU to estuary scenario shown in </w:t>
            </w:r>
            <w:r>
              <w:fldChar w:fldCharType="begin"/>
            </w:r>
            <w:r>
              <w:instrText xml:space="preserve"> REF _Ref518244212 \h  \* MERGEFORMAT </w:instrText>
            </w:r>
            <w:r>
              <w:fldChar w:fldCharType="separate"/>
            </w:r>
            <w:bookmarkEnd w:id="130"/>
            <w:r w:rsidR="001A7243" w:rsidRPr="00971CD3">
              <w:t xml:space="preserve">Figure </w:t>
            </w:r>
            <w:r w:rsidR="001A7243">
              <w:rPr>
                <w:noProof/>
              </w:rPr>
              <w:t>12</w:t>
            </w:r>
            <w:r>
              <w:fldChar w:fldCharType="end"/>
            </w:r>
            <w:bookmarkEnd w:id="131"/>
            <w:bookmarkEnd w:id="132"/>
            <w:bookmarkEnd w:id="133"/>
            <w:bookmarkEnd w:id="134"/>
          </w:p>
          <w:tbl>
            <w:tblPr>
              <w:tblStyle w:val="TableGrid"/>
              <w:tblW w:w="7655" w:type="dxa"/>
              <w:tblInd w:w="284"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right w:w="57" w:type="dxa"/>
              </w:tblCellMar>
              <w:tblLook w:val="04A0" w:firstRow="1" w:lastRow="0" w:firstColumn="1" w:lastColumn="0" w:noHBand="0" w:noVBand="1"/>
            </w:tblPr>
            <w:tblGrid>
              <w:gridCol w:w="1047"/>
              <w:gridCol w:w="424"/>
              <w:gridCol w:w="735"/>
              <w:gridCol w:w="1112"/>
              <w:gridCol w:w="1134"/>
              <w:gridCol w:w="1275"/>
              <w:gridCol w:w="709"/>
              <w:gridCol w:w="1219"/>
            </w:tblGrid>
            <w:tr w:rsidR="008604BA" w:rsidRPr="00E0544F" w14:paraId="713E3991" w14:textId="77777777" w:rsidTr="008604BA">
              <w:tc>
                <w:tcPr>
                  <w:tcW w:w="1047" w:type="dxa"/>
                  <w:shd w:val="clear" w:color="auto" w:fill="1C556C" w:themeFill="accent1"/>
                  <w:vAlign w:val="bottom"/>
                </w:tcPr>
                <w:p w14:paraId="668C5AE2" w14:textId="77777777" w:rsidR="00552375" w:rsidRPr="00E0544F" w:rsidRDefault="00552375" w:rsidP="00E0544F">
                  <w:pPr>
                    <w:pStyle w:val="TableTextbold"/>
                    <w:rPr>
                      <w:color w:val="FFFFFF" w:themeColor="background1"/>
                    </w:rPr>
                  </w:pPr>
                  <w:r w:rsidRPr="00E0544F">
                    <w:rPr>
                      <w:color w:val="FFFFFF" w:themeColor="background1"/>
                    </w:rPr>
                    <w:t>Scenario</w:t>
                  </w:r>
                </w:p>
              </w:tc>
              <w:tc>
                <w:tcPr>
                  <w:tcW w:w="424" w:type="dxa"/>
                  <w:shd w:val="clear" w:color="auto" w:fill="1C556C" w:themeFill="accent1"/>
                  <w:vAlign w:val="bottom"/>
                </w:tcPr>
                <w:p w14:paraId="31878EA8" w14:textId="77777777" w:rsidR="00552375" w:rsidRPr="00E0544F" w:rsidRDefault="00552375" w:rsidP="00E0544F">
                  <w:pPr>
                    <w:pStyle w:val="TableTextbold"/>
                    <w:rPr>
                      <w:color w:val="FFFFFF" w:themeColor="background1"/>
                    </w:rPr>
                  </w:pPr>
                  <w:r w:rsidRPr="00E0544F">
                    <w:rPr>
                      <w:i/>
                      <w:color w:val="FFFFFF" w:themeColor="background1"/>
                    </w:rPr>
                    <w:t>D</w:t>
                  </w:r>
                </w:p>
              </w:tc>
              <w:tc>
                <w:tcPr>
                  <w:tcW w:w="735" w:type="dxa"/>
                  <w:shd w:val="clear" w:color="auto" w:fill="1C556C" w:themeFill="accent1"/>
                  <w:vAlign w:val="bottom"/>
                </w:tcPr>
                <w:p w14:paraId="387894DB" w14:textId="77777777" w:rsidR="00552375" w:rsidRPr="00E0544F" w:rsidRDefault="00552375" w:rsidP="00E0544F">
                  <w:pPr>
                    <w:pStyle w:val="TableTextbold"/>
                    <w:rPr>
                      <w:color w:val="FFFFFF" w:themeColor="background1"/>
                    </w:rPr>
                  </w:pPr>
                  <w:r w:rsidRPr="00E0544F">
                    <w:rPr>
                      <w:color w:val="FFFFFF" w:themeColor="background1"/>
                    </w:rPr>
                    <w:t>DIN</w:t>
                  </w:r>
                  <w:r w:rsidRPr="00E0544F">
                    <w:rPr>
                      <w:color w:val="FFFFFF" w:themeColor="background1"/>
                      <w:vertAlign w:val="subscript"/>
                    </w:rPr>
                    <w:t>FMU</w:t>
                  </w:r>
                </w:p>
              </w:tc>
              <w:tc>
                <w:tcPr>
                  <w:tcW w:w="1112" w:type="dxa"/>
                  <w:shd w:val="clear" w:color="auto" w:fill="1C556C" w:themeFill="accent1"/>
                  <w:vAlign w:val="bottom"/>
                </w:tcPr>
                <w:p w14:paraId="04F35686" w14:textId="77777777" w:rsidR="00552375" w:rsidRPr="00E0544F" w:rsidRDefault="00552375" w:rsidP="00E0544F">
                  <w:pPr>
                    <w:pStyle w:val="TableTextbold"/>
                    <w:rPr>
                      <w:color w:val="FFFFFF" w:themeColor="background1"/>
                    </w:rPr>
                  </w:pPr>
                  <w:r w:rsidRPr="00E0544F">
                    <w:rPr>
                      <w:color w:val="FFFFFF" w:themeColor="background1"/>
                    </w:rPr>
                    <w:t>TN</w:t>
                  </w:r>
                  <w:r w:rsidRPr="00E0544F">
                    <w:rPr>
                      <w:color w:val="FFFFFF" w:themeColor="background1"/>
                      <w:vertAlign w:val="subscript"/>
                    </w:rPr>
                    <w:t>FMU</w:t>
                  </w:r>
                  <w:r w:rsidRPr="00E0544F">
                    <w:rPr>
                      <w:color w:val="FFFFFF" w:themeColor="background1"/>
                    </w:rPr>
                    <w:t xml:space="preserve"> or [X]</w:t>
                  </w:r>
                </w:p>
              </w:tc>
              <w:tc>
                <w:tcPr>
                  <w:tcW w:w="1134" w:type="dxa"/>
                  <w:shd w:val="clear" w:color="auto" w:fill="1C556C" w:themeFill="accent1"/>
                  <w:vAlign w:val="bottom"/>
                </w:tcPr>
                <w:p w14:paraId="064B18AB" w14:textId="77777777" w:rsidR="00552375" w:rsidRPr="00E0544F" w:rsidRDefault="00552375" w:rsidP="00E0544F">
                  <w:pPr>
                    <w:pStyle w:val="TableTextbold"/>
                    <w:rPr>
                      <w:color w:val="FFFFFF" w:themeColor="background1"/>
                    </w:rPr>
                  </w:pPr>
                  <w:r w:rsidRPr="00E0544F">
                    <w:rPr>
                      <w:i/>
                      <w:color w:val="FFFFFF" w:themeColor="background1"/>
                    </w:rPr>
                    <w:t>TN</w:t>
                  </w:r>
                  <w:r w:rsidRPr="00E0544F">
                    <w:rPr>
                      <w:color w:val="FFFFFF" w:themeColor="background1"/>
                      <w:vertAlign w:val="subscript"/>
                    </w:rPr>
                    <w:t>estimated</w:t>
                  </w:r>
                  <w:r w:rsidRPr="00E0544F">
                    <w:rPr>
                      <w:color w:val="FFFFFF" w:themeColor="background1"/>
                    </w:rPr>
                    <w:t xml:space="preserve"> [Y]</w:t>
                  </w:r>
                </w:p>
              </w:tc>
              <w:tc>
                <w:tcPr>
                  <w:tcW w:w="1275" w:type="dxa"/>
                  <w:shd w:val="clear" w:color="auto" w:fill="1C556C" w:themeFill="accent1"/>
                  <w:vAlign w:val="bottom"/>
                </w:tcPr>
                <w:p w14:paraId="09FDFE43" w14:textId="77777777" w:rsidR="00552375" w:rsidRPr="00E0544F" w:rsidRDefault="00552375" w:rsidP="00E0544F">
                  <w:pPr>
                    <w:pStyle w:val="TableTextbold"/>
                    <w:rPr>
                      <w:color w:val="FFFFFF" w:themeColor="background1"/>
                    </w:rPr>
                  </w:pPr>
                  <w:r w:rsidRPr="00E0544F">
                    <w:rPr>
                      <w:color w:val="FFFFFF" w:themeColor="background1"/>
                    </w:rPr>
                    <w:t>Estuary criteria [Z]</w:t>
                  </w:r>
                </w:p>
              </w:tc>
              <w:tc>
                <w:tcPr>
                  <w:tcW w:w="709" w:type="dxa"/>
                  <w:shd w:val="clear" w:color="auto" w:fill="1C556C" w:themeFill="accent1"/>
                  <w:vAlign w:val="bottom"/>
                </w:tcPr>
                <w:p w14:paraId="70101545" w14:textId="77777777" w:rsidR="00552375" w:rsidRPr="00E0544F" w:rsidRDefault="00552375" w:rsidP="00E0544F">
                  <w:pPr>
                    <w:pStyle w:val="TableTextbold"/>
                    <w:rPr>
                      <w:color w:val="FFFFFF" w:themeColor="background1"/>
                    </w:rPr>
                  </w:pPr>
                  <w:r w:rsidRPr="00E0544F">
                    <w:rPr>
                      <w:color w:val="FFFFFF" w:themeColor="background1"/>
                    </w:rPr>
                    <w:t>[Y]≥[Z]</w:t>
                  </w:r>
                </w:p>
              </w:tc>
              <w:tc>
                <w:tcPr>
                  <w:tcW w:w="1219" w:type="dxa"/>
                  <w:shd w:val="clear" w:color="auto" w:fill="1C556C" w:themeFill="accent1"/>
                  <w:vAlign w:val="bottom"/>
                </w:tcPr>
                <w:p w14:paraId="340CFC77" w14:textId="77777777" w:rsidR="00552375" w:rsidRPr="00E0544F" w:rsidRDefault="00552375" w:rsidP="00E0544F">
                  <w:pPr>
                    <w:pStyle w:val="TableTextbold"/>
                    <w:rPr>
                      <w:color w:val="FFFFFF" w:themeColor="background1"/>
                    </w:rPr>
                  </w:pPr>
                  <w:r w:rsidRPr="00E0544F">
                    <w:rPr>
                      <w:color w:val="FFFFFF" w:themeColor="background1"/>
                    </w:rPr>
                    <w:t>Accept FMU criterion</w:t>
                  </w:r>
                  <w:r w:rsidRPr="00E0544F">
                    <w:rPr>
                      <w:color w:val="FFFFFF" w:themeColor="background1"/>
                      <w:vertAlign w:val="superscript"/>
                    </w:rPr>
                    <w:t>a</w:t>
                  </w:r>
                </w:p>
              </w:tc>
            </w:tr>
            <w:tr w:rsidR="008604BA" w14:paraId="028383CF" w14:textId="77777777" w:rsidTr="008604BA">
              <w:tc>
                <w:tcPr>
                  <w:tcW w:w="1047" w:type="dxa"/>
                </w:tcPr>
                <w:p w14:paraId="7B3375CB" w14:textId="77777777" w:rsidR="00552375" w:rsidRPr="005E77A5" w:rsidRDefault="00552375" w:rsidP="00E0544F">
                  <w:pPr>
                    <w:pStyle w:val="TableText"/>
                  </w:pPr>
                  <w:r w:rsidRPr="005E77A5">
                    <w:t>Scenario 1</w:t>
                  </w:r>
                </w:p>
              </w:tc>
              <w:tc>
                <w:tcPr>
                  <w:tcW w:w="424" w:type="dxa"/>
                </w:tcPr>
                <w:p w14:paraId="003AF259" w14:textId="77777777" w:rsidR="00552375" w:rsidRPr="005E77A5" w:rsidRDefault="00552375" w:rsidP="00E0544F">
                  <w:pPr>
                    <w:pStyle w:val="TableText"/>
                  </w:pPr>
                  <w:r w:rsidRPr="005E77A5">
                    <w:rPr>
                      <w:szCs w:val="18"/>
                    </w:rPr>
                    <w:t>2</w:t>
                  </w:r>
                </w:p>
              </w:tc>
              <w:tc>
                <w:tcPr>
                  <w:tcW w:w="735" w:type="dxa"/>
                </w:tcPr>
                <w:p w14:paraId="706FEEB6" w14:textId="77777777" w:rsidR="00552375" w:rsidRPr="005E77A5" w:rsidRDefault="00552375" w:rsidP="00E0544F">
                  <w:pPr>
                    <w:pStyle w:val="TableText"/>
                  </w:pPr>
                  <w:r w:rsidRPr="005E77A5">
                    <w:rPr>
                      <w:szCs w:val="18"/>
                    </w:rPr>
                    <w:t>350</w:t>
                  </w:r>
                </w:p>
              </w:tc>
              <w:tc>
                <w:tcPr>
                  <w:tcW w:w="1112" w:type="dxa"/>
                </w:tcPr>
                <w:p w14:paraId="1125A6AB" w14:textId="77777777" w:rsidR="00552375" w:rsidRPr="005E77A5" w:rsidRDefault="00552375" w:rsidP="00E0544F">
                  <w:pPr>
                    <w:pStyle w:val="TableText"/>
                  </w:pPr>
                  <w:r w:rsidRPr="005E77A5">
                    <w:rPr>
                      <w:szCs w:val="18"/>
                    </w:rPr>
                    <w:t>500</w:t>
                  </w:r>
                </w:p>
              </w:tc>
              <w:tc>
                <w:tcPr>
                  <w:tcW w:w="1134" w:type="dxa"/>
                </w:tcPr>
                <w:p w14:paraId="6C77BB38" w14:textId="77777777" w:rsidR="00552375" w:rsidRPr="005E77A5" w:rsidRDefault="00552375" w:rsidP="00E0544F">
                  <w:pPr>
                    <w:pStyle w:val="TableText"/>
                  </w:pPr>
                  <w:r w:rsidRPr="005E77A5">
                    <w:rPr>
                      <w:szCs w:val="18"/>
                    </w:rPr>
                    <w:t>259</w:t>
                  </w:r>
                </w:p>
              </w:tc>
              <w:tc>
                <w:tcPr>
                  <w:tcW w:w="1275" w:type="dxa"/>
                </w:tcPr>
                <w:p w14:paraId="48565006" w14:textId="77777777" w:rsidR="00552375" w:rsidRPr="005E77A5" w:rsidRDefault="00552375" w:rsidP="00E0544F">
                  <w:pPr>
                    <w:pStyle w:val="TableText"/>
                  </w:pPr>
                  <w:r w:rsidRPr="005E77A5">
                    <w:rPr>
                      <w:szCs w:val="18"/>
                    </w:rPr>
                    <w:t>&lt;180</w:t>
                  </w:r>
                </w:p>
              </w:tc>
              <w:tc>
                <w:tcPr>
                  <w:tcW w:w="709" w:type="dxa"/>
                </w:tcPr>
                <w:p w14:paraId="3248D99C" w14:textId="77777777" w:rsidR="00552375" w:rsidRPr="005E77A5" w:rsidRDefault="00552375" w:rsidP="00E0544F">
                  <w:pPr>
                    <w:pStyle w:val="TableText"/>
                  </w:pPr>
                  <w:r w:rsidRPr="005E77A5">
                    <w:rPr>
                      <w:szCs w:val="18"/>
                    </w:rPr>
                    <w:t>yes</w:t>
                  </w:r>
                </w:p>
              </w:tc>
              <w:tc>
                <w:tcPr>
                  <w:tcW w:w="1219" w:type="dxa"/>
                </w:tcPr>
                <w:p w14:paraId="2FD110F0" w14:textId="77777777" w:rsidR="00552375" w:rsidRPr="005E77A5" w:rsidRDefault="00552375" w:rsidP="00E0544F">
                  <w:pPr>
                    <w:pStyle w:val="TableText"/>
                  </w:pPr>
                  <w:r w:rsidRPr="005E77A5">
                    <w:rPr>
                      <w:b/>
                      <w:szCs w:val="18"/>
                    </w:rPr>
                    <w:t>no</w:t>
                  </w:r>
                </w:p>
              </w:tc>
            </w:tr>
            <w:tr w:rsidR="008604BA" w14:paraId="5A99EDC6" w14:textId="77777777" w:rsidTr="008604BA">
              <w:tc>
                <w:tcPr>
                  <w:tcW w:w="1047" w:type="dxa"/>
                </w:tcPr>
                <w:p w14:paraId="0A644DA8" w14:textId="77777777" w:rsidR="00552375" w:rsidRPr="005E77A5" w:rsidRDefault="00552375" w:rsidP="00E0544F">
                  <w:pPr>
                    <w:pStyle w:val="TableText"/>
                  </w:pPr>
                  <w:r w:rsidRPr="005E77A5">
                    <w:t>Scenario 2</w:t>
                  </w:r>
                </w:p>
              </w:tc>
              <w:tc>
                <w:tcPr>
                  <w:tcW w:w="424" w:type="dxa"/>
                </w:tcPr>
                <w:p w14:paraId="4503D503" w14:textId="77777777" w:rsidR="00552375" w:rsidRPr="005E77A5" w:rsidRDefault="00552375" w:rsidP="00E0544F">
                  <w:pPr>
                    <w:pStyle w:val="TableText"/>
                  </w:pPr>
                  <w:r w:rsidRPr="005E77A5">
                    <w:rPr>
                      <w:szCs w:val="18"/>
                    </w:rPr>
                    <w:t>6</w:t>
                  </w:r>
                </w:p>
              </w:tc>
              <w:tc>
                <w:tcPr>
                  <w:tcW w:w="735" w:type="dxa"/>
                </w:tcPr>
                <w:p w14:paraId="3F0FC0A7" w14:textId="77777777" w:rsidR="00552375" w:rsidRPr="005E77A5" w:rsidRDefault="00552375" w:rsidP="00E0544F">
                  <w:pPr>
                    <w:pStyle w:val="TableText"/>
                  </w:pPr>
                  <w:r w:rsidRPr="005E77A5">
                    <w:rPr>
                      <w:szCs w:val="18"/>
                    </w:rPr>
                    <w:t>350</w:t>
                  </w:r>
                </w:p>
              </w:tc>
              <w:tc>
                <w:tcPr>
                  <w:tcW w:w="1112" w:type="dxa"/>
                </w:tcPr>
                <w:p w14:paraId="5A5E98CA" w14:textId="77777777" w:rsidR="00552375" w:rsidRPr="005E77A5" w:rsidRDefault="00552375" w:rsidP="00E0544F">
                  <w:pPr>
                    <w:pStyle w:val="TableText"/>
                  </w:pPr>
                  <w:r w:rsidRPr="005E77A5">
                    <w:rPr>
                      <w:szCs w:val="18"/>
                    </w:rPr>
                    <w:t>500</w:t>
                  </w:r>
                </w:p>
              </w:tc>
              <w:tc>
                <w:tcPr>
                  <w:tcW w:w="1134" w:type="dxa"/>
                </w:tcPr>
                <w:p w14:paraId="7A185A37" w14:textId="77777777" w:rsidR="00552375" w:rsidRPr="005E77A5" w:rsidRDefault="00552375" w:rsidP="00E0544F">
                  <w:pPr>
                    <w:pStyle w:val="TableText"/>
                  </w:pPr>
                  <w:r w:rsidRPr="005E77A5">
                    <w:rPr>
                      <w:szCs w:val="18"/>
                    </w:rPr>
                    <w:t>98</w:t>
                  </w:r>
                </w:p>
              </w:tc>
              <w:tc>
                <w:tcPr>
                  <w:tcW w:w="1275" w:type="dxa"/>
                </w:tcPr>
                <w:p w14:paraId="1349F235" w14:textId="77777777" w:rsidR="00552375" w:rsidRPr="005E77A5" w:rsidRDefault="00552375" w:rsidP="00E0544F">
                  <w:pPr>
                    <w:pStyle w:val="TableText"/>
                  </w:pPr>
                  <w:r w:rsidRPr="005E77A5">
                    <w:rPr>
                      <w:szCs w:val="18"/>
                    </w:rPr>
                    <w:t>&lt;180</w:t>
                  </w:r>
                </w:p>
              </w:tc>
              <w:tc>
                <w:tcPr>
                  <w:tcW w:w="709" w:type="dxa"/>
                </w:tcPr>
                <w:p w14:paraId="16DDA968" w14:textId="77777777" w:rsidR="00552375" w:rsidRPr="005E77A5" w:rsidRDefault="00552375" w:rsidP="00E0544F">
                  <w:pPr>
                    <w:pStyle w:val="TableText"/>
                  </w:pPr>
                  <w:r w:rsidRPr="005E77A5">
                    <w:rPr>
                      <w:szCs w:val="18"/>
                    </w:rPr>
                    <w:t>no</w:t>
                  </w:r>
                </w:p>
              </w:tc>
              <w:tc>
                <w:tcPr>
                  <w:tcW w:w="1219" w:type="dxa"/>
                </w:tcPr>
                <w:p w14:paraId="50B8BF91" w14:textId="77777777" w:rsidR="00552375" w:rsidRPr="005E77A5" w:rsidRDefault="00552375" w:rsidP="00E0544F">
                  <w:pPr>
                    <w:pStyle w:val="TableText"/>
                  </w:pPr>
                  <w:r w:rsidRPr="005E77A5">
                    <w:rPr>
                      <w:b/>
                      <w:szCs w:val="18"/>
                    </w:rPr>
                    <w:t>yes</w:t>
                  </w:r>
                </w:p>
              </w:tc>
            </w:tr>
          </w:tbl>
          <w:p w14:paraId="5E43A570" w14:textId="0E877619" w:rsidR="00552375" w:rsidRPr="00C15722" w:rsidRDefault="00552375" w:rsidP="008604BA">
            <w:pPr>
              <w:pStyle w:val="Blueboxtext"/>
              <w:spacing w:after="240" w:line="240" w:lineRule="atLeast"/>
            </w:pPr>
            <w:r w:rsidRPr="00E0544F">
              <w:rPr>
                <w:sz w:val="16"/>
                <w:szCs w:val="18"/>
                <w:vertAlign w:val="superscript"/>
              </w:rPr>
              <w:t>a</w:t>
            </w:r>
            <w:r w:rsidRPr="00E0544F">
              <w:rPr>
                <w:sz w:val="16"/>
                <w:szCs w:val="18"/>
              </w:rPr>
              <w:t xml:space="preserve"> based on results of the screening-level assessment, and assuming that the estuarine trophic-state objectives cannot be relaxed</w:t>
            </w:r>
            <w:r w:rsidR="008604BA">
              <w:rPr>
                <w:sz w:val="16"/>
                <w:szCs w:val="18"/>
              </w:rPr>
              <w:t>.</w:t>
            </w:r>
          </w:p>
        </w:tc>
      </w:tr>
    </w:tbl>
    <w:p w14:paraId="699976D1" w14:textId="5B429C41" w:rsidR="00552375" w:rsidRDefault="00552375" w:rsidP="008604BA">
      <w:pPr>
        <w:pStyle w:val="BodyText"/>
        <w:spacing w:before="240"/>
        <w:rPr>
          <w:lang w:val="en-AU"/>
        </w:rPr>
      </w:pPr>
      <w:r>
        <w:rPr>
          <w:lang w:val="en-AU"/>
        </w:rPr>
        <w:t>The importance of the dilution factor (</w:t>
      </w:r>
      <w:r w:rsidRPr="00CE6AD2">
        <w:rPr>
          <w:i/>
          <w:lang w:val="en-AU"/>
        </w:rPr>
        <w:t>D</w:t>
      </w:r>
      <w:r>
        <w:rPr>
          <w:lang w:val="en-AU"/>
        </w:rPr>
        <w:t xml:space="preserve">) in determining </w:t>
      </w:r>
      <w:r w:rsidRPr="00CB5581">
        <w:rPr>
          <w:i/>
          <w:lang w:val="en-AU"/>
        </w:rPr>
        <w:t xml:space="preserve">potential </w:t>
      </w:r>
      <w:r w:rsidRPr="005B2F32">
        <w:rPr>
          <w:lang w:val="en-AU"/>
        </w:rPr>
        <w:t>TN</w:t>
      </w:r>
      <w:r w:rsidRPr="005B2F32">
        <w:rPr>
          <w:vertAlign w:val="subscript"/>
          <w:lang w:val="en-AU"/>
        </w:rPr>
        <w:t>estimated</w:t>
      </w:r>
      <w:r>
        <w:rPr>
          <w:lang w:val="en-AU"/>
        </w:rPr>
        <w:t xml:space="preserve"> (ie, [Y]) and hence the outcome of the screening level </w:t>
      </w:r>
      <w:r w:rsidRPr="008604BA">
        <w:t>assessment</w:t>
      </w:r>
      <w:r>
        <w:rPr>
          <w:lang w:val="en-AU"/>
        </w:rPr>
        <w:t xml:space="preserve"> (ie, whether FMU criteria are protective or not) is shown in </w:t>
      </w:r>
      <w:r w:rsidRPr="0089782E">
        <w:rPr>
          <w:sz w:val="28"/>
          <w:lang w:val="en-AU"/>
        </w:rPr>
        <w:fldChar w:fldCharType="begin"/>
      </w:r>
      <w:r w:rsidRPr="0089782E">
        <w:rPr>
          <w:sz w:val="24"/>
          <w:lang w:val="en-AU"/>
        </w:rPr>
        <w:instrText xml:space="preserve"> REF _Ref518894321 \h </w:instrText>
      </w:r>
      <w:r>
        <w:rPr>
          <w:sz w:val="28"/>
          <w:lang w:val="en-AU"/>
        </w:rPr>
        <w:instrText xml:space="preserve"> \* MERGEFORMAT </w:instrText>
      </w:r>
      <w:r w:rsidRPr="0089782E">
        <w:rPr>
          <w:sz w:val="28"/>
          <w:lang w:val="en-AU"/>
        </w:rPr>
      </w:r>
      <w:r w:rsidRPr="0089782E">
        <w:rPr>
          <w:sz w:val="28"/>
          <w:lang w:val="en-AU"/>
        </w:rPr>
        <w:fldChar w:fldCharType="separate"/>
      </w:r>
      <w:r w:rsidR="001A7243" w:rsidRPr="00E04C14">
        <w:t xml:space="preserve">Figure </w:t>
      </w:r>
      <w:r w:rsidR="001A7243">
        <w:rPr>
          <w:noProof/>
        </w:rPr>
        <w:t>13</w:t>
      </w:r>
      <w:r w:rsidRPr="0089782E">
        <w:rPr>
          <w:sz w:val="28"/>
          <w:lang w:val="en-AU"/>
        </w:rPr>
        <w:fldChar w:fldCharType="end"/>
      </w:r>
      <w:r>
        <w:rPr>
          <w:lang w:val="en-AU"/>
        </w:rPr>
        <w:t>. For dilution factors (</w:t>
      </w:r>
      <w:r w:rsidRPr="00603450">
        <w:rPr>
          <w:i/>
          <w:lang w:val="en-AU"/>
        </w:rPr>
        <w:t>D</w:t>
      </w:r>
      <w:r w:rsidRPr="00FA5E47">
        <w:rPr>
          <w:lang w:val="en-AU"/>
        </w:rPr>
        <w:t>)</w:t>
      </w:r>
      <w:r>
        <w:rPr>
          <w:lang w:val="en-AU"/>
        </w:rPr>
        <w:t xml:space="preserve"> &gt;3, the </w:t>
      </w:r>
      <w:r w:rsidRPr="008523CA">
        <w:rPr>
          <w:i/>
          <w:lang w:val="en-AU"/>
        </w:rPr>
        <w:t xml:space="preserve">potential </w:t>
      </w:r>
      <w:r w:rsidRPr="005B2F32">
        <w:rPr>
          <w:lang w:val="en-AU"/>
        </w:rPr>
        <w:t>TN</w:t>
      </w:r>
      <w:r w:rsidRPr="005B2F32">
        <w:rPr>
          <w:vertAlign w:val="subscript"/>
          <w:lang w:val="en-AU"/>
        </w:rPr>
        <w:t>estimated</w:t>
      </w:r>
      <w:r>
        <w:rPr>
          <w:lang w:val="en-AU"/>
        </w:rPr>
        <w:t xml:space="preserve"> (ie, [Y]) is &lt;180 mg/m</w:t>
      </w:r>
      <w:r w:rsidRPr="00C957FB">
        <w:rPr>
          <w:vertAlign w:val="superscript"/>
          <w:lang w:val="en-AU"/>
        </w:rPr>
        <w:t>3</w:t>
      </w:r>
      <w:r>
        <w:rPr>
          <w:lang w:val="en-AU"/>
        </w:rPr>
        <w:t xml:space="preserve"> of TN, and therefore the FMU instream criteria of 350 mg/m</w:t>
      </w:r>
      <w:r w:rsidRPr="00603450">
        <w:rPr>
          <w:vertAlign w:val="superscript"/>
          <w:lang w:val="en-AU"/>
        </w:rPr>
        <w:t>3</w:t>
      </w:r>
      <w:r>
        <w:rPr>
          <w:lang w:val="en-AU"/>
        </w:rPr>
        <w:t xml:space="preserve"> of DIN would probably be protective of the trophic state objective sought for the estuary. Conversely, for dilution factors </w:t>
      </w:r>
      <w:r>
        <w:rPr>
          <w:rFonts w:cs="Calibri"/>
          <w:lang w:val="en-AU"/>
        </w:rPr>
        <w:t>≤</w:t>
      </w:r>
      <w:r>
        <w:rPr>
          <w:lang w:val="en-AU"/>
        </w:rPr>
        <w:t xml:space="preserve">3 (less dilution of FMU water in the estuary), the </w:t>
      </w:r>
      <w:r w:rsidRPr="008523CA">
        <w:rPr>
          <w:i/>
          <w:lang w:val="en-AU"/>
        </w:rPr>
        <w:t>potential TN</w:t>
      </w:r>
      <w:r w:rsidRPr="008523CA">
        <w:rPr>
          <w:i/>
          <w:vertAlign w:val="subscript"/>
          <w:lang w:val="en-AU"/>
        </w:rPr>
        <w:t>estimated</w:t>
      </w:r>
      <w:r>
        <w:rPr>
          <w:lang w:val="en-AU"/>
        </w:rPr>
        <w:t xml:space="preserve"> (ie, [Y]) in the estuary is &gt;180 mg/m</w:t>
      </w:r>
      <w:r w:rsidRPr="00603450">
        <w:rPr>
          <w:vertAlign w:val="superscript"/>
          <w:lang w:val="en-AU"/>
        </w:rPr>
        <w:t>3</w:t>
      </w:r>
      <w:r>
        <w:rPr>
          <w:lang w:val="en-AU"/>
        </w:rPr>
        <w:t>, and therefore suggests that the upstream FMU criteria would need to be revised (ie, reduced) to provide for the trophic state objectives of the estuary.</w:t>
      </w:r>
    </w:p>
    <w:p w14:paraId="3F701F7F" w14:textId="625F9177" w:rsidR="00552375" w:rsidRDefault="00552375" w:rsidP="008604BA">
      <w:pPr>
        <w:pStyle w:val="Figureheading"/>
        <w:spacing w:after="60"/>
        <w:rPr>
          <w:lang w:val="en-AU"/>
        </w:rPr>
      </w:pPr>
      <w:bookmarkStart w:id="135" w:name="_Ref518894321"/>
      <w:bookmarkStart w:id="136" w:name="_Toc521487720"/>
      <w:bookmarkStart w:id="137" w:name="_Toc73711486"/>
      <w:r w:rsidRPr="00E04C14">
        <w:t xml:space="preserve">Figure </w:t>
      </w:r>
      <w:fldSimple w:instr=" SEQ Figure \* ARABIC ">
        <w:r w:rsidR="001A7243">
          <w:rPr>
            <w:noProof/>
          </w:rPr>
          <w:t>13</w:t>
        </w:r>
      </w:fldSimple>
      <w:bookmarkEnd w:id="135"/>
      <w:r w:rsidRPr="00E04C14">
        <w:t>:</w:t>
      </w:r>
      <w:r>
        <w:tab/>
      </w:r>
      <w:r w:rsidRPr="00146332">
        <w:rPr>
          <w:i/>
        </w:rPr>
        <w:t>Potential</w:t>
      </w:r>
      <w:r w:rsidRPr="00E04C14">
        <w:t xml:space="preserve"> TN</w:t>
      </w:r>
      <w:r>
        <w:rPr>
          <w:vertAlign w:val="subscript"/>
        </w:rPr>
        <w:t>estimated</w:t>
      </w:r>
      <w:r w:rsidRPr="00E04C14">
        <w:t xml:space="preserve"> concentrations</w:t>
      </w:r>
      <w:r>
        <w:t xml:space="preserve"> (ie, [Y])</w:t>
      </w:r>
      <w:r w:rsidRPr="00E04C14">
        <w:t xml:space="preserve"> in the estuary (</w:t>
      </w:r>
      <w:r>
        <w:t>shown</w:t>
      </w:r>
      <w:r w:rsidRPr="00E04C14">
        <w:t xml:space="preserve"> in </w:t>
      </w:r>
      <w:r>
        <w:fldChar w:fldCharType="begin"/>
      </w:r>
      <w:r>
        <w:instrText xml:space="preserve"> REF _Ref518244212 \h  \* MERGEFORMAT </w:instrText>
      </w:r>
      <w:r>
        <w:fldChar w:fldCharType="separate"/>
      </w:r>
      <w:r w:rsidR="001A7243" w:rsidRPr="00971CD3">
        <w:t xml:space="preserve">Figure </w:t>
      </w:r>
      <w:r w:rsidR="001A7243">
        <w:rPr>
          <w:noProof/>
        </w:rPr>
        <w:t>12</w:t>
      </w:r>
      <w:r>
        <w:fldChar w:fldCharType="end"/>
      </w:r>
      <w:r w:rsidRPr="00E04C14">
        <w:t>) as a function of dilution factor (</w:t>
      </w:r>
      <w:r w:rsidRPr="00E04C14">
        <w:rPr>
          <w:i/>
        </w:rPr>
        <w:t>D</w:t>
      </w:r>
      <w:r w:rsidRPr="00E04C14">
        <w:t xml:space="preserve">) </w:t>
      </w:r>
      <w:r>
        <w:t>using a</w:t>
      </w:r>
      <w:r w:rsidRPr="00E04C14">
        <w:t xml:space="preserve"> FMU </w:t>
      </w:r>
      <w:r>
        <w:t>instream criterion value</w:t>
      </w:r>
      <w:r w:rsidRPr="00E04C14">
        <w:t xml:space="preserve"> of 500 mg/m</w:t>
      </w:r>
      <w:r w:rsidRPr="00E04C14">
        <w:rPr>
          <w:vertAlign w:val="superscript"/>
        </w:rPr>
        <w:t>3</w:t>
      </w:r>
      <w:r>
        <w:t xml:space="preserve"> of TN</w:t>
      </w:r>
      <w:r w:rsidR="008604BA">
        <w:t> </w:t>
      </w:r>
      <w:r>
        <w:t>(ie, [Z])</w:t>
      </w:r>
      <w:bookmarkEnd w:id="136"/>
      <w:bookmarkEnd w:id="137"/>
    </w:p>
    <w:p w14:paraId="4B75105F" w14:textId="77777777" w:rsidR="00552375" w:rsidRPr="008604BA" w:rsidRDefault="00552375" w:rsidP="008604BA">
      <w:pPr>
        <w:pStyle w:val="BodyText"/>
        <w:spacing w:after="60"/>
        <w:jc w:val="center"/>
      </w:pPr>
      <w:r>
        <w:rPr>
          <w:noProof/>
        </w:rPr>
        <w:drawing>
          <wp:inline distT="0" distB="0" distL="0" distR="0" wp14:anchorId="68C5BCDA" wp14:editId="735548F6">
            <wp:extent cx="3226280" cy="1986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4959"/>
                    <a:stretch/>
                  </pic:blipFill>
                  <pic:spPr bwMode="auto">
                    <a:xfrm>
                      <a:off x="0" y="0"/>
                      <a:ext cx="3260578" cy="2007962"/>
                    </a:xfrm>
                    <a:prstGeom prst="rect">
                      <a:avLst/>
                    </a:prstGeom>
                    <a:noFill/>
                    <a:ln>
                      <a:noFill/>
                    </a:ln>
                    <a:extLst>
                      <a:ext uri="{53640926-AAD7-44D8-BBD7-CCE9431645EC}">
                        <a14:shadowObscured xmlns:a14="http://schemas.microsoft.com/office/drawing/2010/main"/>
                      </a:ext>
                    </a:extLst>
                  </pic:spPr>
                </pic:pic>
              </a:graphicData>
            </a:graphic>
          </wp:inline>
        </w:drawing>
      </w:r>
    </w:p>
    <w:p w14:paraId="6501E00E" w14:textId="0458111F" w:rsidR="00552375" w:rsidRPr="00E04C14" w:rsidRDefault="00552375" w:rsidP="009F52CE">
      <w:pPr>
        <w:pStyle w:val="Note"/>
        <w:spacing w:after="240"/>
      </w:pPr>
      <w:bookmarkStart w:id="138" w:name="_Toc519682849"/>
      <w:r w:rsidRPr="00E04C14">
        <w:t xml:space="preserve">The vertical dash line </w:t>
      </w:r>
      <w:r>
        <w:t xml:space="preserve">indicates </w:t>
      </w:r>
      <w:r w:rsidRPr="00E04C14">
        <w:t>the dilution factor threshold (c. 3)</w:t>
      </w:r>
      <w:r>
        <w:t xml:space="preserve"> – that is, for scenarios </w:t>
      </w:r>
      <w:r w:rsidRPr="008604BA">
        <w:t>where</w:t>
      </w:r>
      <w:r>
        <w:t xml:space="preserve"> </w:t>
      </w:r>
      <w:r w:rsidRPr="00BF3359">
        <w:rPr>
          <w:i/>
        </w:rPr>
        <w:t>D</w:t>
      </w:r>
      <w:r>
        <w:t xml:space="preserve">&gt;3, the FMU instream criteria is protective of estuary (ie, [Y]&lt;[Z]); and where </w:t>
      </w:r>
      <w:r w:rsidRPr="00BF3359">
        <w:rPr>
          <w:i/>
        </w:rPr>
        <w:t>D</w:t>
      </w:r>
      <w:r>
        <w:rPr>
          <w:rFonts w:cstheme="minorHAnsi"/>
        </w:rPr>
        <w:t>≤3, the FMU instream nutrient criteria are not (ie,</w:t>
      </w:r>
      <w:r w:rsidR="008604BA">
        <w:rPr>
          <w:rFonts w:cstheme="minorHAnsi"/>
        </w:rPr>
        <w:t> </w:t>
      </w:r>
      <w:r>
        <w:rPr>
          <w:rFonts w:cstheme="minorHAnsi"/>
        </w:rPr>
        <w:t>[Y]&gt;[Z]), and may need to be revised.</w:t>
      </w:r>
      <w:bookmarkEnd w:id="138"/>
      <w:r>
        <w:rPr>
          <w:rFonts w:cstheme="minorHAnsi"/>
        </w:rPr>
        <w:t xml:space="preserve"> </w:t>
      </w:r>
    </w:p>
    <w:tbl>
      <w:tblPr>
        <w:tblW w:w="8505" w:type="dxa"/>
        <w:shd w:val="clear" w:color="auto" w:fill="F5F8F9" w:themeFill="accent3" w:themeFillTint="33"/>
        <w:tblLook w:val="04A0" w:firstRow="1" w:lastRow="0" w:firstColumn="1" w:lastColumn="0" w:noHBand="0" w:noVBand="1"/>
      </w:tblPr>
      <w:tblGrid>
        <w:gridCol w:w="8505"/>
      </w:tblGrid>
      <w:tr w:rsidR="00552375" w:rsidRPr="006B77BB" w14:paraId="7B6E1CB8" w14:textId="77777777" w:rsidTr="00D77933">
        <w:trPr>
          <w:tblHeader/>
        </w:trPr>
        <w:tc>
          <w:tcPr>
            <w:tcW w:w="8505" w:type="dxa"/>
            <w:shd w:val="clear" w:color="auto" w:fill="1C556C" w:themeFill="accent1"/>
            <w:vAlign w:val="center"/>
          </w:tcPr>
          <w:p w14:paraId="13FD673C" w14:textId="310B7B92" w:rsidR="00552375" w:rsidRPr="0067055E" w:rsidDel="00D5390D" w:rsidRDefault="00552375" w:rsidP="00552375">
            <w:pPr>
              <w:pStyle w:val="Casestudyheading"/>
              <w:rPr>
                <w:lang w:val="en-AU"/>
              </w:rPr>
            </w:pPr>
            <w:r>
              <w:rPr>
                <w:lang w:val="en-AU"/>
              </w:rPr>
              <w:t>Estuarine worked example 2: Effect of estuary trophic banding (</w:t>
            </w:r>
            <w:r>
              <w:rPr>
                <w:caps w:val="0"/>
                <w:lang w:val="en-AU"/>
              </w:rPr>
              <w:t>ie</w:t>
            </w:r>
            <w:r>
              <w:rPr>
                <w:lang w:val="en-AU"/>
              </w:rPr>
              <w:t>, A-C) on</w:t>
            </w:r>
            <w:r w:rsidR="009F52CE">
              <w:rPr>
                <w:lang w:val="en-AU"/>
              </w:rPr>
              <w:t> </w:t>
            </w:r>
            <w:r>
              <w:rPr>
                <w:lang w:val="en-AU"/>
              </w:rPr>
              <w:t>FMU instream nitrogen criteria</w:t>
            </w:r>
          </w:p>
        </w:tc>
      </w:tr>
      <w:tr w:rsidR="00552375" w:rsidRPr="006B77BB" w14:paraId="73604BA6" w14:textId="77777777" w:rsidTr="00D77933">
        <w:tc>
          <w:tcPr>
            <w:tcW w:w="8505" w:type="dxa"/>
            <w:shd w:val="clear" w:color="auto" w:fill="D2DDE2" w:themeFill="accent3"/>
          </w:tcPr>
          <w:p w14:paraId="4A50BA53" w14:textId="05EC3056" w:rsidR="00552375" w:rsidRPr="002521D0" w:rsidRDefault="00552375" w:rsidP="009F52CE">
            <w:pPr>
              <w:pStyle w:val="Blueboxtext"/>
              <w:spacing w:after="0"/>
              <w:rPr>
                <w:lang w:val="en-AU"/>
              </w:rPr>
            </w:pPr>
            <w:r w:rsidRPr="002521D0">
              <w:rPr>
                <w:lang w:val="en-AU"/>
              </w:rPr>
              <w:t xml:space="preserve">Using the same FMU </w:t>
            </w:r>
            <w:r w:rsidRPr="002521D0">
              <w:rPr>
                <w:rFonts w:cs="Calibri"/>
                <w:lang w:val="en-AU"/>
              </w:rPr>
              <w:t>to</w:t>
            </w:r>
            <w:r w:rsidRPr="002521D0">
              <w:rPr>
                <w:lang w:val="en-AU"/>
              </w:rPr>
              <w:t xml:space="preserve"> SIDE example shown in </w:t>
            </w:r>
            <w:r w:rsidRPr="002521D0">
              <w:rPr>
                <w:lang w:val="en-AU"/>
              </w:rPr>
              <w:fldChar w:fldCharType="begin"/>
            </w:r>
            <w:r w:rsidRPr="002521D0">
              <w:rPr>
                <w:lang w:val="en-AU"/>
              </w:rPr>
              <w:instrText xml:space="preserve"> REF _Ref518244212 \h  \* MERGEFORMAT </w:instrText>
            </w:r>
            <w:r w:rsidRPr="002521D0">
              <w:rPr>
                <w:lang w:val="en-AU"/>
              </w:rPr>
            </w:r>
            <w:r w:rsidRPr="002521D0">
              <w:rPr>
                <w:lang w:val="en-AU"/>
              </w:rPr>
              <w:fldChar w:fldCharType="separate"/>
            </w:r>
            <w:r w:rsidR="001A7243" w:rsidRPr="00971CD3">
              <w:t xml:space="preserve">Figure </w:t>
            </w:r>
            <w:r w:rsidR="001A7243">
              <w:rPr>
                <w:noProof/>
              </w:rPr>
              <w:t>12</w:t>
            </w:r>
            <w:r w:rsidRPr="002521D0">
              <w:rPr>
                <w:lang w:val="en-AU"/>
              </w:rPr>
              <w:fldChar w:fldCharType="end"/>
            </w:r>
            <w:r w:rsidRPr="002521D0">
              <w:rPr>
                <w:lang w:val="en-AU"/>
              </w:rPr>
              <w:t>, it is useful to work through several scenarios to see the outcome of testing different combinations of trophic objectives (</w:t>
            </w:r>
            <w:r>
              <w:rPr>
                <w:lang w:val="en-AU"/>
              </w:rPr>
              <w:t>ie</w:t>
            </w:r>
            <w:r w:rsidRPr="002521D0">
              <w:rPr>
                <w:lang w:val="en-AU"/>
              </w:rPr>
              <w:t xml:space="preserve">, A-C) for the FMU and estuary, for a relatively small (2) and large (6) dilution factor. </w:t>
            </w:r>
          </w:p>
          <w:p w14:paraId="1608E92E" w14:textId="75A55BF8" w:rsidR="00552375" w:rsidRPr="009F52CE" w:rsidRDefault="00552375" w:rsidP="009F52CE">
            <w:pPr>
              <w:pStyle w:val="Blueboxtext"/>
              <w:spacing w:after="80"/>
              <w:rPr>
                <w:iCs/>
                <w:lang w:val="en-AU"/>
              </w:rPr>
            </w:pPr>
            <w:r w:rsidRPr="002521D0">
              <w:rPr>
                <w:lang w:val="en-AU"/>
              </w:rPr>
              <w:t xml:space="preserve">Threshold concentrations for the estuary are taken from </w:t>
            </w:r>
            <w:r w:rsidRPr="002521D0">
              <w:rPr>
                <w:lang w:val="en-AU"/>
              </w:rPr>
              <w:fldChar w:fldCharType="begin"/>
            </w:r>
            <w:r w:rsidRPr="002521D0">
              <w:rPr>
                <w:lang w:val="en-AU"/>
              </w:rPr>
              <w:instrText xml:space="preserve"> REF _Ref518174195 \h  \* MERGEFORMAT </w:instrText>
            </w:r>
            <w:r w:rsidRPr="002521D0">
              <w:rPr>
                <w:lang w:val="en-AU"/>
              </w:rPr>
            </w:r>
            <w:r w:rsidRPr="002521D0">
              <w:rPr>
                <w:lang w:val="en-AU"/>
              </w:rPr>
              <w:fldChar w:fldCharType="separate"/>
            </w:r>
            <w:r w:rsidR="001A7243" w:rsidRPr="000E4058">
              <w:t xml:space="preserve">Table </w:t>
            </w:r>
            <w:r w:rsidR="001A7243">
              <w:rPr>
                <w:noProof/>
              </w:rPr>
              <w:t>8</w:t>
            </w:r>
            <w:r w:rsidRPr="002521D0">
              <w:rPr>
                <w:lang w:val="en-AU"/>
              </w:rPr>
              <w:fldChar w:fldCharType="end"/>
            </w:r>
            <w:r w:rsidRPr="002521D0">
              <w:rPr>
                <w:lang w:val="en-AU"/>
              </w:rPr>
              <w:t xml:space="preserve">, while the values for the riverine FMU are hypothetical but cover a plausible range of concentrations for the periphyton attribute band thresholds. </w:t>
            </w:r>
            <w:r w:rsidRPr="009F52CE">
              <w:rPr>
                <w:iCs/>
                <w:lang w:val="en-AU"/>
              </w:rPr>
              <w:t xml:space="preserve">It is important to emphasise that </w:t>
            </w:r>
            <w:r w:rsidRPr="009F52CE">
              <w:rPr>
                <w:b/>
                <w:iCs/>
                <w:lang w:val="en-AU"/>
              </w:rPr>
              <w:t>these are not default criteria</w:t>
            </w:r>
            <w:r w:rsidRPr="009F52CE">
              <w:rPr>
                <w:iCs/>
                <w:lang w:val="en-AU"/>
              </w:rPr>
              <w:t xml:space="preserve"> – FMU instream criteria need to be developed using the guidance outlined in step (a) of Clause 3.13 (refer to section 3.1). </w:t>
            </w:r>
          </w:p>
          <w:p w14:paraId="6EE65A2E" w14:textId="381E1A03" w:rsidR="00552375" w:rsidRDefault="00552375" w:rsidP="009F52CE">
            <w:pPr>
              <w:pStyle w:val="Tableheading"/>
              <w:spacing w:line="260" w:lineRule="atLeast"/>
              <w:ind w:left="1418"/>
            </w:pPr>
            <w:bookmarkStart w:id="139" w:name="_Toc73713307"/>
            <w:bookmarkStart w:id="140" w:name="_Toc520810483"/>
            <w:bookmarkStart w:id="141" w:name="_Toc520810687"/>
            <w:bookmarkStart w:id="142" w:name="_Toc520898760"/>
            <w:r w:rsidRPr="00BB51EB">
              <w:t xml:space="preserve">Table </w:t>
            </w:r>
            <w:fldSimple w:instr=" SEQ Table \* ARABIC ">
              <w:r w:rsidR="001A7243">
                <w:rPr>
                  <w:noProof/>
                </w:rPr>
                <w:t>11</w:t>
              </w:r>
            </w:fldSimple>
            <w:r w:rsidRPr="00BB51EB">
              <w:t xml:space="preserve">: </w:t>
            </w:r>
            <w:r>
              <w:tab/>
            </w:r>
            <w:r>
              <w:rPr>
                <w:szCs w:val="20"/>
              </w:rPr>
              <w:t>Nutrient</w:t>
            </w:r>
            <w:r w:rsidRPr="00FD663D">
              <w:rPr>
                <w:szCs w:val="20"/>
              </w:rPr>
              <w:t xml:space="preserve"> </w:t>
            </w:r>
            <w:r>
              <w:rPr>
                <w:szCs w:val="20"/>
              </w:rPr>
              <w:t xml:space="preserve">criteria (upper limit of trophic-state band used) for meeting different trophic-state objectives </w:t>
            </w:r>
            <w:r w:rsidRPr="00FD663D">
              <w:rPr>
                <w:szCs w:val="20"/>
              </w:rPr>
              <w:t xml:space="preserve">for </w:t>
            </w:r>
            <w:r>
              <w:rPr>
                <w:szCs w:val="20"/>
              </w:rPr>
              <w:t>a</w:t>
            </w:r>
            <w:r w:rsidRPr="00FD663D">
              <w:rPr>
                <w:szCs w:val="20"/>
              </w:rPr>
              <w:t xml:space="preserve"> FMU </w:t>
            </w:r>
            <w:r>
              <w:rPr>
                <w:rFonts w:cs="Calibri"/>
                <w:szCs w:val="20"/>
              </w:rPr>
              <w:t>to</w:t>
            </w:r>
            <w:r w:rsidRPr="00FD663D">
              <w:rPr>
                <w:szCs w:val="20"/>
              </w:rPr>
              <w:t xml:space="preserve"> SIDE </w:t>
            </w:r>
            <w:r>
              <w:rPr>
                <w:szCs w:val="20"/>
              </w:rPr>
              <w:t xml:space="preserve">system represented </w:t>
            </w:r>
            <w:r w:rsidRPr="00FD663D">
              <w:rPr>
                <w:szCs w:val="20"/>
              </w:rPr>
              <w:t xml:space="preserve">in </w:t>
            </w:r>
            <w:r>
              <w:rPr>
                <w:szCs w:val="20"/>
              </w:rPr>
              <w:fldChar w:fldCharType="begin"/>
            </w:r>
            <w:r>
              <w:rPr>
                <w:szCs w:val="20"/>
              </w:rPr>
              <w:instrText xml:space="preserve"> REF _Ref518244212 \h </w:instrText>
            </w:r>
            <w:r>
              <w:rPr>
                <w:szCs w:val="20"/>
              </w:rPr>
            </w:r>
            <w:r>
              <w:rPr>
                <w:szCs w:val="20"/>
              </w:rPr>
              <w:fldChar w:fldCharType="separate"/>
            </w:r>
            <w:bookmarkEnd w:id="139"/>
            <w:r w:rsidR="001A7243" w:rsidRPr="00971CD3">
              <w:t xml:space="preserve">Figure </w:t>
            </w:r>
            <w:r w:rsidR="001A7243">
              <w:rPr>
                <w:noProof/>
              </w:rPr>
              <w:t>12</w:t>
            </w:r>
            <w:r>
              <w:rPr>
                <w:szCs w:val="20"/>
              </w:rPr>
              <w:fldChar w:fldCharType="end"/>
            </w:r>
            <w:bookmarkEnd w:id="140"/>
            <w:bookmarkEnd w:id="141"/>
            <w:bookmarkEnd w:id="142"/>
          </w:p>
          <w:tbl>
            <w:tblPr>
              <w:tblStyle w:val="TableGrid"/>
              <w:tblW w:w="7655" w:type="dxa"/>
              <w:tblInd w:w="284"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13"/>
              <w:gridCol w:w="1773"/>
              <w:gridCol w:w="1933"/>
              <w:gridCol w:w="1936"/>
            </w:tblGrid>
            <w:tr w:rsidR="00552375" w14:paraId="7C743B5B" w14:textId="77777777" w:rsidTr="00456B85">
              <w:tc>
                <w:tcPr>
                  <w:tcW w:w="2013" w:type="dxa"/>
                  <w:shd w:val="clear" w:color="auto" w:fill="1C556C" w:themeFill="accent1"/>
                  <w:vAlign w:val="bottom"/>
                </w:tcPr>
                <w:p w14:paraId="161E9A10" w14:textId="77777777" w:rsidR="00552375" w:rsidRPr="009C5D82" w:rsidRDefault="00552375" w:rsidP="008649F6">
                  <w:pPr>
                    <w:pStyle w:val="TableText"/>
                    <w:spacing w:before="40" w:after="40"/>
                    <w:rPr>
                      <w:b/>
                      <w:color w:val="FFFFFF" w:themeColor="background1"/>
                    </w:rPr>
                  </w:pPr>
                  <w:r w:rsidRPr="009C5D82">
                    <w:rPr>
                      <w:b/>
                      <w:color w:val="FFFFFF" w:themeColor="background1"/>
                    </w:rPr>
                    <w:t>Receiving environment</w:t>
                  </w:r>
                </w:p>
              </w:tc>
              <w:tc>
                <w:tcPr>
                  <w:tcW w:w="1773" w:type="dxa"/>
                  <w:shd w:val="clear" w:color="auto" w:fill="1C556C" w:themeFill="accent1"/>
                  <w:vAlign w:val="bottom"/>
                </w:tcPr>
                <w:p w14:paraId="7E569093" w14:textId="4EDC8F44" w:rsidR="00552375" w:rsidRPr="009C5D82" w:rsidRDefault="00552375" w:rsidP="008649F6">
                  <w:pPr>
                    <w:pStyle w:val="TableText"/>
                    <w:spacing w:before="40" w:after="40"/>
                    <w:rPr>
                      <w:b/>
                      <w:color w:val="FFFFFF" w:themeColor="background1"/>
                    </w:rPr>
                  </w:pPr>
                  <w:r w:rsidRPr="009C5D82">
                    <w:rPr>
                      <w:b/>
                      <w:color w:val="FFFFFF" w:themeColor="background1"/>
                    </w:rPr>
                    <w:t>Band A (upper limit)</w:t>
                  </w:r>
                  <w:r w:rsidRPr="009C5D82">
                    <w:rPr>
                      <w:b/>
                      <w:color w:val="FFFFFF" w:themeColor="background1"/>
                      <w:vertAlign w:val="superscript"/>
                    </w:rPr>
                    <w:t>b</w:t>
                  </w:r>
                  <w:r w:rsidRPr="009C5D82">
                    <w:rPr>
                      <w:b/>
                      <w:color w:val="FFFFFF" w:themeColor="background1"/>
                    </w:rPr>
                    <w:t xml:space="preserve"> mg/m</w:t>
                  </w:r>
                  <w:r w:rsidRPr="009C5D82">
                    <w:rPr>
                      <w:b/>
                      <w:color w:val="FFFFFF" w:themeColor="background1"/>
                      <w:vertAlign w:val="superscript"/>
                    </w:rPr>
                    <w:t>3</w:t>
                  </w:r>
                </w:p>
              </w:tc>
              <w:tc>
                <w:tcPr>
                  <w:tcW w:w="1933" w:type="dxa"/>
                  <w:shd w:val="clear" w:color="auto" w:fill="1C556C" w:themeFill="accent1"/>
                  <w:vAlign w:val="bottom"/>
                </w:tcPr>
                <w:p w14:paraId="08D36E3C" w14:textId="7E70F9F1" w:rsidR="00552375" w:rsidRPr="009C5D82" w:rsidRDefault="00552375" w:rsidP="008649F6">
                  <w:pPr>
                    <w:pStyle w:val="TableText"/>
                    <w:spacing w:before="40" w:after="40"/>
                    <w:rPr>
                      <w:b/>
                      <w:color w:val="FFFFFF" w:themeColor="background1"/>
                    </w:rPr>
                  </w:pPr>
                  <w:r w:rsidRPr="009C5D82">
                    <w:rPr>
                      <w:b/>
                      <w:color w:val="FFFFFF" w:themeColor="background1"/>
                    </w:rPr>
                    <w:t>Band B (upper limit)</w:t>
                  </w:r>
                  <w:r w:rsidRPr="009C5D82">
                    <w:rPr>
                      <w:b/>
                      <w:color w:val="FFFFFF" w:themeColor="background1"/>
                      <w:vertAlign w:val="superscript"/>
                    </w:rPr>
                    <w:t>b</w:t>
                  </w:r>
                  <w:r w:rsidRPr="009C5D82">
                    <w:rPr>
                      <w:b/>
                      <w:color w:val="FFFFFF" w:themeColor="background1"/>
                    </w:rPr>
                    <w:t xml:space="preserve"> mg/m</w:t>
                  </w:r>
                  <w:r w:rsidRPr="009C5D82">
                    <w:rPr>
                      <w:b/>
                      <w:color w:val="FFFFFF" w:themeColor="background1"/>
                      <w:vertAlign w:val="superscript"/>
                    </w:rPr>
                    <w:t>3</w:t>
                  </w:r>
                </w:p>
              </w:tc>
              <w:tc>
                <w:tcPr>
                  <w:tcW w:w="1936" w:type="dxa"/>
                  <w:shd w:val="clear" w:color="auto" w:fill="1C556C" w:themeFill="accent1"/>
                  <w:vAlign w:val="bottom"/>
                </w:tcPr>
                <w:p w14:paraId="71E5156F" w14:textId="4F319560" w:rsidR="00552375" w:rsidRPr="009C5D82" w:rsidRDefault="00552375" w:rsidP="008649F6">
                  <w:pPr>
                    <w:pStyle w:val="TableText"/>
                    <w:spacing w:before="40" w:after="40"/>
                    <w:rPr>
                      <w:b/>
                      <w:color w:val="FFFFFF" w:themeColor="background1"/>
                    </w:rPr>
                  </w:pPr>
                  <w:r w:rsidRPr="009C5D82">
                    <w:rPr>
                      <w:b/>
                      <w:color w:val="FFFFFF" w:themeColor="background1"/>
                    </w:rPr>
                    <w:t>Band AC</w:t>
                  </w:r>
                  <w:r w:rsidR="00456B85">
                    <w:rPr>
                      <w:b/>
                      <w:color w:val="FFFFFF" w:themeColor="background1"/>
                    </w:rPr>
                    <w:t xml:space="preserve"> </w:t>
                  </w:r>
                  <w:r w:rsidRPr="009C5D82">
                    <w:rPr>
                      <w:b/>
                      <w:color w:val="FFFFFF" w:themeColor="background1"/>
                    </w:rPr>
                    <w:t>(upper limit)</w:t>
                  </w:r>
                  <w:r w:rsidRPr="009C5D82">
                    <w:rPr>
                      <w:b/>
                      <w:color w:val="FFFFFF" w:themeColor="background1"/>
                      <w:vertAlign w:val="superscript"/>
                    </w:rPr>
                    <w:t>b</w:t>
                  </w:r>
                  <w:r w:rsidRPr="009C5D82">
                    <w:rPr>
                      <w:b/>
                      <w:color w:val="FFFFFF" w:themeColor="background1"/>
                    </w:rPr>
                    <w:t xml:space="preserve"> mg/m</w:t>
                  </w:r>
                  <w:r w:rsidRPr="009C5D82">
                    <w:rPr>
                      <w:b/>
                      <w:color w:val="FFFFFF" w:themeColor="background1"/>
                      <w:vertAlign w:val="superscript"/>
                    </w:rPr>
                    <w:t>3</w:t>
                  </w:r>
                </w:p>
              </w:tc>
            </w:tr>
            <w:tr w:rsidR="00552375" w14:paraId="6060DEDD" w14:textId="77777777" w:rsidTr="00456B85">
              <w:tc>
                <w:tcPr>
                  <w:tcW w:w="2013" w:type="dxa"/>
                </w:tcPr>
                <w:p w14:paraId="121611F7" w14:textId="77777777" w:rsidR="00552375" w:rsidRPr="005E77A5" w:rsidRDefault="00552375" w:rsidP="008649F6">
                  <w:pPr>
                    <w:pStyle w:val="TableText"/>
                    <w:spacing w:before="40" w:after="40"/>
                  </w:pPr>
                  <w:r>
                    <w:t>FMU</w:t>
                  </w:r>
                  <w:r w:rsidRPr="00BF3359">
                    <w:rPr>
                      <w:vertAlign w:val="superscript"/>
                    </w:rPr>
                    <w:t>a</w:t>
                  </w:r>
                  <w:r>
                    <w:t xml:space="preserve"> (TN)</w:t>
                  </w:r>
                </w:p>
              </w:tc>
              <w:tc>
                <w:tcPr>
                  <w:tcW w:w="1773" w:type="dxa"/>
                </w:tcPr>
                <w:p w14:paraId="73BBE69A" w14:textId="77777777" w:rsidR="00552375" w:rsidRPr="005E77A5" w:rsidRDefault="00552375" w:rsidP="008649F6">
                  <w:pPr>
                    <w:pStyle w:val="TableText"/>
                    <w:spacing w:before="40" w:after="40"/>
                  </w:pPr>
                  <w:r>
                    <w:rPr>
                      <w:szCs w:val="18"/>
                    </w:rPr>
                    <w:t>100</w:t>
                  </w:r>
                </w:p>
              </w:tc>
              <w:tc>
                <w:tcPr>
                  <w:tcW w:w="1933" w:type="dxa"/>
                </w:tcPr>
                <w:p w14:paraId="0A8A92CA" w14:textId="77777777" w:rsidR="00552375" w:rsidRPr="005E77A5" w:rsidRDefault="00552375" w:rsidP="008649F6">
                  <w:pPr>
                    <w:pStyle w:val="TableText"/>
                    <w:spacing w:before="40" w:after="40"/>
                  </w:pPr>
                  <w:r>
                    <w:rPr>
                      <w:szCs w:val="18"/>
                    </w:rPr>
                    <w:t>500</w:t>
                  </w:r>
                </w:p>
              </w:tc>
              <w:tc>
                <w:tcPr>
                  <w:tcW w:w="1936" w:type="dxa"/>
                </w:tcPr>
                <w:p w14:paraId="012E1824" w14:textId="77777777" w:rsidR="00552375" w:rsidRPr="005E77A5" w:rsidRDefault="00552375" w:rsidP="008649F6">
                  <w:pPr>
                    <w:pStyle w:val="TableText"/>
                    <w:spacing w:before="40" w:after="40"/>
                  </w:pPr>
                  <w:r>
                    <w:rPr>
                      <w:szCs w:val="18"/>
                    </w:rPr>
                    <w:t>1,150</w:t>
                  </w:r>
                </w:p>
              </w:tc>
            </w:tr>
            <w:tr w:rsidR="00552375" w14:paraId="69D79482" w14:textId="77777777" w:rsidTr="00456B85">
              <w:tc>
                <w:tcPr>
                  <w:tcW w:w="2013" w:type="dxa"/>
                </w:tcPr>
                <w:p w14:paraId="7F52B08E" w14:textId="77777777" w:rsidR="00552375" w:rsidRPr="005E77A5" w:rsidRDefault="00552375" w:rsidP="008649F6">
                  <w:pPr>
                    <w:pStyle w:val="TableText"/>
                    <w:spacing w:before="40" w:after="40"/>
                  </w:pPr>
                  <w:r>
                    <w:t>Estuary</w:t>
                  </w:r>
                </w:p>
              </w:tc>
              <w:tc>
                <w:tcPr>
                  <w:tcW w:w="1773" w:type="dxa"/>
                </w:tcPr>
                <w:p w14:paraId="224C2EF3" w14:textId="77777777" w:rsidR="00552375" w:rsidRPr="005E77A5" w:rsidRDefault="00552375" w:rsidP="008649F6">
                  <w:pPr>
                    <w:pStyle w:val="TableText"/>
                    <w:spacing w:before="40" w:after="40"/>
                  </w:pPr>
                  <w:r>
                    <w:rPr>
                      <w:lang w:val="en-US"/>
                    </w:rPr>
                    <w:t>55</w:t>
                  </w:r>
                </w:p>
              </w:tc>
              <w:tc>
                <w:tcPr>
                  <w:tcW w:w="1933" w:type="dxa"/>
                </w:tcPr>
                <w:p w14:paraId="5FB1E163" w14:textId="77777777" w:rsidR="00552375" w:rsidRPr="005E77A5" w:rsidRDefault="00552375" w:rsidP="008649F6">
                  <w:pPr>
                    <w:pStyle w:val="TableText"/>
                    <w:spacing w:before="40" w:after="40"/>
                  </w:pPr>
                  <w:r>
                    <w:rPr>
                      <w:lang w:val="en-US"/>
                    </w:rPr>
                    <w:t>180</w:t>
                  </w:r>
                </w:p>
              </w:tc>
              <w:tc>
                <w:tcPr>
                  <w:tcW w:w="1936" w:type="dxa"/>
                </w:tcPr>
                <w:p w14:paraId="46208D3F" w14:textId="77777777" w:rsidR="00552375" w:rsidRPr="005E77A5" w:rsidRDefault="00552375" w:rsidP="008649F6">
                  <w:pPr>
                    <w:pStyle w:val="TableText"/>
                    <w:spacing w:before="40" w:after="40"/>
                  </w:pPr>
                  <w:r>
                    <w:rPr>
                      <w:lang w:val="en-US"/>
                    </w:rPr>
                    <w:t>350</w:t>
                  </w:r>
                </w:p>
              </w:tc>
            </w:tr>
          </w:tbl>
          <w:p w14:paraId="0E692B47" w14:textId="263E1117" w:rsidR="00552375" w:rsidRPr="00456B85" w:rsidRDefault="00552375" w:rsidP="00456B85">
            <w:pPr>
              <w:pStyle w:val="Blueboxtext"/>
              <w:spacing w:after="0" w:line="240" w:lineRule="atLeast"/>
              <w:rPr>
                <w:sz w:val="16"/>
                <w:szCs w:val="18"/>
              </w:rPr>
            </w:pPr>
            <w:r w:rsidRPr="00456B85">
              <w:rPr>
                <w:sz w:val="16"/>
                <w:szCs w:val="18"/>
                <w:vertAlign w:val="superscript"/>
              </w:rPr>
              <w:t>a</w:t>
            </w:r>
            <w:r w:rsidRPr="00456B85">
              <w:rPr>
                <w:sz w:val="16"/>
                <w:szCs w:val="18"/>
              </w:rPr>
              <w:t xml:space="preserve"> note these FMU values are entirely hypothetical values to cover a plausible range for the worked example (shown in </w:t>
            </w:r>
            <w:r w:rsidRPr="00456B85">
              <w:rPr>
                <w:sz w:val="16"/>
                <w:szCs w:val="18"/>
              </w:rPr>
              <w:fldChar w:fldCharType="begin"/>
            </w:r>
            <w:r w:rsidRPr="00456B85">
              <w:rPr>
                <w:sz w:val="16"/>
                <w:szCs w:val="18"/>
              </w:rPr>
              <w:instrText xml:space="preserve"> REF _Ref518244212 \h  \* MERGEFORMAT </w:instrText>
            </w:r>
            <w:r w:rsidRPr="00456B85">
              <w:rPr>
                <w:sz w:val="16"/>
                <w:szCs w:val="18"/>
              </w:rPr>
            </w:r>
            <w:r w:rsidRPr="00456B85">
              <w:rPr>
                <w:sz w:val="16"/>
                <w:szCs w:val="18"/>
              </w:rPr>
              <w:fldChar w:fldCharType="separate"/>
            </w:r>
            <w:r w:rsidR="001A7243" w:rsidRPr="00971CD3">
              <w:t xml:space="preserve">Figure </w:t>
            </w:r>
            <w:r w:rsidR="001A7243">
              <w:rPr>
                <w:noProof/>
              </w:rPr>
              <w:t>12</w:t>
            </w:r>
            <w:r w:rsidRPr="00456B85">
              <w:rPr>
                <w:sz w:val="16"/>
                <w:szCs w:val="18"/>
              </w:rPr>
              <w:fldChar w:fldCharType="end"/>
            </w:r>
            <w:r w:rsidRPr="00456B85">
              <w:rPr>
                <w:sz w:val="16"/>
                <w:szCs w:val="18"/>
              </w:rPr>
              <w:t>); these are not based on any guideline values and must not be used for setting FMU criteria. Under Clause 3.13, these FMU instream criteria need to be developed under step (a) of Clause 3.13.</w:t>
            </w:r>
          </w:p>
          <w:p w14:paraId="73ADF36B" w14:textId="77777777" w:rsidR="00552375" w:rsidRPr="00C15722" w:rsidRDefault="00552375" w:rsidP="00456B85">
            <w:pPr>
              <w:pStyle w:val="Blueboxtext"/>
              <w:spacing w:before="60" w:line="240" w:lineRule="atLeast"/>
            </w:pPr>
            <w:r w:rsidRPr="00456B85">
              <w:rPr>
                <w:sz w:val="16"/>
                <w:szCs w:val="18"/>
                <w:vertAlign w:val="superscript"/>
              </w:rPr>
              <w:t>b</w:t>
            </w:r>
            <w:r w:rsidRPr="00456B85">
              <w:rPr>
                <w:sz w:val="16"/>
                <w:szCs w:val="18"/>
              </w:rPr>
              <w:t xml:space="preserve"> where a band of nutrient criteria (instream FMU or estuary) exist, it is unlikely that a management objective would be based on the upper or lower bound of the range, as this would potentially be overly permissive and stringent, respectively, for achieving the trophic state objectives sought. For simplicity, the worked example uses the upper bound of the concentration range, but this is not the recommended approach taken (ie, management objective set at upper bound).</w:t>
            </w:r>
          </w:p>
        </w:tc>
      </w:tr>
      <w:tr w:rsidR="00552375" w:rsidRPr="006B77BB" w14:paraId="39C64586" w14:textId="77777777" w:rsidTr="00D77933">
        <w:tc>
          <w:tcPr>
            <w:tcW w:w="8505" w:type="dxa"/>
            <w:shd w:val="clear" w:color="auto" w:fill="D2DDE2" w:themeFill="accent3"/>
          </w:tcPr>
          <w:p w14:paraId="50432234" w14:textId="2E737FE8" w:rsidR="00552375" w:rsidRDefault="00552375" w:rsidP="00AC3D1A">
            <w:pPr>
              <w:pStyle w:val="Blueboxtext"/>
              <w:spacing w:before="60" w:after="180"/>
              <w:rPr>
                <w:lang w:val="en-AU"/>
              </w:rPr>
            </w:pPr>
            <w:r>
              <w:rPr>
                <w:lang w:val="en-AU"/>
              </w:rPr>
              <w:t xml:space="preserve">For the two </w:t>
            </w:r>
            <w:r w:rsidRPr="00C55927">
              <w:rPr>
                <w:i/>
                <w:lang w:val="en-AU"/>
              </w:rPr>
              <w:t>dilution factor</w:t>
            </w:r>
            <w:r>
              <w:rPr>
                <w:lang w:val="en-AU"/>
              </w:rPr>
              <w:t xml:space="preserve"> scenarios (2-fold and 6-fold), estimated </w:t>
            </w:r>
            <w:r w:rsidRPr="001E6DDD">
              <w:rPr>
                <w:i/>
                <w:lang w:val="en-AU"/>
              </w:rPr>
              <w:t>potential</w:t>
            </w:r>
            <w:r w:rsidRPr="000C1A0B">
              <w:rPr>
                <w:i/>
                <w:lang w:val="en-AU"/>
              </w:rPr>
              <w:t xml:space="preserve"> </w:t>
            </w:r>
            <w:r w:rsidRPr="00ED7779">
              <w:rPr>
                <w:lang w:val="en-AU"/>
              </w:rPr>
              <w:t>TN</w:t>
            </w:r>
            <w:r w:rsidRPr="00ED7779">
              <w:rPr>
                <w:vertAlign w:val="subscript"/>
                <w:lang w:val="en-AU"/>
              </w:rPr>
              <w:t>est.</w:t>
            </w:r>
            <w:r>
              <w:rPr>
                <w:vertAlign w:val="subscript"/>
                <w:lang w:val="en-AU"/>
              </w:rPr>
              <w:t xml:space="preserve"> </w:t>
            </w:r>
            <w:r>
              <w:rPr>
                <w:lang w:val="en-AU"/>
              </w:rPr>
              <w:t>(ie, [Y]) concentrations were calculated for the three instream criteria defining the upper limits of the A, B and C trophic-state bands (100, 500 and 1150 mg/m</w:t>
            </w:r>
            <w:r w:rsidRPr="00645326">
              <w:rPr>
                <w:vertAlign w:val="superscript"/>
                <w:lang w:val="en-AU"/>
              </w:rPr>
              <w:t>3</w:t>
            </w:r>
            <w:r>
              <w:rPr>
                <w:lang w:val="en-AU"/>
              </w:rPr>
              <w:t xml:space="preserve"> of TN, respectively) (</w:t>
            </w:r>
            <w:r w:rsidR="00AB5204">
              <w:rPr>
                <w:lang w:val="en-AU"/>
              </w:rPr>
              <w:t>table 12</w:t>
            </w:r>
            <w:r>
              <w:rPr>
                <w:lang w:val="en-AU"/>
              </w:rPr>
              <w:t>). In addition, the rearranged Eq. 2 was used to back-calculate the estimated maximum instream criteria for the FMU (ie, [X]) for the values that define the upper limits of the A, B and C estuarine trophic-state bands (ie, 55, 180 and 350 mg/m</w:t>
            </w:r>
            <w:r w:rsidRPr="00645326">
              <w:rPr>
                <w:vertAlign w:val="superscript"/>
                <w:lang w:val="en-AU"/>
              </w:rPr>
              <w:t>3</w:t>
            </w:r>
            <w:r>
              <w:rPr>
                <w:lang w:val="en-AU"/>
              </w:rPr>
              <w:t xml:space="preserve"> of TN).</w:t>
            </w:r>
          </w:p>
          <w:p w14:paraId="3A840B51" w14:textId="3B32575C" w:rsidR="00552375" w:rsidRPr="0095355D" w:rsidRDefault="00552375" w:rsidP="00AC3D1A">
            <w:pPr>
              <w:pStyle w:val="BodyText"/>
              <w:tabs>
                <w:tab w:val="right" w:pos="7254"/>
              </w:tabs>
              <w:spacing w:before="240"/>
              <w:ind w:left="1134"/>
              <w:rPr>
                <w:color w:val="1C556C"/>
                <w:sz w:val="20"/>
              </w:rPr>
            </w:pPr>
            <m:oMath>
              <m:r>
                <w:rPr>
                  <w:rFonts w:ascii="Cambria Math" w:hAnsi="Cambria Math" w:cs="Cambria Math"/>
                  <w:color w:val="1C556C" w:themeColor="accent1"/>
                  <w:lang w:val="en-AU"/>
                </w:rPr>
                <m:t>T</m:t>
              </m:r>
              <m:sSub>
                <m:sSubPr>
                  <m:ctrlPr>
                    <w:rPr>
                      <w:rFonts w:ascii="Cambria Math" w:hAnsi="Cambria Math" w:cs="Cambria Math"/>
                      <w:color w:val="1C556C" w:themeColor="accent1"/>
                      <w:lang w:val="en-AU"/>
                    </w:rPr>
                  </m:ctrlPr>
                </m:sSubPr>
                <m:e>
                  <m:r>
                    <w:rPr>
                      <w:rFonts w:ascii="Cambria Math" w:hAnsi="Cambria Math" w:cs="Cambria Math"/>
                      <w:color w:val="1C556C" w:themeColor="accent1"/>
                      <w:lang w:val="en-AU"/>
                    </w:rPr>
                    <m:t>N</m:t>
                  </m:r>
                </m:e>
                <m:sub>
                  <m:r>
                    <w:rPr>
                      <w:rFonts w:ascii="Cambria Math" w:hAnsi="Cambria Math" w:cs="Cambria Math"/>
                      <w:color w:val="1C556C" w:themeColor="accent1"/>
                      <w:lang w:val="en-AU"/>
                    </w:rPr>
                    <m:t>FMU</m:t>
                  </m:r>
                </m:sub>
              </m:sSub>
              <m:r>
                <m:rPr>
                  <m:sty m:val="p"/>
                </m:rPr>
                <w:rPr>
                  <w:rFonts w:ascii="Cambria Math" w:hAnsi="Cambria Math" w:cs="Cambria Math"/>
                  <w:color w:val="1C556C" w:themeColor="accent1"/>
                  <w:lang w:val="en-AU"/>
                </w:rPr>
                <m:t>=</m:t>
              </m:r>
              <m:r>
                <w:rPr>
                  <w:rFonts w:ascii="Cambria Math" w:hAnsi="Cambria Math" w:cs="Cambria Math"/>
                  <w:color w:val="1C556C" w:themeColor="accent1"/>
                  <w:lang w:val="en-AU"/>
                </w:rPr>
                <m:t>potential TN(est)</m:t>
              </m:r>
              <m:r>
                <m:rPr>
                  <m:sty m:val="p"/>
                </m:rPr>
                <w:rPr>
                  <w:rFonts w:ascii="Cambria Math" w:hAnsi="Cambria Math" w:cs="Cambria Math"/>
                  <w:color w:val="1C556C" w:themeColor="accent1"/>
                  <w:lang w:val="en-AU"/>
                </w:rPr>
                <m:t>*</m:t>
              </m:r>
              <m:r>
                <w:rPr>
                  <w:rFonts w:ascii="Cambria Math" w:hAnsi="Cambria Math" w:cs="Cambria Math"/>
                  <w:color w:val="1C556C" w:themeColor="accent1"/>
                  <w:lang w:val="en-AU"/>
                </w:rPr>
                <m:t>D</m:t>
              </m:r>
              <m:r>
                <m:rPr>
                  <m:sty m:val="p"/>
                </m:rPr>
                <w:rPr>
                  <w:rFonts w:ascii="Cambria Math" w:hAnsi="Cambria Math" w:cs="Cambria Math"/>
                  <w:color w:val="1C556C" w:themeColor="accent1"/>
                  <w:lang w:val="en-AU"/>
                </w:rPr>
                <m:t>-</m:t>
              </m:r>
              <m:sSub>
                <m:sSubPr>
                  <m:ctrlPr>
                    <w:rPr>
                      <w:rFonts w:ascii="Cambria Math" w:hAnsi="Cambria Math" w:cs="Cambria Math"/>
                      <w:color w:val="1C556C" w:themeColor="accent1"/>
                      <w:lang w:val="en-AU"/>
                    </w:rPr>
                  </m:ctrlPr>
                </m:sSubPr>
                <m:e>
                  <m:r>
                    <w:rPr>
                      <w:rFonts w:ascii="Cambria Math" w:hAnsi="Cambria Math" w:cs="Cambria Math"/>
                      <w:color w:val="1C556C" w:themeColor="accent1"/>
                      <w:lang w:val="en-AU"/>
                    </w:rPr>
                    <m:t>N</m:t>
                  </m:r>
                </m:e>
                <m:sub>
                  <m:r>
                    <w:rPr>
                      <w:rFonts w:ascii="Cambria Math" w:hAnsi="Cambria Math" w:cs="Cambria Math"/>
                      <w:color w:val="1C556C" w:themeColor="accent1"/>
                      <w:lang w:val="en-AU"/>
                    </w:rPr>
                    <m:t>O</m:t>
                  </m:r>
                </m:sub>
              </m:sSub>
              <m:r>
                <m:rPr>
                  <m:sty m:val="p"/>
                </m:rPr>
                <w:rPr>
                  <w:rFonts w:ascii="Cambria Math" w:hAnsi="Cambria Math" w:cs="Cambria Math"/>
                  <w:color w:val="1C556C" w:themeColor="accent1"/>
                  <w:lang w:val="en-AU"/>
                </w:rPr>
                <m:t>(</m:t>
              </m:r>
              <m:r>
                <w:rPr>
                  <w:rFonts w:ascii="Cambria Math" w:hAnsi="Cambria Math" w:cs="Cambria Math"/>
                  <w:color w:val="1C556C" w:themeColor="accent1"/>
                  <w:lang w:val="en-AU"/>
                </w:rPr>
                <m:t>D</m:t>
              </m:r>
              <m:r>
                <m:rPr>
                  <m:sty m:val="p"/>
                </m:rPr>
                <w:rPr>
                  <w:rFonts w:ascii="Cambria Math" w:hAnsi="Cambria Math" w:cs="Cambria Math"/>
                  <w:color w:val="1C556C" w:themeColor="accent1"/>
                  <w:lang w:val="en-AU"/>
                </w:rPr>
                <m:t xml:space="preserve">-1) </m:t>
              </m:r>
            </m:oMath>
            <w:r>
              <w:rPr>
                <w:color w:val="1C556C" w:themeColor="accent1"/>
                <w:lang w:val="en-AU"/>
              </w:rPr>
              <w:tab/>
            </w:r>
            <w:r w:rsidRPr="00FC79B5">
              <w:rPr>
                <w:color w:val="1C556C" w:themeColor="accent1"/>
                <w:sz w:val="20"/>
                <w:szCs w:val="20"/>
                <w:lang w:val="en-AU"/>
              </w:rPr>
              <w:t>Eq. 2</w:t>
            </w:r>
            <w:r w:rsidR="00DD47E9" w:rsidRPr="00FC79B5">
              <w:rPr>
                <w:color w:val="1C556C" w:themeColor="accent1"/>
                <w:sz w:val="20"/>
                <w:szCs w:val="20"/>
                <w:lang w:val="en-AU"/>
              </w:rPr>
              <w:t xml:space="preserve"> </w:t>
            </w:r>
          </w:p>
          <w:p w14:paraId="76B307E0" w14:textId="59443745" w:rsidR="00552375" w:rsidRDefault="00552375" w:rsidP="00C17C74">
            <w:pPr>
              <w:pStyle w:val="Tableheading"/>
              <w:ind w:left="1418" w:right="284"/>
            </w:pPr>
            <w:bookmarkStart w:id="143" w:name="_Toc520810484"/>
            <w:bookmarkStart w:id="144" w:name="_Toc520810688"/>
            <w:bookmarkStart w:id="145" w:name="_Toc520898761"/>
            <w:bookmarkStart w:id="146" w:name="_Toc73713308"/>
            <w:r w:rsidRPr="00BB51EB">
              <w:t xml:space="preserve">Table </w:t>
            </w:r>
            <w:fldSimple w:instr=" SEQ Table \* ARABIC ">
              <w:r w:rsidR="001A7243">
                <w:rPr>
                  <w:noProof/>
                </w:rPr>
                <w:t>12</w:t>
              </w:r>
            </w:fldSimple>
            <w:r w:rsidRPr="00BB51EB">
              <w:t xml:space="preserve">: </w:t>
            </w:r>
            <w:r>
              <w:tab/>
            </w:r>
            <w:r w:rsidRPr="00BE426F">
              <w:t>Predicted estuarine TN concentrations</w:t>
            </w:r>
            <w:r>
              <w:t xml:space="preserve"> (</w:t>
            </w:r>
            <w:r w:rsidRPr="00146332">
              <w:rPr>
                <w:i/>
              </w:rPr>
              <w:t>potential</w:t>
            </w:r>
            <w:r>
              <w:rPr>
                <w:i/>
                <w:vertAlign w:val="subscript"/>
              </w:rPr>
              <w:t xml:space="preserve"> </w:t>
            </w:r>
            <w:r>
              <w:t>TN</w:t>
            </w:r>
            <w:r>
              <w:rPr>
                <w:vertAlign w:val="subscript"/>
              </w:rPr>
              <w:t>est</w:t>
            </w:r>
            <w:r>
              <w:t>)</w:t>
            </w:r>
            <w:r w:rsidRPr="00BE426F">
              <w:t xml:space="preserve"> using FMU instream criteria for two dilution factors (</w:t>
            </w:r>
            <w:r w:rsidRPr="007C1D00">
              <w:rPr>
                <w:i/>
              </w:rPr>
              <w:t>D</w:t>
            </w:r>
            <w:r>
              <w:t>=2 and 6</w:t>
            </w:r>
            <w:r w:rsidRPr="00BE426F">
              <w:t>), and back-calculated FMU criteria that</w:t>
            </w:r>
            <w:r w:rsidR="009F1B4E">
              <w:t> </w:t>
            </w:r>
            <w:r w:rsidRPr="00BE426F">
              <w:t>correspond to the upper limits of the A</w:t>
            </w:r>
            <w:r>
              <w:t xml:space="preserve">, B and </w:t>
            </w:r>
            <w:r w:rsidRPr="00BE426F">
              <w:t xml:space="preserve">C estuarine </w:t>
            </w:r>
            <w:r>
              <w:t xml:space="preserve">band </w:t>
            </w:r>
            <w:r w:rsidR="009F1B4E">
              <w:br/>
            </w:r>
            <w:r w:rsidRPr="00BE426F">
              <w:t xml:space="preserve">trophic </w:t>
            </w:r>
            <w:r>
              <w:t>states</w:t>
            </w:r>
            <w:bookmarkEnd w:id="143"/>
            <w:bookmarkEnd w:id="144"/>
            <w:bookmarkEnd w:id="145"/>
            <w:bookmarkEnd w:id="146"/>
          </w:p>
          <w:tbl>
            <w:tblPr>
              <w:tblStyle w:val="TableGrid"/>
              <w:tblW w:w="7711" w:type="dxa"/>
              <w:tblInd w:w="284"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right w:w="57" w:type="dxa"/>
              </w:tblCellMar>
              <w:tblLook w:val="04A0" w:firstRow="1" w:lastRow="0" w:firstColumn="1" w:lastColumn="0" w:noHBand="0" w:noVBand="1"/>
            </w:tblPr>
            <w:tblGrid>
              <w:gridCol w:w="1024"/>
              <w:gridCol w:w="1273"/>
              <w:gridCol w:w="1134"/>
              <w:gridCol w:w="992"/>
              <w:gridCol w:w="1180"/>
              <w:gridCol w:w="946"/>
              <w:gridCol w:w="1162"/>
            </w:tblGrid>
            <w:tr w:rsidR="00552375" w14:paraId="1D98DDD5" w14:textId="77777777" w:rsidTr="00EE3A6D">
              <w:tc>
                <w:tcPr>
                  <w:tcW w:w="1024" w:type="dxa"/>
                  <w:shd w:val="clear" w:color="auto" w:fill="1C556C" w:themeFill="accent1"/>
                </w:tcPr>
                <w:p w14:paraId="4D421A54" w14:textId="77777777" w:rsidR="00552375" w:rsidRPr="00456B85" w:rsidRDefault="00552375" w:rsidP="00456B85">
                  <w:pPr>
                    <w:pStyle w:val="TableTextbold"/>
                  </w:pPr>
                  <w:r w:rsidRPr="00456B85">
                    <w:rPr>
                      <w:color w:val="FFFFFF" w:themeColor="background1"/>
                    </w:rPr>
                    <w:t>Dilution factor (D)</w:t>
                  </w:r>
                </w:p>
              </w:tc>
              <w:tc>
                <w:tcPr>
                  <w:tcW w:w="2407" w:type="dxa"/>
                  <w:gridSpan w:val="2"/>
                  <w:shd w:val="clear" w:color="auto" w:fill="1C556C" w:themeFill="accent1"/>
                </w:tcPr>
                <w:p w14:paraId="081C6E4D" w14:textId="0CEF4F87" w:rsidR="00552375" w:rsidRPr="0095355D" w:rsidRDefault="00552375" w:rsidP="00456B85">
                  <w:pPr>
                    <w:pStyle w:val="TableTextbold"/>
                    <w:jc w:val="center"/>
                    <w:rPr>
                      <w:color w:val="FFFFFF" w:themeColor="background1"/>
                    </w:rPr>
                  </w:pPr>
                  <w:r>
                    <w:rPr>
                      <w:color w:val="FFFFFF" w:themeColor="background1"/>
                    </w:rPr>
                    <w:t>FMU Band A100 mg/m</w:t>
                  </w:r>
                  <w:r w:rsidRPr="00BF3359">
                    <w:rPr>
                      <w:color w:val="FFFFFF" w:themeColor="background1"/>
                      <w:vertAlign w:val="superscript"/>
                    </w:rPr>
                    <w:t>3</w:t>
                  </w:r>
                  <w:r>
                    <w:rPr>
                      <w:color w:val="FFFFFF" w:themeColor="background1"/>
                    </w:rPr>
                    <w:t xml:space="preserve"> TN </w:t>
                  </w:r>
                  <w:r w:rsidRPr="00ED7779">
                    <w:rPr>
                      <w:color w:val="FFFFFF" w:themeColor="background1"/>
                      <w:vertAlign w:val="superscript"/>
                    </w:rPr>
                    <w:t>a</w:t>
                  </w:r>
                  <w:r w:rsidR="00456B85">
                    <w:rPr>
                      <w:color w:val="FFFFFF" w:themeColor="background1"/>
                      <w:vertAlign w:val="superscript"/>
                    </w:rPr>
                    <w:t xml:space="preserve"> </w:t>
                  </w:r>
                  <w:r>
                    <w:rPr>
                      <w:color w:val="FFFFFF" w:themeColor="background1"/>
                    </w:rPr>
                    <w:t xml:space="preserve">(upper limit) </w:t>
                  </w:r>
                  <w:r w:rsidRPr="00ED7779">
                    <w:rPr>
                      <w:color w:val="FFFFFF" w:themeColor="background1"/>
                      <w:vertAlign w:val="superscript"/>
                    </w:rPr>
                    <w:t>b</w:t>
                  </w:r>
                </w:p>
              </w:tc>
              <w:tc>
                <w:tcPr>
                  <w:tcW w:w="2172" w:type="dxa"/>
                  <w:gridSpan w:val="2"/>
                  <w:shd w:val="clear" w:color="auto" w:fill="1C556C" w:themeFill="accent1"/>
                </w:tcPr>
                <w:p w14:paraId="135BD0F9" w14:textId="7EC7EC01" w:rsidR="00552375" w:rsidRPr="0095355D" w:rsidRDefault="00552375" w:rsidP="00456B85">
                  <w:pPr>
                    <w:pStyle w:val="TableTextbold"/>
                    <w:jc w:val="center"/>
                    <w:rPr>
                      <w:color w:val="FFFFFF" w:themeColor="background1"/>
                    </w:rPr>
                  </w:pPr>
                  <w:r>
                    <w:rPr>
                      <w:color w:val="FFFFFF" w:themeColor="background1"/>
                    </w:rPr>
                    <w:t>FMU Band B</w:t>
                  </w:r>
                  <w:r w:rsidR="00456B85">
                    <w:rPr>
                      <w:color w:val="FFFFFF" w:themeColor="background1"/>
                    </w:rPr>
                    <w:t xml:space="preserve"> </w:t>
                  </w:r>
                  <w:r>
                    <w:rPr>
                      <w:color w:val="FFFFFF" w:themeColor="background1"/>
                    </w:rPr>
                    <w:t>500 mg/m</w:t>
                  </w:r>
                  <w:r w:rsidRPr="00BF3359">
                    <w:rPr>
                      <w:color w:val="FFFFFF" w:themeColor="background1"/>
                      <w:vertAlign w:val="superscript"/>
                    </w:rPr>
                    <w:t>3</w:t>
                  </w:r>
                  <w:r>
                    <w:rPr>
                      <w:color w:val="FFFFFF" w:themeColor="background1"/>
                    </w:rPr>
                    <w:t xml:space="preserve"> TN </w:t>
                  </w:r>
                  <w:r w:rsidRPr="00ED7779">
                    <w:rPr>
                      <w:color w:val="FFFFFF" w:themeColor="background1"/>
                      <w:vertAlign w:val="superscript"/>
                    </w:rPr>
                    <w:t>a</w:t>
                  </w:r>
                  <w:r w:rsidR="00456B85">
                    <w:rPr>
                      <w:color w:val="FFFFFF" w:themeColor="background1"/>
                      <w:vertAlign w:val="superscript"/>
                    </w:rPr>
                    <w:t xml:space="preserve"> </w:t>
                  </w:r>
                  <w:r>
                    <w:rPr>
                      <w:color w:val="FFFFFF" w:themeColor="background1"/>
                    </w:rPr>
                    <w:t xml:space="preserve">(upper limit) </w:t>
                  </w:r>
                  <w:r w:rsidRPr="00ED7779">
                    <w:rPr>
                      <w:color w:val="FFFFFF" w:themeColor="background1"/>
                      <w:vertAlign w:val="superscript"/>
                    </w:rPr>
                    <w:t>b</w:t>
                  </w:r>
                </w:p>
              </w:tc>
              <w:tc>
                <w:tcPr>
                  <w:tcW w:w="2108" w:type="dxa"/>
                  <w:gridSpan w:val="2"/>
                  <w:shd w:val="clear" w:color="auto" w:fill="1C556C" w:themeFill="accent1"/>
                </w:tcPr>
                <w:p w14:paraId="2A55187B" w14:textId="4EFA4C2A" w:rsidR="00552375" w:rsidRPr="0095355D" w:rsidRDefault="00552375" w:rsidP="00456B85">
                  <w:pPr>
                    <w:pStyle w:val="TableTextbold"/>
                    <w:jc w:val="center"/>
                    <w:rPr>
                      <w:color w:val="FFFFFF" w:themeColor="background1"/>
                    </w:rPr>
                  </w:pPr>
                  <w:r>
                    <w:rPr>
                      <w:color w:val="FFFFFF" w:themeColor="background1"/>
                    </w:rPr>
                    <w:t>FMU Band C</w:t>
                  </w:r>
                  <w:r w:rsidR="00456B85">
                    <w:rPr>
                      <w:color w:val="FFFFFF" w:themeColor="background1"/>
                    </w:rPr>
                    <w:t xml:space="preserve"> </w:t>
                  </w:r>
                  <w:r>
                    <w:rPr>
                      <w:color w:val="FFFFFF" w:themeColor="background1"/>
                    </w:rPr>
                    <w:t>1150 mg/m</w:t>
                  </w:r>
                  <w:r w:rsidRPr="00BF3359">
                    <w:rPr>
                      <w:color w:val="FFFFFF" w:themeColor="background1"/>
                      <w:vertAlign w:val="superscript"/>
                    </w:rPr>
                    <w:t>3</w:t>
                  </w:r>
                  <w:r>
                    <w:rPr>
                      <w:color w:val="FFFFFF" w:themeColor="background1"/>
                    </w:rPr>
                    <w:t xml:space="preserve"> TN </w:t>
                  </w:r>
                  <w:r w:rsidRPr="00ED7779">
                    <w:rPr>
                      <w:color w:val="FFFFFF" w:themeColor="background1"/>
                      <w:vertAlign w:val="superscript"/>
                    </w:rPr>
                    <w:t>a</w:t>
                  </w:r>
                  <w:r w:rsidR="00456B85">
                    <w:rPr>
                      <w:color w:val="FFFFFF" w:themeColor="background1"/>
                      <w:vertAlign w:val="superscript"/>
                    </w:rPr>
                    <w:t xml:space="preserve"> </w:t>
                  </w:r>
                  <w:r>
                    <w:rPr>
                      <w:color w:val="FFFFFF" w:themeColor="background1"/>
                    </w:rPr>
                    <w:t xml:space="preserve">(upper limit) </w:t>
                  </w:r>
                  <w:r w:rsidRPr="00ED7779">
                    <w:rPr>
                      <w:color w:val="FFFFFF" w:themeColor="background1"/>
                      <w:vertAlign w:val="superscript"/>
                    </w:rPr>
                    <w:t>b</w:t>
                  </w:r>
                </w:p>
              </w:tc>
            </w:tr>
            <w:tr w:rsidR="00552375" w14:paraId="7C478C4D" w14:textId="77777777" w:rsidTr="00EE3A6D">
              <w:tc>
                <w:tcPr>
                  <w:tcW w:w="1024" w:type="dxa"/>
                </w:tcPr>
                <w:p w14:paraId="0C83023C" w14:textId="77777777" w:rsidR="00552375" w:rsidRPr="005E77A5" w:rsidRDefault="00552375" w:rsidP="00EE3A6D">
                  <w:pPr>
                    <w:pStyle w:val="TableText"/>
                  </w:pPr>
                </w:p>
              </w:tc>
              <w:tc>
                <w:tcPr>
                  <w:tcW w:w="1273" w:type="dxa"/>
                </w:tcPr>
                <w:p w14:paraId="18F960B6" w14:textId="77777777" w:rsidR="00552375" w:rsidRPr="005E77A5" w:rsidRDefault="00552375" w:rsidP="00EE3A6D">
                  <w:pPr>
                    <w:pStyle w:val="TableText"/>
                  </w:pPr>
                  <w:r w:rsidRPr="00146332">
                    <w:rPr>
                      <w:i/>
                      <w:sz w:val="16"/>
                      <w:szCs w:val="16"/>
                    </w:rPr>
                    <w:t>Potential</w:t>
                  </w:r>
                  <w:r w:rsidRPr="00BA207C">
                    <w:rPr>
                      <w:sz w:val="16"/>
                      <w:szCs w:val="16"/>
                    </w:rPr>
                    <w:t xml:space="preserve"> TN estuary (mg/m</w:t>
                  </w:r>
                  <w:r w:rsidRPr="00BA207C">
                    <w:rPr>
                      <w:sz w:val="16"/>
                      <w:szCs w:val="16"/>
                      <w:vertAlign w:val="superscript"/>
                    </w:rPr>
                    <w:t>3</w:t>
                  </w:r>
                  <w:r w:rsidRPr="00BA207C">
                    <w:rPr>
                      <w:sz w:val="16"/>
                      <w:szCs w:val="16"/>
                    </w:rPr>
                    <w:t>)</w:t>
                  </w:r>
                </w:p>
              </w:tc>
              <w:tc>
                <w:tcPr>
                  <w:tcW w:w="1134" w:type="dxa"/>
                </w:tcPr>
                <w:p w14:paraId="31FFE056" w14:textId="31AEFD85" w:rsidR="00552375" w:rsidRPr="005E77A5" w:rsidRDefault="00552375" w:rsidP="00EE3A6D">
                  <w:pPr>
                    <w:pStyle w:val="TableText"/>
                  </w:pPr>
                  <w:r>
                    <w:rPr>
                      <w:sz w:val="16"/>
                      <w:szCs w:val="16"/>
                    </w:rPr>
                    <w:t>FMU criteria back calc from estuary TN of 55</w:t>
                  </w:r>
                  <w:r w:rsidR="00EE3A6D">
                    <w:rPr>
                      <w:sz w:val="16"/>
                      <w:szCs w:val="16"/>
                    </w:rPr>
                    <w:t> </w:t>
                  </w:r>
                  <w:r>
                    <w:rPr>
                      <w:sz w:val="16"/>
                      <w:szCs w:val="16"/>
                    </w:rPr>
                    <w:t>mg/m</w:t>
                  </w:r>
                  <w:r w:rsidRPr="000E09FA">
                    <w:rPr>
                      <w:sz w:val="16"/>
                      <w:szCs w:val="16"/>
                      <w:vertAlign w:val="superscript"/>
                    </w:rPr>
                    <w:t>3</w:t>
                  </w:r>
                </w:p>
              </w:tc>
              <w:tc>
                <w:tcPr>
                  <w:tcW w:w="992" w:type="dxa"/>
                </w:tcPr>
                <w:p w14:paraId="404E2240" w14:textId="77777777" w:rsidR="00552375" w:rsidRPr="005E77A5" w:rsidRDefault="00552375" w:rsidP="00EE3A6D">
                  <w:pPr>
                    <w:pStyle w:val="TableText"/>
                  </w:pPr>
                  <w:r w:rsidRPr="00146332">
                    <w:rPr>
                      <w:i/>
                      <w:sz w:val="16"/>
                      <w:szCs w:val="16"/>
                    </w:rPr>
                    <w:t>Potential</w:t>
                  </w:r>
                  <w:r w:rsidRPr="00BA207C">
                    <w:rPr>
                      <w:sz w:val="16"/>
                      <w:szCs w:val="16"/>
                    </w:rPr>
                    <w:t xml:space="preserve"> TN estuary (mg/m</w:t>
                  </w:r>
                  <w:r w:rsidRPr="00BA207C">
                    <w:rPr>
                      <w:sz w:val="16"/>
                      <w:szCs w:val="16"/>
                      <w:vertAlign w:val="superscript"/>
                    </w:rPr>
                    <w:t>3</w:t>
                  </w:r>
                  <w:r w:rsidRPr="00BA207C">
                    <w:rPr>
                      <w:sz w:val="16"/>
                      <w:szCs w:val="16"/>
                    </w:rPr>
                    <w:t>)</w:t>
                  </w:r>
                </w:p>
              </w:tc>
              <w:tc>
                <w:tcPr>
                  <w:tcW w:w="1180" w:type="dxa"/>
                </w:tcPr>
                <w:p w14:paraId="1084D761" w14:textId="469D4273" w:rsidR="00552375" w:rsidRPr="005E77A5" w:rsidRDefault="00552375" w:rsidP="00EE3A6D">
                  <w:pPr>
                    <w:pStyle w:val="TableText"/>
                  </w:pPr>
                  <w:r>
                    <w:rPr>
                      <w:sz w:val="16"/>
                      <w:szCs w:val="16"/>
                    </w:rPr>
                    <w:t>FMU criteria back calc from estuary TN of 180</w:t>
                  </w:r>
                  <w:r w:rsidR="00EE3A6D">
                    <w:rPr>
                      <w:sz w:val="16"/>
                      <w:szCs w:val="16"/>
                    </w:rPr>
                    <w:t> </w:t>
                  </w:r>
                  <w:r>
                    <w:rPr>
                      <w:sz w:val="16"/>
                      <w:szCs w:val="16"/>
                    </w:rPr>
                    <w:t>mg/m</w:t>
                  </w:r>
                  <w:r w:rsidRPr="000E09FA">
                    <w:rPr>
                      <w:sz w:val="16"/>
                      <w:szCs w:val="16"/>
                      <w:vertAlign w:val="superscript"/>
                    </w:rPr>
                    <w:t>3</w:t>
                  </w:r>
                </w:p>
              </w:tc>
              <w:tc>
                <w:tcPr>
                  <w:tcW w:w="946" w:type="dxa"/>
                </w:tcPr>
                <w:p w14:paraId="53476DD1" w14:textId="77777777" w:rsidR="00552375" w:rsidRPr="005E77A5" w:rsidRDefault="00552375" w:rsidP="00EE3A6D">
                  <w:pPr>
                    <w:pStyle w:val="TableText"/>
                  </w:pPr>
                  <w:r w:rsidRPr="00146332">
                    <w:rPr>
                      <w:i/>
                      <w:sz w:val="16"/>
                      <w:szCs w:val="16"/>
                    </w:rPr>
                    <w:t>Potential</w:t>
                  </w:r>
                  <w:r w:rsidRPr="00BA207C">
                    <w:rPr>
                      <w:sz w:val="16"/>
                      <w:szCs w:val="16"/>
                    </w:rPr>
                    <w:t xml:space="preserve"> TN estuary (mg/m</w:t>
                  </w:r>
                  <w:r w:rsidRPr="00BA207C">
                    <w:rPr>
                      <w:sz w:val="16"/>
                      <w:szCs w:val="16"/>
                      <w:vertAlign w:val="superscript"/>
                    </w:rPr>
                    <w:t>3</w:t>
                  </w:r>
                  <w:r w:rsidRPr="00BA207C">
                    <w:rPr>
                      <w:sz w:val="16"/>
                      <w:szCs w:val="16"/>
                    </w:rPr>
                    <w:t>)</w:t>
                  </w:r>
                </w:p>
              </w:tc>
              <w:tc>
                <w:tcPr>
                  <w:tcW w:w="1162" w:type="dxa"/>
                </w:tcPr>
                <w:p w14:paraId="764CD300" w14:textId="77777777" w:rsidR="00552375" w:rsidRPr="005E77A5" w:rsidRDefault="00552375" w:rsidP="00EE3A6D">
                  <w:pPr>
                    <w:pStyle w:val="TableText"/>
                  </w:pPr>
                  <w:r>
                    <w:rPr>
                      <w:sz w:val="16"/>
                      <w:szCs w:val="16"/>
                    </w:rPr>
                    <w:t>FMU criteria back calc from estuary TN of 350 mg/m</w:t>
                  </w:r>
                  <w:r w:rsidRPr="000E09FA">
                    <w:rPr>
                      <w:sz w:val="16"/>
                      <w:szCs w:val="16"/>
                      <w:vertAlign w:val="superscript"/>
                    </w:rPr>
                    <w:t>3</w:t>
                  </w:r>
                </w:p>
              </w:tc>
            </w:tr>
            <w:tr w:rsidR="00552375" w14:paraId="33DFCD62" w14:textId="77777777" w:rsidTr="00EE3A6D">
              <w:tc>
                <w:tcPr>
                  <w:tcW w:w="1024" w:type="dxa"/>
                </w:tcPr>
                <w:p w14:paraId="5FDE55FD" w14:textId="77777777" w:rsidR="00552375" w:rsidRPr="005E77A5" w:rsidRDefault="00552375" w:rsidP="00EE3A6D">
                  <w:pPr>
                    <w:pStyle w:val="TableText"/>
                  </w:pPr>
                  <w:r>
                    <w:t>2</w:t>
                  </w:r>
                </w:p>
              </w:tc>
              <w:tc>
                <w:tcPr>
                  <w:tcW w:w="1273" w:type="dxa"/>
                </w:tcPr>
                <w:p w14:paraId="6F95BA07" w14:textId="77777777" w:rsidR="00552375" w:rsidRPr="005E77A5" w:rsidRDefault="00552375" w:rsidP="00EE3A6D">
                  <w:pPr>
                    <w:pStyle w:val="TableText"/>
                  </w:pPr>
                  <w:r>
                    <w:rPr>
                      <w:szCs w:val="18"/>
                    </w:rPr>
                    <w:t xml:space="preserve">60 </w:t>
                  </w:r>
                </w:p>
              </w:tc>
              <w:tc>
                <w:tcPr>
                  <w:tcW w:w="1134" w:type="dxa"/>
                </w:tcPr>
                <w:p w14:paraId="5E0E86B1" w14:textId="77777777" w:rsidR="00552375" w:rsidRPr="005E77A5" w:rsidRDefault="00552375" w:rsidP="00EE3A6D">
                  <w:pPr>
                    <w:pStyle w:val="TableText"/>
                  </w:pPr>
                  <w:r>
                    <w:rPr>
                      <w:szCs w:val="18"/>
                    </w:rPr>
                    <w:t>90</w:t>
                  </w:r>
                </w:p>
              </w:tc>
              <w:tc>
                <w:tcPr>
                  <w:tcW w:w="992" w:type="dxa"/>
                </w:tcPr>
                <w:p w14:paraId="6E5220B8" w14:textId="77777777" w:rsidR="00552375" w:rsidRPr="005E77A5" w:rsidRDefault="00552375" w:rsidP="00EE3A6D">
                  <w:pPr>
                    <w:pStyle w:val="TableText"/>
                  </w:pPr>
                  <w:r>
                    <w:rPr>
                      <w:szCs w:val="18"/>
                    </w:rPr>
                    <w:t>260</w:t>
                  </w:r>
                </w:p>
              </w:tc>
              <w:tc>
                <w:tcPr>
                  <w:tcW w:w="1180" w:type="dxa"/>
                </w:tcPr>
                <w:p w14:paraId="5FBE2CAD" w14:textId="77777777" w:rsidR="00552375" w:rsidRPr="005E77A5" w:rsidRDefault="00552375" w:rsidP="00EE3A6D">
                  <w:pPr>
                    <w:pStyle w:val="TableText"/>
                  </w:pPr>
                  <w:r>
                    <w:rPr>
                      <w:szCs w:val="18"/>
                    </w:rPr>
                    <w:t>340</w:t>
                  </w:r>
                </w:p>
              </w:tc>
              <w:tc>
                <w:tcPr>
                  <w:tcW w:w="946" w:type="dxa"/>
                </w:tcPr>
                <w:p w14:paraId="1DC4D02D" w14:textId="77777777" w:rsidR="00552375" w:rsidRPr="005E77A5" w:rsidRDefault="00552375" w:rsidP="00EE3A6D">
                  <w:pPr>
                    <w:pStyle w:val="TableText"/>
                  </w:pPr>
                  <w:r>
                    <w:rPr>
                      <w:szCs w:val="18"/>
                    </w:rPr>
                    <w:t>585</w:t>
                  </w:r>
                </w:p>
              </w:tc>
              <w:tc>
                <w:tcPr>
                  <w:tcW w:w="1162" w:type="dxa"/>
                </w:tcPr>
                <w:p w14:paraId="22731455" w14:textId="77777777" w:rsidR="00552375" w:rsidRPr="005E77A5" w:rsidRDefault="00552375" w:rsidP="00EE3A6D">
                  <w:pPr>
                    <w:pStyle w:val="TableText"/>
                  </w:pPr>
                  <w:r>
                    <w:rPr>
                      <w:szCs w:val="18"/>
                    </w:rPr>
                    <w:t>680</w:t>
                  </w:r>
                </w:p>
              </w:tc>
            </w:tr>
            <w:tr w:rsidR="00552375" w14:paraId="5D0078DE" w14:textId="77777777" w:rsidTr="00EE3A6D">
              <w:tc>
                <w:tcPr>
                  <w:tcW w:w="1024" w:type="dxa"/>
                </w:tcPr>
                <w:p w14:paraId="2BD6ED8A" w14:textId="77777777" w:rsidR="00552375" w:rsidRDefault="00552375" w:rsidP="00EE3A6D">
                  <w:pPr>
                    <w:pStyle w:val="TableText"/>
                  </w:pPr>
                  <w:r>
                    <w:t>6</w:t>
                  </w:r>
                </w:p>
              </w:tc>
              <w:tc>
                <w:tcPr>
                  <w:tcW w:w="1273" w:type="dxa"/>
                </w:tcPr>
                <w:p w14:paraId="6F637ECD" w14:textId="77777777" w:rsidR="00552375" w:rsidRDefault="00552375" w:rsidP="00EE3A6D">
                  <w:pPr>
                    <w:pStyle w:val="TableText"/>
                  </w:pPr>
                  <w:r>
                    <w:rPr>
                      <w:szCs w:val="18"/>
                    </w:rPr>
                    <w:t>35</w:t>
                  </w:r>
                </w:p>
              </w:tc>
              <w:tc>
                <w:tcPr>
                  <w:tcW w:w="1134" w:type="dxa"/>
                </w:tcPr>
                <w:p w14:paraId="57047D1A" w14:textId="77777777" w:rsidR="00552375" w:rsidRDefault="00552375" w:rsidP="00EE3A6D">
                  <w:pPr>
                    <w:pStyle w:val="TableText"/>
                  </w:pPr>
                  <w:r>
                    <w:rPr>
                      <w:szCs w:val="18"/>
                    </w:rPr>
                    <w:t>200</w:t>
                  </w:r>
                </w:p>
              </w:tc>
              <w:tc>
                <w:tcPr>
                  <w:tcW w:w="992" w:type="dxa"/>
                </w:tcPr>
                <w:p w14:paraId="62402762" w14:textId="77777777" w:rsidR="00552375" w:rsidRDefault="00552375" w:rsidP="00EE3A6D">
                  <w:pPr>
                    <w:pStyle w:val="TableText"/>
                  </w:pPr>
                  <w:r>
                    <w:rPr>
                      <w:szCs w:val="18"/>
                    </w:rPr>
                    <w:t>115</w:t>
                  </w:r>
                </w:p>
              </w:tc>
              <w:tc>
                <w:tcPr>
                  <w:tcW w:w="1180" w:type="dxa"/>
                </w:tcPr>
                <w:p w14:paraId="5233CBBE" w14:textId="77777777" w:rsidR="00552375" w:rsidRDefault="00552375" w:rsidP="00EE3A6D">
                  <w:pPr>
                    <w:pStyle w:val="TableText"/>
                    <w:rPr>
                      <w:lang w:val="en-US"/>
                    </w:rPr>
                  </w:pPr>
                  <w:r>
                    <w:rPr>
                      <w:szCs w:val="18"/>
                    </w:rPr>
                    <w:t>825</w:t>
                  </w:r>
                </w:p>
              </w:tc>
              <w:tc>
                <w:tcPr>
                  <w:tcW w:w="946" w:type="dxa"/>
                </w:tcPr>
                <w:p w14:paraId="281C1C81" w14:textId="77777777" w:rsidR="00552375" w:rsidRDefault="00552375" w:rsidP="00EE3A6D">
                  <w:pPr>
                    <w:pStyle w:val="TableText"/>
                    <w:rPr>
                      <w:lang w:val="en-US"/>
                    </w:rPr>
                  </w:pPr>
                  <w:r>
                    <w:rPr>
                      <w:szCs w:val="18"/>
                    </w:rPr>
                    <w:t>245</w:t>
                  </w:r>
                </w:p>
              </w:tc>
              <w:tc>
                <w:tcPr>
                  <w:tcW w:w="1162" w:type="dxa"/>
                </w:tcPr>
                <w:p w14:paraId="597E4A97" w14:textId="77777777" w:rsidR="00552375" w:rsidRDefault="00552375" w:rsidP="00EE3A6D">
                  <w:pPr>
                    <w:pStyle w:val="TableText"/>
                    <w:rPr>
                      <w:lang w:val="en-US"/>
                    </w:rPr>
                  </w:pPr>
                  <w:r>
                    <w:rPr>
                      <w:szCs w:val="18"/>
                    </w:rPr>
                    <w:t>1,675</w:t>
                  </w:r>
                </w:p>
              </w:tc>
            </w:tr>
          </w:tbl>
          <w:p w14:paraId="7629B9B5" w14:textId="77777777" w:rsidR="00552375" w:rsidRPr="00AE1183" w:rsidRDefault="00552375" w:rsidP="00552375">
            <w:pPr>
              <w:pStyle w:val="Casestudytext"/>
              <w:shd w:val="clear" w:color="auto" w:fill="EAF6FA"/>
              <w:ind w:left="0"/>
            </w:pPr>
          </w:p>
        </w:tc>
      </w:tr>
      <w:tr w:rsidR="00552375" w:rsidRPr="006B77BB" w14:paraId="0E6ACCA2" w14:textId="77777777" w:rsidTr="00D77933">
        <w:tc>
          <w:tcPr>
            <w:tcW w:w="8505" w:type="dxa"/>
            <w:shd w:val="clear" w:color="auto" w:fill="D2DDE2" w:themeFill="accent3"/>
          </w:tcPr>
          <w:p w14:paraId="0489E826" w14:textId="77777777" w:rsidR="00C2152B" w:rsidRDefault="00552375" w:rsidP="00C2152B">
            <w:pPr>
              <w:pStyle w:val="Blueboxtext"/>
              <w:spacing w:after="60" w:line="240" w:lineRule="atLeast"/>
              <w:rPr>
                <w:sz w:val="16"/>
                <w:szCs w:val="18"/>
              </w:rPr>
            </w:pPr>
            <w:r w:rsidRPr="00C2152B">
              <w:rPr>
                <w:sz w:val="16"/>
                <w:szCs w:val="18"/>
                <w:vertAlign w:val="superscript"/>
              </w:rPr>
              <w:t>a</w:t>
            </w:r>
            <w:r w:rsidRPr="00C2152B">
              <w:rPr>
                <w:sz w:val="16"/>
                <w:szCs w:val="18"/>
              </w:rPr>
              <w:t xml:space="preserve"> theoretical TN criteria shown, which would be converted from DIN-based instream criteria for the FMU. TN criteria are readily calculated by dividing by the measured DIN/TN ratio.</w:t>
            </w:r>
          </w:p>
          <w:p w14:paraId="0665E765" w14:textId="167410C8" w:rsidR="00552375" w:rsidRPr="00434A1B" w:rsidRDefault="00552375" w:rsidP="00EE3A6D">
            <w:pPr>
              <w:pStyle w:val="Blueboxtext"/>
              <w:spacing w:before="0" w:after="240" w:line="240" w:lineRule="atLeast"/>
            </w:pPr>
            <w:r w:rsidRPr="00C2152B">
              <w:rPr>
                <w:sz w:val="16"/>
                <w:szCs w:val="18"/>
                <w:vertAlign w:val="superscript"/>
              </w:rPr>
              <w:t xml:space="preserve">b </w:t>
            </w:r>
            <w:r w:rsidRPr="00C2152B">
              <w:rPr>
                <w:sz w:val="16"/>
                <w:szCs w:val="18"/>
              </w:rPr>
              <w:t xml:space="preserve">refer to footnote b in </w:t>
            </w:r>
            <w:r w:rsidR="001B3401">
              <w:rPr>
                <w:sz w:val="16"/>
                <w:szCs w:val="18"/>
              </w:rPr>
              <w:t>table 12</w:t>
            </w:r>
            <w:r w:rsidRPr="00C2152B">
              <w:rPr>
                <w:sz w:val="16"/>
                <w:szCs w:val="18"/>
              </w:rPr>
              <w:t>.</w:t>
            </w:r>
          </w:p>
        </w:tc>
      </w:tr>
    </w:tbl>
    <w:p w14:paraId="32392C82" w14:textId="04640DD6" w:rsidR="00552375" w:rsidRPr="002521D0" w:rsidRDefault="00552375" w:rsidP="00AC3D1A">
      <w:pPr>
        <w:pStyle w:val="BodyText"/>
        <w:spacing w:before="240"/>
        <w:rPr>
          <w:lang w:val="en-AU"/>
        </w:rPr>
      </w:pPr>
      <w:r>
        <w:rPr>
          <w:lang w:val="en-AU"/>
        </w:rPr>
        <w:t>The outcome of the analysis is more easily visualised in the two matrices shown in</w:t>
      </w:r>
      <w:r w:rsidR="008C2B0F">
        <w:rPr>
          <w:lang w:val="en-AU"/>
        </w:rPr>
        <w:t xml:space="preserve"> figure 14</w:t>
      </w:r>
      <w:r>
        <w:rPr>
          <w:lang w:val="en-AU"/>
        </w:rPr>
        <w:t xml:space="preserve">, with the </w:t>
      </w:r>
      <w:r w:rsidRPr="004A0AFF">
        <w:rPr>
          <w:i/>
          <w:lang w:val="en-AU"/>
        </w:rPr>
        <w:t>potential</w:t>
      </w:r>
      <w:r>
        <w:rPr>
          <w:lang w:val="en-AU"/>
        </w:rPr>
        <w:t xml:space="preserve"> TN</w:t>
      </w:r>
      <w:r>
        <w:rPr>
          <w:vertAlign w:val="subscript"/>
          <w:lang w:val="en-AU"/>
        </w:rPr>
        <w:t>est</w:t>
      </w:r>
      <w:r>
        <w:rPr>
          <w:lang w:val="en-AU"/>
        </w:rPr>
        <w:t xml:space="preserve"> values for the estuary (ie, [X] converted to [Y]).</w:t>
      </w:r>
      <w:r w:rsidR="00DD47E9">
        <w:rPr>
          <w:lang w:val="en-AU"/>
        </w:rPr>
        <w:t xml:space="preserve"> </w:t>
      </w:r>
      <w:r>
        <w:rPr>
          <w:lang w:val="en-AU"/>
        </w:rPr>
        <w:t>The trophic-state objective for the estuary is green if the FMU instream nitrogen criterion value is protective of the downstream receiving environment (ie, [Y]&lt;[Z]). If it is red then the FMU criteria in the upstream FMU is possibly too high (ie, [Y]</w:t>
      </w:r>
      <w:r>
        <w:rPr>
          <w:rFonts w:cs="Calibri"/>
          <w:lang w:val="en-AU"/>
        </w:rPr>
        <w:t>≥</w:t>
      </w:r>
      <w:r>
        <w:rPr>
          <w:lang w:val="en-AU"/>
        </w:rPr>
        <w:t xml:space="preserve">[Z]), and should be revised. Where [Y]&gt;[Z], options include revising the trophic-state </w:t>
      </w:r>
      <w:r w:rsidRPr="002521D0">
        <w:rPr>
          <w:lang w:val="en-AU"/>
        </w:rPr>
        <w:t>objective sought for the estuary (</w:t>
      </w:r>
      <w:r>
        <w:rPr>
          <w:lang w:val="en-AU"/>
        </w:rPr>
        <w:t>ie</w:t>
      </w:r>
      <w:r w:rsidRPr="002521D0">
        <w:rPr>
          <w:lang w:val="en-AU"/>
        </w:rPr>
        <w:t>, reduce from B- to C-band)</w:t>
      </w:r>
      <w:r w:rsidR="00310326">
        <w:rPr>
          <w:lang w:val="en-AU"/>
        </w:rPr>
        <w:t>,</w:t>
      </w:r>
      <w:r w:rsidRPr="002521D0">
        <w:rPr>
          <w:rStyle w:val="FootnoteReference"/>
          <w:lang w:val="en-AU"/>
        </w:rPr>
        <w:footnoteReference w:id="18"/>
      </w:r>
      <w:r w:rsidRPr="002521D0">
        <w:rPr>
          <w:lang w:val="en-AU"/>
        </w:rPr>
        <w:t xml:space="preserve"> or back-calculate the FMU instream N criterion value required to meet the trophic-state objective sought. </w:t>
      </w:r>
    </w:p>
    <w:p w14:paraId="566D3FE8" w14:textId="6BEA2586" w:rsidR="00552375" w:rsidRPr="002521D0" w:rsidRDefault="00552375" w:rsidP="00310326">
      <w:pPr>
        <w:pStyle w:val="BodyText"/>
        <w:rPr>
          <w:lang w:val="en-AU"/>
        </w:rPr>
      </w:pPr>
      <w:r w:rsidRPr="002521D0">
        <w:rPr>
          <w:lang w:val="en-AU"/>
        </w:rPr>
        <w:t>The left table (</w:t>
      </w:r>
      <w:r w:rsidRPr="002521D0">
        <w:rPr>
          <w:i/>
          <w:lang w:val="en-AU"/>
        </w:rPr>
        <w:t>D</w:t>
      </w:r>
      <w:r w:rsidRPr="002521D0">
        <w:rPr>
          <w:lang w:val="en-AU"/>
        </w:rPr>
        <w:t xml:space="preserve">=2, </w:t>
      </w:r>
      <w:r w:rsidR="008470AA">
        <w:rPr>
          <w:lang w:val="en-AU"/>
        </w:rPr>
        <w:t>figure 14</w:t>
      </w:r>
      <w:r w:rsidRPr="002521D0">
        <w:rPr>
          <w:lang w:val="en-AU"/>
        </w:rPr>
        <w:t>a) shows that a FMU instream criterion based on the upper limit of</w:t>
      </w:r>
      <w:r w:rsidR="00310326">
        <w:rPr>
          <w:lang w:val="en-AU"/>
        </w:rPr>
        <w:t> </w:t>
      </w:r>
      <w:r w:rsidRPr="002521D0">
        <w:rPr>
          <w:lang w:val="en-AU"/>
        </w:rPr>
        <w:t>A-band (100 mg/m</w:t>
      </w:r>
      <w:r w:rsidRPr="002521D0">
        <w:rPr>
          <w:vertAlign w:val="superscript"/>
          <w:lang w:val="en-AU"/>
        </w:rPr>
        <w:t>3</w:t>
      </w:r>
      <w:r w:rsidRPr="002521D0">
        <w:rPr>
          <w:lang w:val="en-AU"/>
        </w:rPr>
        <w:t xml:space="preserve"> TN) trophic-state objectives (</w:t>
      </w:r>
      <w:r>
        <w:rPr>
          <w:lang w:val="en-AU"/>
        </w:rPr>
        <w:t>eg,</w:t>
      </w:r>
      <w:r w:rsidRPr="002521D0">
        <w:rPr>
          <w:lang w:val="en-AU"/>
        </w:rPr>
        <w:t xml:space="preserve"> for periphyton) is predicted to result in B- and C-band trophic-states in the estuary. The B-band FMU instream nitrogen criterion, 500</w:t>
      </w:r>
      <w:r w:rsidR="00310326">
        <w:rPr>
          <w:lang w:val="en-AU"/>
        </w:rPr>
        <w:t> </w:t>
      </w:r>
      <w:r w:rsidRPr="002521D0">
        <w:rPr>
          <w:lang w:val="en-AU"/>
        </w:rPr>
        <w:t>mg/m</w:t>
      </w:r>
      <w:r w:rsidRPr="002521D0">
        <w:rPr>
          <w:vertAlign w:val="superscript"/>
          <w:lang w:val="en-AU"/>
        </w:rPr>
        <w:t>3</w:t>
      </w:r>
      <w:r w:rsidRPr="002521D0">
        <w:rPr>
          <w:lang w:val="en-AU"/>
        </w:rPr>
        <w:t xml:space="preserve"> TN (upper limit) only affords C-band estuarine trophic states. The upper-limit of C</w:t>
      </w:r>
      <w:r w:rsidR="00310326">
        <w:rPr>
          <w:lang w:val="en-AU"/>
        </w:rPr>
        <w:noBreakHyphen/>
      </w:r>
      <w:r w:rsidRPr="002521D0">
        <w:rPr>
          <w:lang w:val="en-AU"/>
        </w:rPr>
        <w:t>band FMU nitrogen criterion (1150 mg/m</w:t>
      </w:r>
      <w:r w:rsidRPr="002521D0">
        <w:rPr>
          <w:vertAlign w:val="superscript"/>
          <w:lang w:val="en-AU"/>
        </w:rPr>
        <w:t>3</w:t>
      </w:r>
      <w:r w:rsidRPr="002521D0">
        <w:rPr>
          <w:lang w:val="en-AU"/>
        </w:rPr>
        <w:t xml:space="preserve"> TN) is predicted to afford a D-band trophic state for the estuary. </w:t>
      </w:r>
    </w:p>
    <w:p w14:paraId="38398877" w14:textId="27C7AA9B" w:rsidR="00552375" w:rsidRPr="002521D0" w:rsidRDefault="00552375" w:rsidP="00310326">
      <w:pPr>
        <w:pStyle w:val="BodyText"/>
        <w:rPr>
          <w:lang w:val="en-AU"/>
        </w:rPr>
      </w:pPr>
      <w:r w:rsidRPr="002521D0">
        <w:rPr>
          <w:lang w:val="en-AU"/>
        </w:rPr>
        <w:t>If an A-band trophic-state objective is sought for the estuary, this would require FMU instream nitrogen criteria to be decreased</w:t>
      </w:r>
      <w:r w:rsidRPr="002521D0">
        <w:rPr>
          <w:rStyle w:val="FootnoteReference"/>
          <w:lang w:val="en-AU"/>
        </w:rPr>
        <w:footnoteReference w:id="19"/>
      </w:r>
      <w:r w:rsidRPr="002521D0">
        <w:rPr>
          <w:lang w:val="en-AU"/>
        </w:rPr>
        <w:t xml:space="preserve"> to a maximum TN value of 90 mg/m</w:t>
      </w:r>
      <w:r w:rsidRPr="002521D0">
        <w:rPr>
          <w:vertAlign w:val="superscript"/>
          <w:lang w:val="en-AU"/>
        </w:rPr>
        <w:t>3</w:t>
      </w:r>
      <w:r w:rsidRPr="002521D0">
        <w:rPr>
          <w:lang w:val="en-AU"/>
        </w:rPr>
        <w:t xml:space="preserve"> (</w:t>
      </w:r>
      <w:r w:rsidR="00070564">
        <w:rPr>
          <w:lang w:val="en-AU"/>
        </w:rPr>
        <w:t>table 12)</w:t>
      </w:r>
      <w:r w:rsidRPr="002521D0">
        <w:rPr>
          <w:lang w:val="en-AU"/>
        </w:rPr>
        <w:t>. If the trophic-state sought for the estuary corresponded to Band B, then the upper limit of instream N criterion for the FMU would need to be reduced from 500 mg/m</w:t>
      </w:r>
      <w:r w:rsidRPr="002521D0">
        <w:rPr>
          <w:vertAlign w:val="superscript"/>
          <w:lang w:val="en-AU"/>
        </w:rPr>
        <w:t>3</w:t>
      </w:r>
      <w:r w:rsidRPr="002521D0">
        <w:rPr>
          <w:lang w:val="en-AU"/>
        </w:rPr>
        <w:t xml:space="preserve"> down to 340 mg/m</w:t>
      </w:r>
      <w:r w:rsidRPr="002521D0">
        <w:rPr>
          <w:vertAlign w:val="superscript"/>
          <w:lang w:val="en-AU"/>
        </w:rPr>
        <w:t>3</w:t>
      </w:r>
      <w:r w:rsidRPr="002521D0">
        <w:rPr>
          <w:lang w:val="en-AU"/>
        </w:rPr>
        <w:t xml:space="preserve"> (approximately 30% reduction).</w:t>
      </w:r>
      <w:r w:rsidRPr="002521D0">
        <w:rPr>
          <w:rStyle w:val="FootnoteReference"/>
          <w:lang w:val="en-AU"/>
        </w:rPr>
        <w:footnoteReference w:id="20"/>
      </w:r>
      <w:r w:rsidRPr="002521D0">
        <w:rPr>
          <w:lang w:val="en-AU"/>
        </w:rPr>
        <w:t xml:space="preserve"> The FMU trophic-state objective band would be unchanged from this reduction (still B band).</w:t>
      </w:r>
      <w:r w:rsidR="00DD47E9">
        <w:rPr>
          <w:lang w:val="en-AU"/>
        </w:rPr>
        <w:t xml:space="preserve"> </w:t>
      </w:r>
    </w:p>
    <w:p w14:paraId="12350743" w14:textId="2622A095" w:rsidR="00552375" w:rsidRPr="002521D0" w:rsidRDefault="00552375" w:rsidP="00310326">
      <w:pPr>
        <w:pStyle w:val="BodyText"/>
        <w:rPr>
          <w:lang w:val="en-AU"/>
        </w:rPr>
      </w:pPr>
      <w:r w:rsidRPr="002521D0">
        <w:rPr>
          <w:lang w:val="en-AU"/>
        </w:rPr>
        <w:t>With a higher dilution factor (</w:t>
      </w:r>
      <w:r w:rsidRPr="002521D0">
        <w:rPr>
          <w:i/>
          <w:lang w:val="en-AU"/>
        </w:rPr>
        <w:t>D</w:t>
      </w:r>
      <w:r w:rsidRPr="002521D0">
        <w:rPr>
          <w:lang w:val="en-AU"/>
        </w:rPr>
        <w:t>=6) (</w:t>
      </w:r>
      <w:r w:rsidR="00C064B3">
        <w:rPr>
          <w:lang w:val="en-AU"/>
        </w:rPr>
        <w:t>figure 14b</w:t>
      </w:r>
      <w:r w:rsidRPr="002521D0">
        <w:rPr>
          <w:lang w:val="en-AU"/>
        </w:rPr>
        <w:t>) the FMU trophic-states correspond well to estuary trophic-states (</w:t>
      </w:r>
      <w:r>
        <w:rPr>
          <w:lang w:val="en-AU"/>
        </w:rPr>
        <w:t>ie,</w:t>
      </w:r>
      <w:r w:rsidRPr="002521D0">
        <w:rPr>
          <w:lang w:val="en-AU"/>
        </w:rPr>
        <w:t xml:space="preserve"> A- to A-band, B- to B-band and C to C-band). For this dilution factor (</w:t>
      </w:r>
      <w:r>
        <w:rPr>
          <w:lang w:val="en-AU"/>
        </w:rPr>
        <w:t>ie,</w:t>
      </w:r>
      <w:r w:rsidRPr="002521D0">
        <w:rPr>
          <w:lang w:val="en-AU"/>
        </w:rPr>
        <w:t xml:space="preserve"> higher dilution of riverine water by oceanic), the screening-level results suggest that it would be possible to attain a B-band trophic state in the estuary from FMU instream criteria based on a C-band trophic state. This would require the FMU instream criterion of 1150 mg/m</w:t>
      </w:r>
      <w:r w:rsidRPr="002521D0">
        <w:rPr>
          <w:vertAlign w:val="superscript"/>
          <w:lang w:val="en-AU"/>
        </w:rPr>
        <w:t>3</w:t>
      </w:r>
      <w:r w:rsidRPr="002521D0">
        <w:rPr>
          <w:lang w:val="en-AU"/>
        </w:rPr>
        <w:t xml:space="preserve"> to be decreased to at least 825 mg/m</w:t>
      </w:r>
      <w:r w:rsidRPr="002521D0">
        <w:rPr>
          <w:vertAlign w:val="superscript"/>
          <w:lang w:val="en-AU"/>
        </w:rPr>
        <w:t>3</w:t>
      </w:r>
      <w:r w:rsidRPr="002521D0">
        <w:rPr>
          <w:lang w:val="en-AU"/>
        </w:rPr>
        <w:t xml:space="preserve"> (refer to </w:t>
      </w:r>
      <w:r w:rsidR="00651079">
        <w:rPr>
          <w:lang w:val="en-AU"/>
        </w:rPr>
        <w:t>table 12</w:t>
      </w:r>
      <w:r w:rsidRPr="002521D0">
        <w:rPr>
          <w:lang w:val="en-AU"/>
        </w:rPr>
        <w:t>). This would not change the trophic state of the FMU (</w:t>
      </w:r>
      <w:r>
        <w:rPr>
          <w:lang w:val="en-AU"/>
        </w:rPr>
        <w:t>ie,</w:t>
      </w:r>
      <w:r w:rsidRPr="002521D0">
        <w:rPr>
          <w:lang w:val="en-AU"/>
        </w:rPr>
        <w:t xml:space="preserve"> remains a C-band) but would drop the estuary below the B/C band trophic threshold value of 180 mg/m</w:t>
      </w:r>
      <w:r w:rsidRPr="002521D0">
        <w:rPr>
          <w:vertAlign w:val="superscript"/>
          <w:lang w:val="en-AU"/>
        </w:rPr>
        <w:t>3</w:t>
      </w:r>
      <w:r w:rsidRPr="002521D0">
        <w:rPr>
          <w:lang w:val="en-AU"/>
        </w:rPr>
        <w:t>.</w:t>
      </w:r>
      <w:r w:rsidR="00DD47E9">
        <w:rPr>
          <w:lang w:val="en-AU"/>
        </w:rPr>
        <w:t xml:space="preserve"> </w:t>
      </w:r>
    </w:p>
    <w:p w14:paraId="7FF0AD13" w14:textId="2824AAA8" w:rsidR="00552375" w:rsidRDefault="00552375" w:rsidP="00310326">
      <w:pPr>
        <w:pStyle w:val="Figureheading"/>
        <w:keepLines/>
        <w:rPr>
          <w:lang w:val="en-AU"/>
        </w:rPr>
      </w:pPr>
      <w:bookmarkStart w:id="147" w:name="_Toc521487721"/>
      <w:bookmarkStart w:id="148" w:name="_Toc73711487"/>
      <w:r w:rsidRPr="007C1D00">
        <w:t xml:space="preserve">Figure </w:t>
      </w:r>
      <w:fldSimple w:instr=" SEQ Figure \* ARABIC ">
        <w:r w:rsidR="001A7243">
          <w:rPr>
            <w:noProof/>
          </w:rPr>
          <w:t>14</w:t>
        </w:r>
      </w:fldSimple>
      <w:r w:rsidRPr="00417325">
        <w:t>:</w:t>
      </w:r>
      <w:r w:rsidRPr="007C1D00">
        <w:t xml:space="preserve"> </w:t>
      </w:r>
      <w:r>
        <w:tab/>
      </w:r>
      <w:r w:rsidRPr="007C1D00">
        <w:t>Matrix tables showing the outcome of different FMU instream criteria (</w:t>
      </w:r>
      <w:r>
        <w:t>ie,</w:t>
      </w:r>
      <w:r w:rsidRPr="007C1D00">
        <w:t xml:space="preserve"> </w:t>
      </w:r>
      <w:r>
        <w:t>upper TN limits shown in bold for each band</w:t>
      </w:r>
      <w:r w:rsidRPr="007C1D00">
        <w:t xml:space="preserve">) with respect to </w:t>
      </w:r>
      <w:r>
        <w:t>different trophic-state objectives for an estuary</w:t>
      </w:r>
      <w:r w:rsidRPr="007C1D00">
        <w:t xml:space="preserve"> (in this case macroalgal trophic</w:t>
      </w:r>
      <w:r>
        <w:t>-state A-, B- and C-bands</w:t>
      </w:r>
      <w:r w:rsidRPr="007C1D00">
        <w:t>) in the estuary – both ‘low’ (</w:t>
      </w:r>
      <w:r w:rsidRPr="003A5D95">
        <w:rPr>
          <w:i/>
        </w:rPr>
        <w:t>D</w:t>
      </w:r>
      <w:r>
        <w:t>=2, f</w:t>
      </w:r>
      <w:r w:rsidRPr="007C1D00">
        <w:t>igure 2a) and ‘high’ (</w:t>
      </w:r>
      <w:r w:rsidRPr="003A5D95">
        <w:rPr>
          <w:i/>
        </w:rPr>
        <w:t>D</w:t>
      </w:r>
      <w:r w:rsidRPr="007C1D00">
        <w:t>=</w:t>
      </w:r>
      <w:r>
        <w:t>6)</w:t>
      </w:r>
      <w:r w:rsidRPr="007C1D00">
        <w:t xml:space="preserve">, </w:t>
      </w:r>
      <w:r>
        <w:t>f</w:t>
      </w:r>
      <w:r w:rsidRPr="007C1D00">
        <w:t xml:space="preserve">igure 2b) dilution factors </w:t>
      </w:r>
      <w:r>
        <w:t>scenario</w:t>
      </w:r>
      <w:r w:rsidRPr="007C1D00">
        <w:t xml:space="preserve"> </w:t>
      </w:r>
      <w:r>
        <w:t>shown</w:t>
      </w:r>
      <w:bookmarkEnd w:id="147"/>
      <w:bookmarkEnd w:id="148"/>
    </w:p>
    <w:p w14:paraId="4F2CA42B" w14:textId="77777777" w:rsidR="00552375" w:rsidRDefault="00552375" w:rsidP="00310326">
      <w:pPr>
        <w:pStyle w:val="BodyText"/>
        <w:rPr>
          <w:lang w:val="en-AU"/>
        </w:rPr>
      </w:pPr>
      <w:r>
        <w:rPr>
          <w:noProof/>
        </w:rPr>
        <w:drawing>
          <wp:inline distT="0" distB="0" distL="0" distR="0" wp14:anchorId="42253821" wp14:editId="7AFDC534">
            <wp:extent cx="5434330" cy="19819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0350" cy="1995089"/>
                    </a:xfrm>
                    <a:prstGeom prst="rect">
                      <a:avLst/>
                    </a:prstGeom>
                    <a:noFill/>
                  </pic:spPr>
                </pic:pic>
              </a:graphicData>
            </a:graphic>
          </wp:inline>
        </w:drawing>
      </w:r>
    </w:p>
    <w:p w14:paraId="7EA2DF9B" w14:textId="77777777" w:rsidR="00552375" w:rsidRPr="007C1D00" w:rsidRDefault="00552375" w:rsidP="00552375">
      <w:pPr>
        <w:pStyle w:val="Source"/>
        <w:rPr>
          <w:rFonts w:cs="Arial"/>
          <w:bCs/>
          <w:iCs/>
        </w:rPr>
      </w:pPr>
      <w:bookmarkStart w:id="149" w:name="_Toc519682850"/>
      <w:r w:rsidRPr="007C1D00">
        <w:t>Red shading indicates the specified FMU criteri</w:t>
      </w:r>
      <w:r>
        <w:t>on (upper limit in bold)</w:t>
      </w:r>
      <w:r w:rsidRPr="007C1D00">
        <w:t xml:space="preserve"> is </w:t>
      </w:r>
      <w:r>
        <w:t xml:space="preserve">likely to not be </w:t>
      </w:r>
      <w:r w:rsidRPr="007C1D00">
        <w:t xml:space="preserve">protective of the </w:t>
      </w:r>
      <w:r>
        <w:t xml:space="preserve">estuarine trophic-state ‘band’ (ie, [Y] </w:t>
      </w:r>
      <w:r>
        <w:rPr>
          <w:rFonts w:cstheme="minorHAnsi"/>
        </w:rPr>
        <w:t>≥</w:t>
      </w:r>
      <w:r>
        <w:t xml:space="preserve"> [Z]), and</w:t>
      </w:r>
      <w:r w:rsidRPr="007C1D00">
        <w:t xml:space="preserve"> green shading indicates the FMU instream criterion</w:t>
      </w:r>
      <w:r>
        <w:t xml:space="preserve"> value (upper limit in bold) is likely to be</w:t>
      </w:r>
      <w:r w:rsidRPr="007C1D00">
        <w:t xml:space="preserve"> </w:t>
      </w:r>
      <w:r>
        <w:t>protective of the trophic-state objective for the estuary (i.e [Y]&lt;[Z])</w:t>
      </w:r>
      <w:r w:rsidRPr="007C1D00">
        <w:t>.</w:t>
      </w:r>
      <w:bookmarkEnd w:id="149"/>
      <w:r w:rsidRPr="007C1D00">
        <w:t xml:space="preserve"> </w:t>
      </w:r>
    </w:p>
    <w:p w14:paraId="49694348" w14:textId="77777777" w:rsidR="00552375" w:rsidRPr="00920B21" w:rsidRDefault="00552375" w:rsidP="00552375">
      <w:pPr>
        <w:pStyle w:val="BodyText"/>
        <w:rPr>
          <w:lang w:val="en-AU"/>
        </w:rPr>
      </w:pPr>
      <w:r>
        <w:rPr>
          <w:lang w:val="en-AU"/>
        </w:rPr>
        <w:t xml:space="preserve">This process provides a relatively simple way for regional councils to undertake screening-level assessments to determine whether nitrogen criteria in upstream FMUs is likely to provide for the trophic-state objectives sought for estuarine receiving environments. An analogous process can be readily applied to any estuary whether the trophic susceptibility is based on macroalgae or phytoplankton. </w:t>
      </w:r>
    </w:p>
    <w:p w14:paraId="6646F24D" w14:textId="77777777" w:rsidR="00552375" w:rsidRDefault="00552375" w:rsidP="00984D09">
      <w:pPr>
        <w:pStyle w:val="Heading4"/>
        <w:rPr>
          <w:lang w:val="en-AU"/>
        </w:rPr>
      </w:pPr>
      <w:r>
        <w:rPr>
          <w:lang w:val="en-AU"/>
        </w:rPr>
        <w:t>Lake receiving environments</w:t>
      </w:r>
    </w:p>
    <w:p w14:paraId="4ACA694F" w14:textId="77777777" w:rsidR="00552375" w:rsidRPr="00355C0A" w:rsidRDefault="00552375" w:rsidP="00552375">
      <w:pPr>
        <w:pStyle w:val="Heading5"/>
      </w:pPr>
      <w:r w:rsidRPr="00355C0A">
        <w:t>Converting FMU instream criteria to required receiving environment concentrations</w:t>
      </w:r>
    </w:p>
    <w:p w14:paraId="5236E6C5" w14:textId="478E5F24" w:rsidR="00552375" w:rsidRPr="00310326" w:rsidRDefault="00552375" w:rsidP="00AC3D1A">
      <w:pPr>
        <w:pStyle w:val="BodyText"/>
        <w:ind w:right="-57"/>
      </w:pPr>
      <w:r w:rsidRPr="002521D0">
        <w:rPr>
          <w:lang w:val="en-AU"/>
        </w:rPr>
        <w:t xml:space="preserve">The same conceptual process outlined in </w:t>
      </w:r>
      <w:r w:rsidRPr="002521D0">
        <w:rPr>
          <w:lang w:val="en-AU"/>
        </w:rPr>
        <w:fldChar w:fldCharType="begin"/>
      </w:r>
      <w:r w:rsidRPr="002521D0">
        <w:rPr>
          <w:lang w:val="en-AU"/>
        </w:rPr>
        <w:instrText xml:space="preserve"> REF _Ref517914425 \h </w:instrText>
      </w:r>
      <w:r>
        <w:rPr>
          <w:lang w:val="en-AU"/>
        </w:rPr>
        <w:instrText xml:space="preserve"> \* MERGEFORMAT </w:instrText>
      </w:r>
      <w:r w:rsidRPr="002521D0">
        <w:rPr>
          <w:lang w:val="en-AU"/>
        </w:rPr>
      </w:r>
      <w:r w:rsidRPr="002521D0">
        <w:rPr>
          <w:lang w:val="en-AU"/>
        </w:rPr>
        <w:fldChar w:fldCharType="separate"/>
      </w:r>
      <w:r w:rsidR="001A7243" w:rsidRPr="00FB2379">
        <w:t xml:space="preserve">Figure </w:t>
      </w:r>
      <w:r w:rsidR="001A7243">
        <w:rPr>
          <w:noProof/>
        </w:rPr>
        <w:t>11</w:t>
      </w:r>
      <w:r w:rsidRPr="002521D0">
        <w:rPr>
          <w:lang w:val="en-AU"/>
        </w:rPr>
        <w:fldChar w:fldCharType="end"/>
      </w:r>
      <w:r w:rsidRPr="002521D0">
        <w:rPr>
          <w:lang w:val="en-AU"/>
        </w:rPr>
        <w:t>, and worked through with estuary example is also applied to lakes. The main difference is that the conversion of FMU instream nutrient criteria</w:t>
      </w:r>
      <w:r w:rsidRPr="002521D0">
        <w:t xml:space="preserve"> </w:t>
      </w:r>
      <w:r w:rsidRPr="002521D0">
        <w:rPr>
          <w:lang w:val="en-AU"/>
        </w:rPr>
        <w:t>to estimate in-lake concentrations (</w:t>
      </w:r>
      <w:r>
        <w:rPr>
          <w:lang w:val="en-AU"/>
        </w:rPr>
        <w:t>ie,</w:t>
      </w:r>
      <w:r w:rsidRPr="002521D0">
        <w:rPr>
          <w:lang w:val="en-AU"/>
        </w:rPr>
        <w:t xml:space="preserve"> converting [X] to [Y] values – to allow comparison with in-lake criteria [Z]) is done using simple Vollenweider models, or, where data or resources are available, via more complex lake ecosystem models (</w:t>
      </w:r>
      <w:r>
        <w:rPr>
          <w:lang w:val="en-AU"/>
        </w:rPr>
        <w:t>eg</w:t>
      </w:r>
      <w:r w:rsidRPr="002521D0">
        <w:rPr>
          <w:lang w:val="en-AU"/>
        </w:rPr>
        <w:t xml:space="preserve">, Spigel </w:t>
      </w:r>
      <w:r w:rsidRPr="00310326">
        <w:t xml:space="preserve">et al., 2001; Burger et al., 2008; Hamilton et al., 2011; Trolle et al. 2014). </w:t>
      </w:r>
    </w:p>
    <w:p w14:paraId="1F400310" w14:textId="77777777" w:rsidR="00552375" w:rsidRPr="002521D0" w:rsidRDefault="00552375" w:rsidP="00310326">
      <w:pPr>
        <w:pStyle w:val="BodyText"/>
        <w:rPr>
          <w:lang w:val="en-AU"/>
        </w:rPr>
      </w:pPr>
      <w:r w:rsidRPr="002521D0">
        <w:rPr>
          <w:lang w:val="en-AU"/>
        </w:rPr>
        <w:t xml:space="preserve">Considerations for lake receiving environments </w:t>
      </w:r>
      <w:r w:rsidRPr="00310326">
        <w:t>include</w:t>
      </w:r>
      <w:r w:rsidRPr="002521D0">
        <w:rPr>
          <w:lang w:val="en-AU"/>
        </w:rPr>
        <w:t>:</w:t>
      </w:r>
    </w:p>
    <w:p w14:paraId="75C23B13" w14:textId="77777777" w:rsidR="00552375" w:rsidRPr="00355C0A" w:rsidRDefault="00552375" w:rsidP="00310326">
      <w:pPr>
        <w:pStyle w:val="Bullet"/>
      </w:pPr>
      <w:r w:rsidRPr="00355C0A">
        <w:t>both nitrogen and phosphorus need to be considered for lake receiving environments</w:t>
      </w:r>
    </w:p>
    <w:p w14:paraId="376145EF" w14:textId="31B9CCEE" w:rsidR="00552375" w:rsidRPr="00355C0A" w:rsidRDefault="00552375" w:rsidP="00310326">
      <w:pPr>
        <w:pStyle w:val="Bullet"/>
      </w:pPr>
      <w:r w:rsidRPr="00355C0A">
        <w:t xml:space="preserve">lakes do not have a dilution factor as most of the water in ‘qualifying’ lakes (with respect to </w:t>
      </w:r>
      <w:r>
        <w:t>Clause 3.13</w:t>
      </w:r>
      <w:r w:rsidRPr="00355C0A">
        <w:t>) is from surface water flows from the contributing sub-catchments of the</w:t>
      </w:r>
      <w:r w:rsidR="00AC3D1A">
        <w:t> </w:t>
      </w:r>
      <w:r w:rsidRPr="00355C0A">
        <w:t>FMU</w:t>
      </w:r>
    </w:p>
    <w:p w14:paraId="29C4A962" w14:textId="1ABEF0C9" w:rsidR="00552375" w:rsidRPr="00355C0A" w:rsidRDefault="00552375" w:rsidP="00310326">
      <w:pPr>
        <w:pStyle w:val="Bullet"/>
      </w:pPr>
      <w:r w:rsidRPr="00355C0A">
        <w:t>lakes receive nutrient inflows from streams and/or rivers within the FMU that are upstream of the lake and, therefore, unlike estuaries, many lakes do not receive nutrients from the entire FMU. Accordingly, the FMU nutrient criteria will be a flow-weighted average of contributing sub-catchments within the FMU. However, lakes at the bottom of</w:t>
      </w:r>
      <w:r w:rsidR="00AC3D1A">
        <w:t> </w:t>
      </w:r>
      <w:r w:rsidRPr="00355C0A">
        <w:t>the FMU (</w:t>
      </w:r>
      <w:r>
        <w:t>ie,</w:t>
      </w:r>
      <w:r w:rsidRPr="00355C0A">
        <w:t xml:space="preserve"> coastal lakes) will be similar to estuaries and the FMU nutrient criteria value will be flow-weighted values representing the entire FMU. In some cases, large lakes may receive inflows from more than one FMU.</w:t>
      </w:r>
      <w:r w:rsidR="00DD47E9">
        <w:t xml:space="preserve"> </w:t>
      </w:r>
    </w:p>
    <w:p w14:paraId="78A2D9FB" w14:textId="71F136EA" w:rsidR="00552375" w:rsidRDefault="00552375" w:rsidP="00E250E0">
      <w:pPr>
        <w:pStyle w:val="BodyText"/>
        <w:keepLines/>
        <w:spacing w:before="100" w:after="100"/>
        <w:rPr>
          <w:lang w:val="en-AU"/>
        </w:rPr>
      </w:pPr>
      <w:r>
        <w:rPr>
          <w:lang w:val="en-AU"/>
        </w:rPr>
        <w:t xml:space="preserve">As discussed for </w:t>
      </w:r>
      <w:r w:rsidRPr="00310326">
        <w:t>estuaries</w:t>
      </w:r>
      <w:r>
        <w:rPr>
          <w:lang w:val="en-AU"/>
        </w:rPr>
        <w:t>, the purpose of this guidance is to provide a simple screening-level assessment method for reconciling instream nutrient criteria in upstream FMUs with in-lake nutrient criteria set for a given trophic-state objective. It is envisaged that where issues are</w:t>
      </w:r>
      <w:r w:rsidR="00310326">
        <w:rPr>
          <w:lang w:val="en-AU"/>
        </w:rPr>
        <w:t> </w:t>
      </w:r>
      <w:r>
        <w:rPr>
          <w:lang w:val="en-AU"/>
        </w:rPr>
        <w:t>indicated (either from the screening level assessment or local knowledge) that more comprehensive assessments would be undertaken for improved robustness. A useful resource for undertaking more detailed assessments for lake receiving environment is the chapter “Nutrient budgets in lakes” (</w:t>
      </w:r>
      <w:r w:rsidRPr="00310326">
        <w:t>Verburg et al., 2018) in</w:t>
      </w:r>
      <w:r>
        <w:rPr>
          <w:lang w:val="en-AU"/>
        </w:rPr>
        <w:t xml:space="preserve"> the Lake Restoration Handbook.</w:t>
      </w:r>
    </w:p>
    <w:p w14:paraId="1A917A08" w14:textId="77777777" w:rsidR="00552375" w:rsidRPr="00355C0A" w:rsidRDefault="00552375" w:rsidP="00310326">
      <w:pPr>
        <w:pStyle w:val="Heading4"/>
      </w:pPr>
      <w:r w:rsidRPr="00355C0A">
        <w:t>Vollenweider empirical lake models</w:t>
      </w:r>
    </w:p>
    <w:p w14:paraId="5A034485" w14:textId="77777777" w:rsidR="00552375" w:rsidRDefault="00552375" w:rsidP="00E250E0">
      <w:pPr>
        <w:pStyle w:val="BodyText"/>
        <w:spacing w:before="100" w:after="100"/>
        <w:rPr>
          <w:lang w:val="en-AU"/>
        </w:rPr>
      </w:pPr>
      <w:r w:rsidRPr="00BB40B8">
        <w:rPr>
          <w:lang w:val="en-AU"/>
        </w:rPr>
        <w:t xml:space="preserve">Vollenweider </w:t>
      </w:r>
      <w:r>
        <w:rPr>
          <w:lang w:val="en-AU"/>
        </w:rPr>
        <w:t xml:space="preserve">(1976) </w:t>
      </w:r>
      <w:r w:rsidRPr="00BB40B8">
        <w:rPr>
          <w:lang w:val="en-AU"/>
        </w:rPr>
        <w:t>found that annual average TP concentrations (mg/m</w:t>
      </w:r>
      <w:r w:rsidRPr="00BB40B8">
        <w:rPr>
          <w:vertAlign w:val="superscript"/>
          <w:lang w:val="en-AU"/>
        </w:rPr>
        <w:t>3</w:t>
      </w:r>
      <w:r w:rsidRPr="00BB40B8">
        <w:rPr>
          <w:lang w:val="en-AU"/>
        </w:rPr>
        <w:t>) in lakes could be estimated from lake flushing rates and inflow concentrations</w:t>
      </w:r>
      <w:r>
        <w:rPr>
          <w:lang w:val="en-AU"/>
        </w:rPr>
        <w:t xml:space="preserve"> (Eq. 3a)</w:t>
      </w:r>
      <w:r w:rsidRPr="00BB40B8">
        <w:rPr>
          <w:lang w:val="en-AU"/>
        </w:rPr>
        <w:t xml:space="preserve">. </w:t>
      </w:r>
      <w:r w:rsidRPr="00BB40B8">
        <w:t xml:space="preserve">OECD (1982) presented modifications of the earlier Vollenweider model to predict annual average lake nutrient concentrations for TN and TP (Eq. </w:t>
      </w:r>
      <w:r>
        <w:t>4a</w:t>
      </w:r>
      <w:r w:rsidRPr="00BB40B8">
        <w:t xml:space="preserve"> and Eq. </w:t>
      </w:r>
      <w:r>
        <w:t>5a</w:t>
      </w:r>
      <w:r w:rsidRPr="00BB40B8">
        <w:t>, respectively):</w:t>
      </w:r>
      <w:r w:rsidRPr="00BB40B8">
        <w:rPr>
          <w:lang w:val="en-AU"/>
        </w:rPr>
        <w:t xml:space="preserve"> </w:t>
      </w:r>
    </w:p>
    <w:p w14:paraId="4A688453" w14:textId="13A3BCB4" w:rsidR="00552375" w:rsidRPr="00BB40B8" w:rsidRDefault="00552375" w:rsidP="00310326">
      <w:pPr>
        <w:pStyle w:val="BodyText"/>
        <w:tabs>
          <w:tab w:val="right" w:pos="7655"/>
        </w:tabs>
        <w:spacing w:after="60"/>
        <w:ind w:left="284"/>
      </w:pPr>
      <w:r w:rsidRPr="00BB40B8">
        <w:t>TP</w:t>
      </w:r>
      <w:r>
        <w:rPr>
          <w:vertAlign w:val="subscript"/>
        </w:rPr>
        <w:t>in-l</w:t>
      </w:r>
      <w:r w:rsidRPr="00BB40B8">
        <w:rPr>
          <w:vertAlign w:val="subscript"/>
        </w:rPr>
        <w:t>ake</w:t>
      </w:r>
      <w:r w:rsidRPr="00BB40B8">
        <w:rPr>
          <w:vertAlign w:val="superscript"/>
        </w:rPr>
        <w:t xml:space="preserve"> </w:t>
      </w:r>
      <w:r w:rsidRPr="00BB40B8">
        <w:t>= [TP</w:t>
      </w:r>
      <w:r w:rsidRPr="00BB40B8">
        <w:rPr>
          <w:vertAlign w:val="subscript"/>
        </w:rPr>
        <w:t>inflow</w:t>
      </w:r>
      <w:r w:rsidRPr="00BB40B8">
        <w:t xml:space="preserve"> / (1 + </w:t>
      </w:r>
      <w:r w:rsidRPr="00BB40B8">
        <w:rPr>
          <w:rFonts w:ascii="Symbol" w:eastAsia="Symbol" w:hAnsi="Symbol" w:cs="Symbol"/>
        </w:rPr>
        <w:sym w:font="Symbol" w:char="F0D6"/>
      </w:r>
      <w:r w:rsidRPr="00BB40B8">
        <w:rPr>
          <w:i/>
        </w:rPr>
        <w:t xml:space="preserve">T </w:t>
      </w:r>
      <w:r w:rsidRPr="00BB40B8">
        <w:t>)]</w:t>
      </w:r>
      <w:r>
        <w:rPr>
          <w:vertAlign w:val="subscript"/>
        </w:rPr>
        <w:tab/>
      </w:r>
      <w:r w:rsidRPr="00BB40B8">
        <w:t xml:space="preserve">Eq. </w:t>
      </w:r>
      <w:r>
        <w:t>3a</w:t>
      </w:r>
    </w:p>
    <w:p w14:paraId="26A92E1C" w14:textId="099F9861" w:rsidR="00552375" w:rsidRPr="00BB40B8" w:rsidRDefault="00552375" w:rsidP="00310326">
      <w:pPr>
        <w:pStyle w:val="BodyText"/>
        <w:tabs>
          <w:tab w:val="right" w:pos="7655"/>
        </w:tabs>
        <w:spacing w:after="60"/>
        <w:ind w:left="284"/>
      </w:pPr>
      <w:r w:rsidRPr="00BB40B8">
        <w:t>TN</w:t>
      </w:r>
      <w:r>
        <w:rPr>
          <w:vertAlign w:val="subscript"/>
        </w:rPr>
        <w:t>in-l</w:t>
      </w:r>
      <w:r w:rsidRPr="00BB40B8">
        <w:rPr>
          <w:vertAlign w:val="subscript"/>
        </w:rPr>
        <w:t>ake</w:t>
      </w:r>
      <w:r w:rsidRPr="00BB40B8">
        <w:rPr>
          <w:vertAlign w:val="superscript"/>
        </w:rPr>
        <w:t xml:space="preserve"> </w:t>
      </w:r>
      <w:r w:rsidRPr="00BB40B8">
        <w:t>= 5.34[TN</w:t>
      </w:r>
      <w:r w:rsidRPr="00BB40B8">
        <w:rPr>
          <w:vertAlign w:val="subscript"/>
        </w:rPr>
        <w:t>inflow</w:t>
      </w:r>
      <w:r w:rsidRPr="00BB40B8">
        <w:t xml:space="preserve"> / (1 + </w:t>
      </w:r>
      <w:r w:rsidRPr="00BB40B8">
        <w:rPr>
          <w:rFonts w:ascii="Symbol" w:eastAsia="Symbol" w:hAnsi="Symbol" w:cs="Symbol"/>
        </w:rPr>
        <w:sym w:font="Symbol" w:char="F0D6"/>
      </w:r>
      <w:r w:rsidRPr="00BB40B8">
        <w:rPr>
          <w:i/>
        </w:rPr>
        <w:t xml:space="preserve">T </w:t>
      </w:r>
      <w:r w:rsidRPr="00BB40B8">
        <w:t>)]</w:t>
      </w:r>
      <w:r w:rsidRPr="00BB40B8">
        <w:rPr>
          <w:vertAlign w:val="superscript"/>
        </w:rPr>
        <w:t>0.78</w:t>
      </w:r>
      <w:r>
        <w:tab/>
      </w:r>
      <w:r w:rsidRPr="00BB40B8">
        <w:t xml:space="preserve">Eq. </w:t>
      </w:r>
      <w:r>
        <w:t>4a</w:t>
      </w:r>
    </w:p>
    <w:p w14:paraId="435AA65D" w14:textId="0010C38F" w:rsidR="00552375" w:rsidRPr="00BB40B8" w:rsidRDefault="00552375" w:rsidP="00310326">
      <w:pPr>
        <w:pStyle w:val="BodyText"/>
        <w:tabs>
          <w:tab w:val="right" w:pos="7655"/>
        </w:tabs>
        <w:ind w:left="284"/>
      </w:pPr>
      <w:r w:rsidRPr="00BB40B8">
        <w:t>TP</w:t>
      </w:r>
      <w:r>
        <w:rPr>
          <w:vertAlign w:val="subscript"/>
        </w:rPr>
        <w:t>in-l</w:t>
      </w:r>
      <w:r w:rsidRPr="00BB40B8">
        <w:rPr>
          <w:vertAlign w:val="subscript"/>
        </w:rPr>
        <w:t>ake</w:t>
      </w:r>
      <w:r w:rsidRPr="00BB40B8">
        <w:rPr>
          <w:vertAlign w:val="superscript"/>
        </w:rPr>
        <w:t xml:space="preserve"> </w:t>
      </w:r>
      <w:r w:rsidRPr="00BB40B8">
        <w:t>= 1.55[TP</w:t>
      </w:r>
      <w:r w:rsidRPr="00BB40B8">
        <w:rPr>
          <w:vertAlign w:val="subscript"/>
        </w:rPr>
        <w:t>inflow</w:t>
      </w:r>
      <w:r w:rsidRPr="00BB40B8">
        <w:t xml:space="preserve"> / (1 + </w:t>
      </w:r>
      <w:r w:rsidRPr="00BB40B8">
        <w:rPr>
          <w:rFonts w:ascii="Symbol" w:eastAsia="Symbol" w:hAnsi="Symbol" w:cs="Symbol"/>
        </w:rPr>
        <w:sym w:font="Symbol" w:char="F0D6"/>
      </w:r>
      <w:r w:rsidRPr="00BB40B8">
        <w:rPr>
          <w:i/>
        </w:rPr>
        <w:t xml:space="preserve">T </w:t>
      </w:r>
      <w:r w:rsidRPr="00BB40B8">
        <w:t>)]</w:t>
      </w:r>
      <w:r w:rsidRPr="00BB40B8">
        <w:rPr>
          <w:vertAlign w:val="superscript"/>
        </w:rPr>
        <w:t>0.82</w:t>
      </w:r>
      <w:r>
        <w:rPr>
          <w:vertAlign w:val="subscript"/>
        </w:rPr>
        <w:tab/>
      </w:r>
      <w:r w:rsidRPr="00BB40B8">
        <w:t xml:space="preserve">Eq. </w:t>
      </w:r>
      <w:r>
        <w:t>5a</w:t>
      </w:r>
    </w:p>
    <w:p w14:paraId="07AD0E7D" w14:textId="60C37778" w:rsidR="00552375" w:rsidRPr="00BB40B8" w:rsidRDefault="00552375" w:rsidP="00E250E0">
      <w:pPr>
        <w:pStyle w:val="BodyText"/>
        <w:spacing w:before="100" w:after="100"/>
      </w:pPr>
      <w:r w:rsidRPr="00BB40B8">
        <w:t>Whe</w:t>
      </w:r>
      <w:r>
        <w:t xml:space="preserve">re </w:t>
      </w:r>
      <w:r w:rsidRPr="00BB40B8">
        <w:t>TN</w:t>
      </w:r>
      <w:r>
        <w:rPr>
          <w:vertAlign w:val="subscript"/>
        </w:rPr>
        <w:t>in-l</w:t>
      </w:r>
      <w:r w:rsidRPr="00BB40B8">
        <w:rPr>
          <w:vertAlign w:val="subscript"/>
        </w:rPr>
        <w:t xml:space="preserve">ake </w:t>
      </w:r>
      <w:r w:rsidRPr="00BB40B8">
        <w:t>and TP</w:t>
      </w:r>
      <w:r>
        <w:rPr>
          <w:vertAlign w:val="subscript"/>
        </w:rPr>
        <w:t>in-l</w:t>
      </w:r>
      <w:r w:rsidRPr="00BB40B8">
        <w:rPr>
          <w:vertAlign w:val="subscript"/>
        </w:rPr>
        <w:t>ake</w:t>
      </w:r>
      <w:r w:rsidRPr="00BB40B8">
        <w:t xml:space="preserve"> are the predicted annual average concentrations of TN and TP</w:t>
      </w:r>
      <w:r w:rsidR="00D63F11">
        <w:t> </w:t>
      </w:r>
      <w:r w:rsidRPr="00BB40B8">
        <w:t>(mg/m</w:t>
      </w:r>
      <w:r w:rsidRPr="00BB40B8">
        <w:rPr>
          <w:vertAlign w:val="superscript"/>
        </w:rPr>
        <w:t>3</w:t>
      </w:r>
      <w:r w:rsidRPr="00BB40B8">
        <w:t>) respectively. TN</w:t>
      </w:r>
      <w:r w:rsidRPr="00BB40B8">
        <w:softHyphen/>
      </w:r>
      <w:r w:rsidRPr="00BB40B8">
        <w:rPr>
          <w:vertAlign w:val="subscript"/>
        </w:rPr>
        <w:t>inflow</w:t>
      </w:r>
      <w:r w:rsidRPr="00BB40B8">
        <w:t xml:space="preserve"> and TP</w:t>
      </w:r>
      <w:r w:rsidRPr="00BB40B8">
        <w:rPr>
          <w:vertAlign w:val="subscript"/>
        </w:rPr>
        <w:t>inflow</w:t>
      </w:r>
      <w:r w:rsidRPr="00BB40B8">
        <w:t xml:space="preserve"> are the respective annual average inflow concentrations of N and P (mg/m</w:t>
      </w:r>
      <w:r w:rsidRPr="00BB40B8">
        <w:rPr>
          <w:vertAlign w:val="superscript"/>
        </w:rPr>
        <w:t>3</w:t>
      </w:r>
      <w:r w:rsidRPr="00BB40B8">
        <w:t xml:space="preserve">), and </w:t>
      </w:r>
      <w:r w:rsidRPr="00BB40B8">
        <w:rPr>
          <w:i/>
        </w:rPr>
        <w:t>T</w:t>
      </w:r>
      <w:r w:rsidRPr="00BB40B8">
        <w:t xml:space="preserve"> is the hydraulic retention time (years) of the lake. It</w:t>
      </w:r>
      <w:r w:rsidR="00310326">
        <w:t> </w:t>
      </w:r>
      <w:r w:rsidRPr="00BB40B8">
        <w:t>is</w:t>
      </w:r>
      <w:r w:rsidR="00310326">
        <w:t> </w:t>
      </w:r>
      <w:r w:rsidRPr="00BB40B8">
        <w:t>important to note Eq. 3</w:t>
      </w:r>
      <w:r>
        <w:t>a</w:t>
      </w:r>
      <w:r w:rsidRPr="00BB40B8">
        <w:t xml:space="preserve"> and Eq. 4</w:t>
      </w:r>
      <w:r>
        <w:t>a</w:t>
      </w:r>
      <w:r w:rsidRPr="00BB40B8">
        <w:t xml:space="preserve"> do not account for lakes with significant internal nutrient loading issues, and therefore if applied to such lakes, they are likely to underestimate lake TN and TP concentrations.</w:t>
      </w:r>
    </w:p>
    <w:p w14:paraId="15117694" w14:textId="075C3E8A" w:rsidR="00552375" w:rsidRPr="00D855BD" w:rsidRDefault="00552375" w:rsidP="00E250E0">
      <w:pPr>
        <w:pStyle w:val="BodyText"/>
        <w:spacing w:before="100" w:after="100"/>
        <w:rPr>
          <w:vertAlign w:val="subscript"/>
        </w:rPr>
      </w:pPr>
      <w:r>
        <w:t>To</w:t>
      </w:r>
      <w:r w:rsidRPr="00C80BA2">
        <w:t xml:space="preserve"> convert</w:t>
      </w:r>
      <w:r>
        <w:t xml:space="preserve"> </w:t>
      </w:r>
      <w:r w:rsidRPr="00C80BA2">
        <w:t>relevant F</w:t>
      </w:r>
      <w:r>
        <w:t>M</w:t>
      </w:r>
      <w:r w:rsidRPr="00C80BA2">
        <w:t>U riverine nutrient criteria into estimated in-lake concentrations (</w:t>
      </w:r>
      <w:r>
        <w:t>ie,</w:t>
      </w:r>
      <w:r w:rsidRPr="00C80BA2">
        <w:t xml:space="preserve"> converting [X] to [Y]; </w:t>
      </w:r>
      <w:r w:rsidRPr="00C80BA2">
        <w:fldChar w:fldCharType="begin"/>
      </w:r>
      <w:r w:rsidRPr="00C80BA2">
        <w:instrText xml:space="preserve"> REF _Ref517914425 \h </w:instrText>
      </w:r>
      <w:r>
        <w:instrText xml:space="preserve"> \* MERGEFORMAT </w:instrText>
      </w:r>
      <w:r w:rsidRPr="00C80BA2">
        <w:fldChar w:fldCharType="separate"/>
      </w:r>
      <w:r w:rsidR="001A7243" w:rsidRPr="00FB2379">
        <w:t xml:space="preserve">Figure </w:t>
      </w:r>
      <w:r w:rsidR="001A7243">
        <w:rPr>
          <w:noProof/>
        </w:rPr>
        <w:t>11</w:t>
      </w:r>
      <w:r w:rsidRPr="00C80BA2">
        <w:fldChar w:fldCharType="end"/>
      </w:r>
      <w:r w:rsidRPr="00C80BA2">
        <w:t>)</w:t>
      </w:r>
      <w:r>
        <w:t>, TN</w:t>
      </w:r>
      <w:r>
        <w:rPr>
          <w:vertAlign w:val="subscript"/>
        </w:rPr>
        <w:t>inflow</w:t>
      </w:r>
      <w:r>
        <w:t xml:space="preserve"> </w:t>
      </w:r>
      <w:r w:rsidRPr="00BB40B8">
        <w:t>and TP</w:t>
      </w:r>
      <w:r w:rsidRPr="00BB40B8">
        <w:rPr>
          <w:vertAlign w:val="subscript"/>
        </w:rPr>
        <w:t xml:space="preserve">inflow </w:t>
      </w:r>
      <w:r>
        <w:t>terms in Eq. 3a, 4a and 5a can be replaced with TN</w:t>
      </w:r>
      <w:r>
        <w:rPr>
          <w:vertAlign w:val="subscript"/>
        </w:rPr>
        <w:t xml:space="preserve">FMU </w:t>
      </w:r>
      <w:r>
        <w:t>and TP</w:t>
      </w:r>
      <w:r>
        <w:rPr>
          <w:vertAlign w:val="subscript"/>
        </w:rPr>
        <w:t xml:space="preserve">FMU </w:t>
      </w:r>
      <w:r>
        <w:t xml:space="preserve">to give Eq. 3b, 4b and 5b, respectively. Eq. 3a-5a are for estimating current-state </w:t>
      </w:r>
      <w:r w:rsidRPr="0026394F">
        <w:rPr>
          <w:i/>
        </w:rPr>
        <w:t>in-lake</w:t>
      </w:r>
      <w:r>
        <w:t xml:space="preserve"> concentrations of TN and TP. As discussed for estuaries, implementing step (c) of Clause 3.13 does not require consideration of current state – only the conversion of FMU criteria to in-lake concentrations (ie, [X] to [Y]) to compare with in-lake criteria to meet a trophic-state objective (ie, [Z]). </w:t>
      </w:r>
    </w:p>
    <w:p w14:paraId="59FEC2D6" w14:textId="5207F3B8" w:rsidR="00552375" w:rsidRPr="00722A91" w:rsidRDefault="00552375" w:rsidP="00AC3D1A">
      <w:pPr>
        <w:pStyle w:val="BodyText"/>
        <w:keepNext/>
        <w:tabs>
          <w:tab w:val="right" w:pos="7655"/>
        </w:tabs>
        <w:spacing w:after="60"/>
        <w:ind w:left="284"/>
      </w:pPr>
      <w:r w:rsidRPr="00BB40B8">
        <w:t>TP</w:t>
      </w:r>
      <w:r>
        <w:rPr>
          <w:vertAlign w:val="subscript"/>
        </w:rPr>
        <w:t>in-l</w:t>
      </w:r>
      <w:r w:rsidRPr="00BB40B8">
        <w:rPr>
          <w:vertAlign w:val="subscript"/>
        </w:rPr>
        <w:t>ake</w:t>
      </w:r>
      <w:r w:rsidRPr="00BB40B8">
        <w:rPr>
          <w:vertAlign w:val="superscript"/>
        </w:rPr>
        <w:t xml:space="preserve"> </w:t>
      </w:r>
      <w:r w:rsidRPr="00BB40B8">
        <w:t>= [TP</w:t>
      </w:r>
      <w:r>
        <w:rPr>
          <w:vertAlign w:val="subscript"/>
        </w:rPr>
        <w:t>FMU</w:t>
      </w:r>
      <w:r w:rsidRPr="00BB40B8">
        <w:t xml:space="preserve"> / (1 + </w:t>
      </w:r>
      <w:r w:rsidRPr="00BB40B8">
        <w:rPr>
          <w:rFonts w:ascii="Symbol" w:eastAsia="Symbol" w:hAnsi="Symbol" w:cs="Symbol"/>
        </w:rPr>
        <w:sym w:font="Symbol" w:char="F0D6"/>
      </w:r>
      <w:r w:rsidRPr="00BB40B8">
        <w:rPr>
          <w:i/>
        </w:rPr>
        <w:t xml:space="preserve">T </w:t>
      </w:r>
      <w:r w:rsidRPr="00BB40B8">
        <w:t>)]</w:t>
      </w:r>
      <w:r>
        <w:rPr>
          <w:vertAlign w:val="subscript"/>
        </w:rPr>
        <w:tab/>
      </w:r>
      <w:r w:rsidRPr="00BB40B8">
        <w:t xml:space="preserve">Eq. </w:t>
      </w:r>
      <w:r>
        <w:t>3b</w:t>
      </w:r>
    </w:p>
    <w:p w14:paraId="1D8578FD" w14:textId="4328FD11" w:rsidR="00552375" w:rsidRPr="00BB40B8" w:rsidRDefault="00552375" w:rsidP="00E250E0">
      <w:pPr>
        <w:pStyle w:val="BodyText"/>
        <w:tabs>
          <w:tab w:val="right" w:pos="7655"/>
        </w:tabs>
        <w:spacing w:after="60"/>
        <w:ind w:left="284"/>
      </w:pPr>
      <w:r w:rsidRPr="00BB40B8">
        <w:t>TN</w:t>
      </w:r>
      <w:r>
        <w:rPr>
          <w:vertAlign w:val="subscript"/>
        </w:rPr>
        <w:t>in-l</w:t>
      </w:r>
      <w:r w:rsidRPr="00BB40B8">
        <w:rPr>
          <w:vertAlign w:val="subscript"/>
        </w:rPr>
        <w:t>ake</w:t>
      </w:r>
      <w:r w:rsidRPr="00BB40B8">
        <w:rPr>
          <w:vertAlign w:val="superscript"/>
        </w:rPr>
        <w:t xml:space="preserve"> </w:t>
      </w:r>
      <w:r w:rsidRPr="00BB40B8">
        <w:t>= 5.34[TN</w:t>
      </w:r>
      <w:r>
        <w:rPr>
          <w:vertAlign w:val="subscript"/>
        </w:rPr>
        <w:t>FMU</w:t>
      </w:r>
      <w:r w:rsidRPr="00BB40B8">
        <w:t xml:space="preserve"> / (1 + </w:t>
      </w:r>
      <w:r w:rsidRPr="00BB40B8">
        <w:rPr>
          <w:rFonts w:ascii="Symbol" w:eastAsia="Symbol" w:hAnsi="Symbol" w:cs="Symbol"/>
        </w:rPr>
        <w:sym w:font="Symbol" w:char="F0D6"/>
      </w:r>
      <w:r w:rsidRPr="00BB40B8">
        <w:rPr>
          <w:i/>
        </w:rPr>
        <w:t xml:space="preserve">T </w:t>
      </w:r>
      <w:r w:rsidRPr="00BB40B8">
        <w:t>)]</w:t>
      </w:r>
      <w:r w:rsidRPr="00BB40B8">
        <w:rPr>
          <w:vertAlign w:val="superscript"/>
        </w:rPr>
        <w:t>0.78</w:t>
      </w:r>
      <w:r>
        <w:tab/>
      </w:r>
      <w:r w:rsidRPr="00BB40B8">
        <w:t xml:space="preserve">Eq. </w:t>
      </w:r>
      <w:r>
        <w:t>4b</w:t>
      </w:r>
    </w:p>
    <w:p w14:paraId="247F554F" w14:textId="6CE42921" w:rsidR="00552375" w:rsidRDefault="00552375" w:rsidP="00D63F11">
      <w:pPr>
        <w:pStyle w:val="BodyText"/>
        <w:tabs>
          <w:tab w:val="right" w:pos="7655"/>
        </w:tabs>
        <w:ind w:left="284"/>
      </w:pPr>
      <w:r w:rsidRPr="00BB40B8">
        <w:t>TP</w:t>
      </w:r>
      <w:r>
        <w:rPr>
          <w:vertAlign w:val="subscript"/>
        </w:rPr>
        <w:t>in-l</w:t>
      </w:r>
      <w:r w:rsidRPr="00BB40B8">
        <w:rPr>
          <w:vertAlign w:val="subscript"/>
        </w:rPr>
        <w:t>ake</w:t>
      </w:r>
      <w:r w:rsidRPr="00BB40B8">
        <w:rPr>
          <w:vertAlign w:val="superscript"/>
        </w:rPr>
        <w:t xml:space="preserve"> </w:t>
      </w:r>
      <w:r w:rsidRPr="00BB40B8">
        <w:t>= 1.55[TP</w:t>
      </w:r>
      <w:r>
        <w:rPr>
          <w:vertAlign w:val="subscript"/>
        </w:rPr>
        <w:t>FMU</w:t>
      </w:r>
      <w:r w:rsidRPr="00BB40B8">
        <w:t xml:space="preserve"> / (1 + </w:t>
      </w:r>
      <w:r w:rsidRPr="00BB40B8">
        <w:rPr>
          <w:rFonts w:ascii="Symbol" w:eastAsia="Symbol" w:hAnsi="Symbol" w:cs="Symbol"/>
        </w:rPr>
        <w:sym w:font="Symbol" w:char="F0D6"/>
      </w:r>
      <w:r w:rsidRPr="00BB40B8">
        <w:rPr>
          <w:i/>
        </w:rPr>
        <w:t xml:space="preserve">T </w:t>
      </w:r>
      <w:r w:rsidRPr="00BB40B8">
        <w:t>)]</w:t>
      </w:r>
      <w:r w:rsidRPr="00BB40B8">
        <w:rPr>
          <w:vertAlign w:val="superscript"/>
        </w:rPr>
        <w:t>0.82</w:t>
      </w:r>
      <w:r w:rsidRPr="00BB40B8">
        <w:rPr>
          <w:vertAlign w:val="subscript"/>
        </w:rPr>
        <w:tab/>
      </w:r>
      <w:r w:rsidRPr="00BB40B8">
        <w:t xml:space="preserve">Eq. </w:t>
      </w:r>
      <w:r>
        <w:t>5b</w:t>
      </w:r>
    </w:p>
    <w:p w14:paraId="43F8718B" w14:textId="671E8C4B" w:rsidR="00552375" w:rsidRDefault="00552375" w:rsidP="00E250E0">
      <w:pPr>
        <w:pStyle w:val="BodyText"/>
        <w:spacing w:before="100" w:after="100"/>
        <w:rPr>
          <w:lang w:val="en-AU"/>
        </w:rPr>
      </w:pPr>
      <w:r w:rsidRPr="00BB40B8">
        <w:rPr>
          <w:lang w:val="en-AU"/>
        </w:rPr>
        <w:t xml:space="preserve">The hydraulic residence time </w:t>
      </w:r>
      <w:r>
        <w:rPr>
          <w:lang w:val="en-AU"/>
        </w:rPr>
        <w:t>(</w:t>
      </w:r>
      <w:r>
        <w:rPr>
          <w:i/>
          <w:lang w:val="en-AU"/>
        </w:rPr>
        <w:t>T</w:t>
      </w:r>
      <w:r>
        <w:rPr>
          <w:lang w:val="en-AU"/>
        </w:rPr>
        <w:t xml:space="preserve">, in years) </w:t>
      </w:r>
      <w:r w:rsidRPr="00BB40B8">
        <w:rPr>
          <w:lang w:val="en-AU"/>
        </w:rPr>
        <w:t>is calculated by dividing the lake volume (m</w:t>
      </w:r>
      <w:r w:rsidRPr="00BB40B8">
        <w:rPr>
          <w:vertAlign w:val="superscript"/>
          <w:lang w:val="en-AU"/>
        </w:rPr>
        <w:t>3</w:t>
      </w:r>
      <w:r w:rsidRPr="00BB40B8">
        <w:rPr>
          <w:lang w:val="en-AU"/>
        </w:rPr>
        <w:t>) by the annual discharge volume of the outlet (m</w:t>
      </w:r>
      <w:r w:rsidRPr="00BB40B8">
        <w:rPr>
          <w:vertAlign w:val="superscript"/>
          <w:lang w:val="en-AU"/>
        </w:rPr>
        <w:t>3</w:t>
      </w:r>
      <w:r w:rsidRPr="00BB40B8">
        <w:rPr>
          <w:lang w:val="en-AU"/>
        </w:rPr>
        <w:t xml:space="preserve">/y). Ideally </w:t>
      </w:r>
      <w:r w:rsidRPr="00BB40B8">
        <w:rPr>
          <w:i/>
          <w:lang w:val="en-AU"/>
        </w:rPr>
        <w:t xml:space="preserve">T </w:t>
      </w:r>
      <w:r w:rsidRPr="00BB40B8">
        <w:rPr>
          <w:lang w:val="en-AU"/>
        </w:rPr>
        <w:t>would be calculated from measured data, but estimates of hydraulic retention time (and other lake parameters) are available from</w:t>
      </w:r>
      <w:r w:rsidR="00E250E0">
        <w:rPr>
          <w:lang w:val="en-AU"/>
        </w:rPr>
        <w:t> </w:t>
      </w:r>
      <w:r w:rsidRPr="00BB40B8">
        <w:rPr>
          <w:lang w:val="en-AU"/>
        </w:rPr>
        <w:t xml:space="preserve">the FENZ geodatabase (Leathwick </w:t>
      </w:r>
      <w:r w:rsidRPr="00E250E0">
        <w:t>et al., 2010) and have been used for predicting lake concentrations using inflow concentrations derived from CLUES outputs (Kelly et al.,</w:t>
      </w:r>
      <w:r w:rsidRPr="00BB40B8">
        <w:rPr>
          <w:lang w:val="en-AU"/>
        </w:rPr>
        <w:t xml:space="preserve"> 2013).</w:t>
      </w:r>
    </w:p>
    <w:p w14:paraId="2D28C407" w14:textId="47E979F3" w:rsidR="00552375" w:rsidRDefault="00552375" w:rsidP="00E250E0">
      <w:pPr>
        <w:pStyle w:val="BodyText"/>
        <w:spacing w:before="100" w:after="100"/>
        <w:rPr>
          <w:lang w:val="en-AU"/>
        </w:rPr>
      </w:pPr>
      <w:r>
        <w:rPr>
          <w:lang w:val="en-AU"/>
        </w:rPr>
        <w:t>A benefit of the simple Vollenweider equations (Eq. 3a, 3b) for estimating in-lake TP concentrations is that as the hydraulic residence time (</w:t>
      </w:r>
      <w:r>
        <w:rPr>
          <w:i/>
          <w:lang w:val="en-AU"/>
        </w:rPr>
        <w:t>T</w:t>
      </w:r>
      <w:r w:rsidRPr="005F6F73">
        <w:rPr>
          <w:lang w:val="en-AU"/>
        </w:rPr>
        <w:t>)</w:t>
      </w:r>
      <w:r>
        <w:rPr>
          <w:i/>
          <w:lang w:val="en-AU"/>
        </w:rPr>
        <w:t xml:space="preserve"> </w:t>
      </w:r>
      <w:r>
        <w:rPr>
          <w:lang w:val="en-AU"/>
        </w:rPr>
        <w:t>approaches zero, the predicted in</w:t>
      </w:r>
      <w:r w:rsidR="00E250E0">
        <w:rPr>
          <w:lang w:val="en-AU"/>
        </w:rPr>
        <w:noBreakHyphen/>
      </w:r>
      <w:r>
        <w:rPr>
          <w:lang w:val="en-AU"/>
        </w:rPr>
        <w:t>lake</w:t>
      </w:r>
      <w:r w:rsidR="00E250E0">
        <w:rPr>
          <w:lang w:val="en-AU"/>
        </w:rPr>
        <w:t> </w:t>
      </w:r>
      <w:r>
        <w:rPr>
          <w:lang w:val="en-AU"/>
        </w:rPr>
        <w:t>concentration approaches TP</w:t>
      </w:r>
      <w:r>
        <w:rPr>
          <w:vertAlign w:val="subscript"/>
          <w:lang w:val="en-AU"/>
        </w:rPr>
        <w:t xml:space="preserve">FMU </w:t>
      </w:r>
      <w:r>
        <w:rPr>
          <w:lang w:val="en-AU"/>
        </w:rPr>
        <w:t>(or TP</w:t>
      </w:r>
      <w:r>
        <w:rPr>
          <w:vertAlign w:val="subscript"/>
          <w:lang w:val="en-AU"/>
        </w:rPr>
        <w:t>inflow</w:t>
      </w:r>
      <w:r>
        <w:rPr>
          <w:lang w:val="en-AU"/>
        </w:rPr>
        <w:t>). The coefficients and exponential terms in</w:t>
      </w:r>
      <w:r w:rsidR="00E250E0">
        <w:rPr>
          <w:lang w:val="en-AU"/>
        </w:rPr>
        <w:t> </w:t>
      </w:r>
      <w:r>
        <w:rPr>
          <w:lang w:val="en-AU"/>
        </w:rPr>
        <w:t xml:space="preserve">the OECD (1982) equations (Eq. 4 and 5) mean that as </w:t>
      </w:r>
      <w:r>
        <w:rPr>
          <w:i/>
          <w:lang w:val="en-AU"/>
        </w:rPr>
        <w:t>T</w:t>
      </w:r>
      <w:r>
        <w:rPr>
          <w:lang w:val="en-AU"/>
        </w:rPr>
        <w:t xml:space="preserve"> approaches zero:</w:t>
      </w:r>
    </w:p>
    <w:p w14:paraId="0FF514EA" w14:textId="77777777" w:rsidR="00552375" w:rsidRPr="008F5D84" w:rsidRDefault="00552375" w:rsidP="00E250E0">
      <w:pPr>
        <w:pStyle w:val="Bullet"/>
      </w:pPr>
      <w:r w:rsidRPr="008F5D84">
        <w:t>the estimated TN</w:t>
      </w:r>
      <w:r w:rsidRPr="00A06B45">
        <w:rPr>
          <w:vertAlign w:val="subscript"/>
        </w:rPr>
        <w:t xml:space="preserve">in-lake </w:t>
      </w:r>
      <w:r w:rsidRPr="008F5D84">
        <w:t>concentration approaches 5.34*(TN</w:t>
      </w:r>
      <w:r w:rsidRPr="008F5D84">
        <w:rPr>
          <w:vertAlign w:val="subscript"/>
        </w:rPr>
        <w:t>FMU</w:t>
      </w:r>
      <w:r w:rsidRPr="008F5D84">
        <w:t>)</w:t>
      </w:r>
      <w:r w:rsidRPr="008F5D84">
        <w:rPr>
          <w:vertAlign w:val="superscript"/>
        </w:rPr>
        <w:t>0.78</w:t>
      </w:r>
      <w:r w:rsidRPr="008F5D84">
        <w:t xml:space="preserve"> </w:t>
      </w:r>
    </w:p>
    <w:p w14:paraId="48301CB7" w14:textId="01DF7EA5" w:rsidR="00552375" w:rsidRPr="008F5D84" w:rsidRDefault="00552375" w:rsidP="00E250E0">
      <w:pPr>
        <w:pStyle w:val="Bullet"/>
      </w:pPr>
      <w:r w:rsidRPr="008F5D84">
        <w:t>the estimated TP</w:t>
      </w:r>
      <w:r w:rsidRPr="00A06B45">
        <w:rPr>
          <w:vertAlign w:val="subscript"/>
        </w:rPr>
        <w:t xml:space="preserve">in-lake </w:t>
      </w:r>
      <w:r>
        <w:t>concentration approaches 1.55*</w:t>
      </w:r>
      <w:r w:rsidRPr="008F5D84">
        <w:t>(TN</w:t>
      </w:r>
      <w:r w:rsidRPr="008F5D84">
        <w:rPr>
          <w:vertAlign w:val="subscript"/>
        </w:rPr>
        <w:t>FMU</w:t>
      </w:r>
      <w:r w:rsidRPr="008F5D84">
        <w:t>)</w:t>
      </w:r>
      <w:r w:rsidRPr="008F5D84">
        <w:rPr>
          <w:vertAlign w:val="superscript"/>
        </w:rPr>
        <w:t>0.78</w:t>
      </w:r>
      <w:r w:rsidR="00E250E0">
        <w:t>.</w:t>
      </w:r>
    </w:p>
    <w:p w14:paraId="78CA6BCC" w14:textId="6751F9D8" w:rsidR="00552375" w:rsidRDefault="00552375" w:rsidP="00E250E0">
      <w:pPr>
        <w:pStyle w:val="BodyText"/>
        <w:rPr>
          <w:lang w:val="en-AU"/>
        </w:rPr>
      </w:pPr>
      <w:r>
        <w:rPr>
          <w:lang w:val="en-AU"/>
        </w:rPr>
        <w:t>Accordingly, for TN</w:t>
      </w:r>
      <w:r>
        <w:rPr>
          <w:vertAlign w:val="subscript"/>
          <w:lang w:val="en-AU"/>
        </w:rPr>
        <w:t xml:space="preserve">FMU </w:t>
      </w:r>
      <w:r>
        <w:rPr>
          <w:lang w:val="en-AU"/>
        </w:rPr>
        <w:t>and TP</w:t>
      </w:r>
      <w:r>
        <w:rPr>
          <w:vertAlign w:val="subscript"/>
          <w:lang w:val="en-AU"/>
        </w:rPr>
        <w:t xml:space="preserve">FMU </w:t>
      </w:r>
      <w:r>
        <w:rPr>
          <w:lang w:val="en-AU"/>
        </w:rPr>
        <w:t>values of 500 and 20 mg/m</w:t>
      </w:r>
      <w:r w:rsidRPr="00BB3CE8">
        <w:rPr>
          <w:vertAlign w:val="superscript"/>
          <w:lang w:val="en-AU"/>
        </w:rPr>
        <w:t>3</w:t>
      </w:r>
      <w:r>
        <w:rPr>
          <w:lang w:val="en-AU"/>
        </w:rPr>
        <w:t>, respectively, for a theoretical hydraulic residence time (</w:t>
      </w:r>
      <w:r>
        <w:rPr>
          <w:i/>
          <w:lang w:val="en-AU"/>
        </w:rPr>
        <w:t>T</w:t>
      </w:r>
      <w:r>
        <w:rPr>
          <w:lang w:val="en-AU"/>
        </w:rPr>
        <w:t>) of 0 years, the estimated in-lake TN</w:t>
      </w:r>
      <w:r>
        <w:rPr>
          <w:vertAlign w:val="subscript"/>
          <w:lang w:val="en-AU"/>
        </w:rPr>
        <w:t xml:space="preserve">in-lake </w:t>
      </w:r>
      <w:r>
        <w:rPr>
          <w:lang w:val="en-AU"/>
        </w:rPr>
        <w:t>and TP</w:t>
      </w:r>
      <w:r>
        <w:rPr>
          <w:vertAlign w:val="subscript"/>
          <w:lang w:val="en-AU"/>
        </w:rPr>
        <w:t xml:space="preserve">in-lake </w:t>
      </w:r>
      <w:r>
        <w:rPr>
          <w:lang w:val="en-AU"/>
        </w:rPr>
        <w:t>would be 680 and 18 mg/m</w:t>
      </w:r>
      <w:r w:rsidRPr="00B702A2">
        <w:rPr>
          <w:vertAlign w:val="superscript"/>
          <w:lang w:val="en-AU"/>
        </w:rPr>
        <w:t>3</w:t>
      </w:r>
      <w:r>
        <w:rPr>
          <w:lang w:val="en-AU"/>
        </w:rPr>
        <w:t xml:space="preserve">, respectively. </w:t>
      </w:r>
      <w:r>
        <w:t xml:space="preserve">This is not consistent with the expectation that as </w:t>
      </w:r>
      <w:r w:rsidRPr="004F044B">
        <w:rPr>
          <w:i/>
        </w:rPr>
        <w:t>T</w:t>
      </w:r>
      <w:r>
        <w:t xml:space="preserve"> approaches zero, in-lake concentrations should approach inflow concentrations.</w:t>
      </w:r>
      <w:r>
        <w:rPr>
          <w:lang w:val="en-AU"/>
        </w:rPr>
        <w:t xml:space="preserve"> Therefore, at low values of </w:t>
      </w:r>
      <w:r>
        <w:rPr>
          <w:i/>
          <w:lang w:val="en-AU"/>
        </w:rPr>
        <w:t>T</w:t>
      </w:r>
      <w:r>
        <w:rPr>
          <w:lang w:val="en-AU"/>
        </w:rPr>
        <w:t>, the OECD (1982) Vollenweider equations will tend to overestimate TN</w:t>
      </w:r>
      <w:r>
        <w:rPr>
          <w:vertAlign w:val="subscript"/>
          <w:lang w:val="en-AU"/>
        </w:rPr>
        <w:t>in-lake</w:t>
      </w:r>
      <w:r>
        <w:rPr>
          <w:vertAlign w:val="superscript"/>
          <w:lang w:val="en-AU"/>
        </w:rPr>
        <w:t xml:space="preserve"> </w:t>
      </w:r>
      <w:r>
        <w:rPr>
          <w:lang w:val="en-AU"/>
        </w:rPr>
        <w:t>concentrations and underestimate TP</w:t>
      </w:r>
      <w:r>
        <w:rPr>
          <w:vertAlign w:val="subscript"/>
          <w:lang w:val="en-AU"/>
        </w:rPr>
        <w:t>in-lake</w:t>
      </w:r>
      <w:r>
        <w:rPr>
          <w:lang w:val="en-AU"/>
        </w:rPr>
        <w:t xml:space="preserve"> concentrations. This and other limitations of Vollenweider-type equations are discussed below.</w:t>
      </w:r>
      <w:r w:rsidR="00DD47E9">
        <w:rPr>
          <w:lang w:val="en-AU"/>
        </w:rPr>
        <w:t xml:space="preserve"> </w:t>
      </w:r>
    </w:p>
    <w:p w14:paraId="089670B7" w14:textId="77777777" w:rsidR="00552375" w:rsidRPr="009454BA" w:rsidRDefault="00552375" w:rsidP="00A1557E">
      <w:pPr>
        <w:pStyle w:val="Heading4"/>
      </w:pPr>
      <w:r w:rsidRPr="009454BA">
        <w:t>Limitations of Vollenweider empirical lake model</w:t>
      </w:r>
      <w:r>
        <w:t>s</w:t>
      </w:r>
    </w:p>
    <w:p w14:paraId="0E6EDCD9" w14:textId="110E247F" w:rsidR="00552375" w:rsidRDefault="00552375" w:rsidP="00A1557E">
      <w:pPr>
        <w:pStyle w:val="BodyText"/>
      </w:pPr>
      <w:r w:rsidRPr="00BB40B8">
        <w:t>The coefficients in Vollenweider equations Eq.3 and Eq.4 were derived from fitting curves to both TN and TP from a large international</w:t>
      </w:r>
      <w:r>
        <w:t xml:space="preserve"> lake dataset (OECD, 1982). The basic</w:t>
      </w:r>
      <w:r w:rsidRPr="00BB40B8">
        <w:t xml:space="preserve"> Vollenweider equation with no coefficients was only applicable to estimating in-lake concentrations of TP. Eq. 3 provides a simple method for estimat</w:t>
      </w:r>
      <w:r>
        <w:t>ing</w:t>
      </w:r>
      <w:r w:rsidRPr="00BB40B8">
        <w:t xml:space="preserve"> in-lake concentrations (hence reconciling FMU instream criteri</w:t>
      </w:r>
      <w:r>
        <w:t>a with in-lake trophic criteria</w:t>
      </w:r>
      <w:r w:rsidRPr="00BB40B8">
        <w:t>); however, application of the results for predictive purposes requires care. Several limiting conditions were identified under which appli</w:t>
      </w:r>
      <w:r>
        <w:t>cability and transferability (in the</w:t>
      </w:r>
      <w:r w:rsidRPr="00BB40B8">
        <w:t xml:space="preserve"> Canadian context at least) of OECD results could be questionable and</w:t>
      </w:r>
      <w:r w:rsidR="00A1557E">
        <w:t> </w:t>
      </w:r>
      <w:r w:rsidRPr="00BB40B8">
        <w:t>should be done with care (Janus and Vollenweider</w:t>
      </w:r>
      <w:r>
        <w:t>,</w:t>
      </w:r>
      <w:r w:rsidRPr="00BB40B8">
        <w:t xml:space="preserve"> 1981).</w:t>
      </w:r>
    </w:p>
    <w:p w14:paraId="4E1B256E" w14:textId="77777777" w:rsidR="00552375" w:rsidRPr="00BB40B8" w:rsidRDefault="00552375" w:rsidP="00A1557E">
      <w:pPr>
        <w:pStyle w:val="BodyText"/>
      </w:pPr>
      <w:r w:rsidRPr="00BB40B8">
        <w:t>These include situations where:</w:t>
      </w:r>
    </w:p>
    <w:p w14:paraId="0277DA6F" w14:textId="77777777" w:rsidR="00552375" w:rsidRPr="00BB40B8" w:rsidRDefault="00552375" w:rsidP="00A1557E">
      <w:pPr>
        <w:pStyle w:val="Bullet"/>
      </w:pPr>
      <w:r w:rsidRPr="00BB40B8">
        <w:t>f</w:t>
      </w:r>
      <w:r>
        <w:t xml:space="preserve">lushing rate is more than twice per </w:t>
      </w:r>
      <w:r w:rsidRPr="00BB40B8">
        <w:t>year (</w:t>
      </w:r>
      <w:r w:rsidRPr="00BB40B8">
        <w:rPr>
          <w:i/>
        </w:rPr>
        <w:t>T</w:t>
      </w:r>
      <w:r w:rsidRPr="00BB40B8">
        <w:t xml:space="preserve"> &lt; 0.5 yr), and/or </w:t>
      </w:r>
      <w:r>
        <w:t xml:space="preserve">where </w:t>
      </w:r>
      <w:r w:rsidRPr="00BB40B8">
        <w:t xml:space="preserve">lakes </w:t>
      </w:r>
      <w:r>
        <w:t>have</w:t>
      </w:r>
      <w:r w:rsidRPr="00BB40B8">
        <w:t xml:space="preserve"> irregular flushing regimes either seasonally or over consecutive years</w:t>
      </w:r>
    </w:p>
    <w:p w14:paraId="4B039643" w14:textId="77777777" w:rsidR="00552375" w:rsidRPr="00BB40B8" w:rsidRDefault="00552375" w:rsidP="00A1557E">
      <w:pPr>
        <w:pStyle w:val="Bullet"/>
      </w:pPr>
      <w:r w:rsidRPr="00BB40B8">
        <w:t>high mineral turbidity or a high degree of humic staining exists</w:t>
      </w:r>
    </w:p>
    <w:p w14:paraId="63A85C2F" w14:textId="77777777" w:rsidR="00552375" w:rsidRPr="00BB40B8" w:rsidRDefault="00552375" w:rsidP="00A1557E">
      <w:pPr>
        <w:pStyle w:val="Bullet"/>
      </w:pPr>
      <w:r w:rsidRPr="00BB40B8">
        <w:t xml:space="preserve">N/P ratios are </w:t>
      </w:r>
      <w:r w:rsidRPr="00BB40B8">
        <w:rPr>
          <w:rFonts w:cs="Calibri"/>
        </w:rPr>
        <w:t>≤</w:t>
      </w:r>
      <w:r w:rsidRPr="00BB40B8">
        <w:t>5 and/or P exceeds 100 mg/m</w:t>
      </w:r>
      <w:r w:rsidRPr="00BB40B8">
        <w:rPr>
          <w:vertAlign w:val="superscript"/>
        </w:rPr>
        <w:t>3</w:t>
      </w:r>
    </w:p>
    <w:p w14:paraId="4CE571BB" w14:textId="77777777" w:rsidR="00552375" w:rsidRPr="00BB40B8" w:rsidRDefault="00552375" w:rsidP="00A1557E">
      <w:pPr>
        <w:pStyle w:val="Bullet"/>
      </w:pPr>
      <w:r w:rsidRPr="00BB40B8">
        <w:t>phosphorus is relatively inert (</w:t>
      </w:r>
      <w:r>
        <w:t>eg,</w:t>
      </w:r>
      <w:r w:rsidRPr="00BB40B8">
        <w:t xml:space="preserve"> as apatite) or internal loading is substantial</w:t>
      </w:r>
    </w:p>
    <w:p w14:paraId="1948FA0A" w14:textId="77777777" w:rsidR="00552375" w:rsidRDefault="00552375" w:rsidP="00A1557E">
      <w:pPr>
        <w:pStyle w:val="Bullet"/>
      </w:pPr>
      <w:r w:rsidRPr="00BB40B8">
        <w:t>dynamic equilibrium has not been attained as in the case of increasing or decreasing nutrient loads</w:t>
      </w:r>
      <w:r>
        <w:t>.</w:t>
      </w:r>
      <w:r w:rsidRPr="00BB40B8">
        <w:t xml:space="preserve"> </w:t>
      </w:r>
    </w:p>
    <w:p w14:paraId="1FAD02B7" w14:textId="77777777" w:rsidR="00552375" w:rsidRPr="00855913" w:rsidRDefault="00552375" w:rsidP="00A1557E">
      <w:pPr>
        <w:pStyle w:val="Heading4"/>
      </w:pPr>
      <w:r w:rsidRPr="00855913">
        <w:t>Possible alternative approaches for lakes with short residence times (</w:t>
      </w:r>
      <w:r>
        <w:t>ie,</w:t>
      </w:r>
      <w:r w:rsidRPr="00855913">
        <w:t xml:space="preserve"> &lt; c. 1 year)</w:t>
      </w:r>
    </w:p>
    <w:p w14:paraId="4B4DD8FB" w14:textId="0AC017BA" w:rsidR="00552375" w:rsidRDefault="00552375" w:rsidP="00AC3D1A">
      <w:pPr>
        <w:pStyle w:val="BodyText"/>
        <w:keepLines/>
      </w:pPr>
      <w:r>
        <w:t xml:space="preserve">The simple Vollenweider equation (Eq. 3) is </w:t>
      </w:r>
      <w:r w:rsidRPr="00A1557E">
        <w:t>based</w:t>
      </w:r>
      <w:r>
        <w:t xml:space="preserve"> on the general equation that the in-lake concentration is equal to the inflow concentration multiplied by the fraction not retained in</w:t>
      </w:r>
      <w:r w:rsidR="00A1557E">
        <w:t> </w:t>
      </w:r>
      <w:r>
        <w:t>the</w:t>
      </w:r>
      <w:r w:rsidR="00A1557E">
        <w:t> </w:t>
      </w:r>
      <w:r>
        <w:t xml:space="preserve">lake sediment, or, in the case of nitrogen, removed by denitrification (1-R) – Eq. 6 (Vollenweider, 1976, Verburg </w:t>
      </w:r>
      <w:r w:rsidRPr="00A1557E">
        <w:t>et al.,</w:t>
      </w:r>
      <w:r>
        <w:t xml:space="preserve"> 2018). </w:t>
      </w:r>
    </w:p>
    <w:p w14:paraId="0489FF5C" w14:textId="4BD69680" w:rsidR="00552375" w:rsidRPr="00A1557E" w:rsidRDefault="00552375" w:rsidP="00A1557E">
      <w:pPr>
        <w:pStyle w:val="BodyText"/>
        <w:tabs>
          <w:tab w:val="right" w:pos="7371"/>
        </w:tabs>
        <w:ind w:left="284"/>
      </w:pPr>
      <w:r>
        <w:t>Nutrient</w:t>
      </w:r>
      <w:r>
        <w:rPr>
          <w:vertAlign w:val="subscript"/>
        </w:rPr>
        <w:t>inlake</w:t>
      </w:r>
      <w:r>
        <w:t xml:space="preserve"> = (1 - R) * Nutrient</w:t>
      </w:r>
      <w:r>
        <w:rPr>
          <w:vertAlign w:val="subscript"/>
        </w:rPr>
        <w:t>inflow</w:t>
      </w:r>
      <w:r>
        <w:rPr>
          <w:vertAlign w:val="subscript"/>
        </w:rPr>
        <w:tab/>
      </w:r>
      <w:r w:rsidRPr="007361B2">
        <w:t xml:space="preserve">Eq. </w:t>
      </w:r>
      <w:r>
        <w:t>6</w:t>
      </w:r>
    </w:p>
    <w:p w14:paraId="3D162EA9" w14:textId="0085A83E" w:rsidR="00552375" w:rsidRDefault="00552375" w:rsidP="00552375">
      <w:pPr>
        <w:pStyle w:val="BodyText"/>
      </w:pPr>
      <w:r>
        <w:t>The equation for retention (R) of phosphorus (Vollenweider, 1976), when substituted into Eq.</w:t>
      </w:r>
      <w:r w:rsidR="00A1557E">
        <w:t> </w:t>
      </w:r>
      <w:r>
        <w:t>6, yields Eq. 3, however, nitrogen retention (the sum of sequestration in the sediment and</w:t>
      </w:r>
      <w:r w:rsidR="00A1557E">
        <w:t> </w:t>
      </w:r>
      <w:r>
        <w:t xml:space="preserve">removal by denitrification) in lakes is different to retention of phosphorus (Verburg </w:t>
      </w:r>
      <w:r w:rsidRPr="00A1557E">
        <w:t>et al.,</w:t>
      </w:r>
      <w:r>
        <w:t xml:space="preserve"> 2018). </w:t>
      </w:r>
      <w:r w:rsidRPr="00D67BCA">
        <w:t xml:space="preserve">In deep and fully oxic lakes, </w:t>
      </w:r>
      <w:r>
        <w:t xml:space="preserve">nitrogen </w:t>
      </w:r>
      <w:r w:rsidRPr="00D67BCA">
        <w:t xml:space="preserve">retention is usually less efficient than </w:t>
      </w:r>
      <w:r>
        <w:t xml:space="preserve">phosphorus </w:t>
      </w:r>
      <w:r w:rsidRPr="00D67BCA">
        <w:t xml:space="preserve">retention (Wetzel 2001). The average </w:t>
      </w:r>
      <w:r>
        <w:t xml:space="preserve">nitrogen </w:t>
      </w:r>
      <w:r w:rsidRPr="00D67BCA">
        <w:t>retention found in lakes is 34% (Saunders and Kalff</w:t>
      </w:r>
      <w:r>
        <w:t>,</w:t>
      </w:r>
      <w:r w:rsidRPr="00D67BCA">
        <w:t xml:space="preserve"> 2001).</w:t>
      </w:r>
      <w:r>
        <w:t xml:space="preserve"> </w:t>
      </w:r>
    </w:p>
    <w:p w14:paraId="1708D2C1" w14:textId="77777777" w:rsidR="00552375" w:rsidRPr="007361B2" w:rsidRDefault="00552375" w:rsidP="00A1557E">
      <w:pPr>
        <w:pStyle w:val="BodyText"/>
        <w:spacing w:after="80"/>
      </w:pPr>
      <w:r>
        <w:t>Nitrogen retention can be estimated via Eq. 7 (</w:t>
      </w:r>
      <w:r w:rsidRPr="00A1557E">
        <w:t>Harrison et al.,</w:t>
      </w:r>
      <w:r>
        <w:t xml:space="preserve"> 2009), which requires retention time (</w:t>
      </w:r>
      <w:r w:rsidRPr="00096C05">
        <w:rPr>
          <w:i/>
        </w:rPr>
        <w:t>T</w:t>
      </w:r>
      <w:r w:rsidRPr="00096C05">
        <w:rPr>
          <w:i/>
          <w:vertAlign w:val="subscript"/>
        </w:rPr>
        <w:t>w</w:t>
      </w:r>
      <w:r>
        <w:rPr>
          <w:i/>
        </w:rPr>
        <w:t xml:space="preserve">, </w:t>
      </w:r>
      <w:r>
        <w:t xml:space="preserve">which is the same as </w:t>
      </w:r>
      <w:r>
        <w:rPr>
          <w:i/>
        </w:rPr>
        <w:t>T</w:t>
      </w:r>
      <w:r>
        <w:t>), average lake depth (</w:t>
      </w:r>
      <w:r>
        <w:rPr>
          <w:i/>
        </w:rPr>
        <w:t>z</w:t>
      </w:r>
      <w:r>
        <w:t xml:space="preserve">) and the nitrogen settling velocity (a). Harrison </w:t>
      </w:r>
      <w:r w:rsidRPr="001D0EDF">
        <w:rPr>
          <w:i/>
        </w:rPr>
        <w:t>et al.</w:t>
      </w:r>
      <w:r>
        <w:t xml:space="preserve"> (2009) reported a mean nitrogen settling velocity (a) of 6.8. </w:t>
      </w:r>
    </w:p>
    <w:p w14:paraId="4889E2EC" w14:textId="2D4240DF" w:rsidR="00552375" w:rsidRPr="007361B2" w:rsidRDefault="00552375" w:rsidP="00A1557E">
      <w:pPr>
        <w:pStyle w:val="BodyText"/>
        <w:tabs>
          <w:tab w:val="right" w:pos="7371"/>
        </w:tabs>
        <w:ind w:left="284"/>
      </w:pPr>
      <w:r w:rsidRPr="00A11DA7">
        <w:rPr>
          <w:noProof/>
        </w:rPr>
        <w:drawing>
          <wp:inline distT="0" distB="0" distL="0" distR="0" wp14:anchorId="43D26AA8" wp14:editId="7A528AD1">
            <wp:extent cx="1542301" cy="3772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1271" cy="394168"/>
                    </a:xfrm>
                    <a:prstGeom prst="rect">
                      <a:avLst/>
                    </a:prstGeom>
                    <a:noFill/>
                    <a:ln>
                      <a:noFill/>
                    </a:ln>
                  </pic:spPr>
                </pic:pic>
              </a:graphicData>
            </a:graphic>
          </wp:inline>
        </w:drawing>
      </w:r>
      <w:r>
        <w:rPr>
          <w:b/>
          <w:sz w:val="16"/>
          <w:szCs w:val="16"/>
        </w:rPr>
        <w:tab/>
      </w:r>
      <w:r w:rsidRPr="007361B2">
        <w:t xml:space="preserve">Eq. </w:t>
      </w:r>
      <w:r>
        <w:t>7</w:t>
      </w:r>
    </w:p>
    <w:p w14:paraId="6CD34309" w14:textId="56E2E359" w:rsidR="00552375" w:rsidRPr="00A1557E" w:rsidRDefault="00552375" w:rsidP="00A1557E">
      <w:pPr>
        <w:pStyle w:val="BodyText"/>
      </w:pPr>
      <w:r>
        <w:t xml:space="preserve">Substituting Eq. 6 into Eq. 7 may provide </w:t>
      </w:r>
      <w:r w:rsidRPr="00A1557E">
        <w:t>regional</w:t>
      </w:r>
      <w:r>
        <w:t xml:space="preserve"> councils with another screening-level method for converting TN</w:t>
      </w:r>
      <w:r>
        <w:rPr>
          <w:vertAlign w:val="subscript"/>
        </w:rPr>
        <w:t>FMU</w:t>
      </w:r>
      <w:r>
        <w:rPr>
          <w:vertAlign w:val="superscript"/>
        </w:rPr>
        <w:t xml:space="preserve"> </w:t>
      </w:r>
      <w:r>
        <w:t>criteria (ie, [X]) into TN</w:t>
      </w:r>
      <w:r>
        <w:rPr>
          <w:vertAlign w:val="subscript"/>
        </w:rPr>
        <w:t>in-lake</w:t>
      </w:r>
      <w:r>
        <w:t xml:space="preserve"> concentrations (ie, [Y] values), when</w:t>
      </w:r>
      <w:r w:rsidR="00D72F8E">
        <w:t> </w:t>
      </w:r>
      <w:r>
        <w:t xml:space="preserve">the application of equations 4a or 4b are not recommended (eg, when </w:t>
      </w:r>
      <w:r>
        <w:rPr>
          <w:i/>
        </w:rPr>
        <w:t xml:space="preserve">T </w:t>
      </w:r>
      <w:r w:rsidRPr="00855913">
        <w:t>&lt;</w:t>
      </w:r>
      <w:r>
        <w:rPr>
          <w:i/>
        </w:rPr>
        <w:t xml:space="preserve"> </w:t>
      </w:r>
      <w:r w:rsidRPr="00855913">
        <w:t>c. 1 year)</w:t>
      </w:r>
      <w:r>
        <w:t>.</w:t>
      </w:r>
    </w:p>
    <w:p w14:paraId="7FBF9F29" w14:textId="77777777" w:rsidR="00552375" w:rsidRPr="00A1557E" w:rsidRDefault="00552375" w:rsidP="00552375">
      <w:pPr>
        <w:pStyle w:val="BodyText"/>
      </w:pPr>
      <w:r>
        <w:t xml:space="preserve">For lakes with a small number of inflows, it is relatively straightforward to measure the </w:t>
      </w:r>
      <w:r w:rsidRPr="00A1557E">
        <w:t xml:space="preserve">retention of nutrients in lakes (Verburg et al., 2018). </w:t>
      </w:r>
    </w:p>
    <w:p w14:paraId="7549E180" w14:textId="6D652AD5" w:rsidR="00552375" w:rsidRPr="00BB40B8" w:rsidRDefault="00552375" w:rsidP="00A1557E">
      <w:pPr>
        <w:pStyle w:val="Heading4"/>
        <w:ind w:left="0" w:firstLine="0"/>
      </w:pPr>
      <w:r w:rsidRPr="00BB40B8">
        <w:t xml:space="preserve">Look-up </w:t>
      </w:r>
      <w:r>
        <w:t>graphs</w:t>
      </w:r>
      <w:r w:rsidRPr="00BB40B8">
        <w:t xml:space="preserve"> for the conversion of TN</w:t>
      </w:r>
      <w:r w:rsidRPr="00BB40B8">
        <w:rPr>
          <w:vertAlign w:val="subscript"/>
        </w:rPr>
        <w:t xml:space="preserve">inflow </w:t>
      </w:r>
      <w:r w:rsidRPr="00BB40B8">
        <w:t>and TP</w:t>
      </w:r>
      <w:r w:rsidRPr="00BB40B8">
        <w:rPr>
          <w:vertAlign w:val="subscript"/>
        </w:rPr>
        <w:t xml:space="preserve">inflow </w:t>
      </w:r>
      <w:r>
        <w:t>to</w:t>
      </w:r>
      <w:r w:rsidRPr="00BB40B8">
        <w:t xml:space="preserve"> correspond</w:t>
      </w:r>
      <w:r>
        <w:t>ing</w:t>
      </w:r>
      <w:r w:rsidRPr="00BB40B8">
        <w:t xml:space="preserve"> in</w:t>
      </w:r>
      <w:r w:rsidR="00D72F8E">
        <w:noBreakHyphen/>
      </w:r>
      <w:r w:rsidRPr="00BB40B8">
        <w:t>lake</w:t>
      </w:r>
      <w:r w:rsidR="00D72F8E">
        <w:t> </w:t>
      </w:r>
      <w:r w:rsidRPr="00BB40B8">
        <w:t>nutrient concentrations (TN</w:t>
      </w:r>
      <w:r>
        <w:rPr>
          <w:vertAlign w:val="subscript"/>
        </w:rPr>
        <w:t>in-l</w:t>
      </w:r>
      <w:r w:rsidRPr="00BB40B8">
        <w:rPr>
          <w:vertAlign w:val="subscript"/>
        </w:rPr>
        <w:t>ake</w:t>
      </w:r>
      <w:r w:rsidRPr="00BB40B8">
        <w:t xml:space="preserve"> and TP</w:t>
      </w:r>
      <w:r>
        <w:rPr>
          <w:vertAlign w:val="subscript"/>
        </w:rPr>
        <w:t>in-l</w:t>
      </w:r>
      <w:r w:rsidRPr="00BB40B8">
        <w:rPr>
          <w:vertAlign w:val="subscript"/>
        </w:rPr>
        <w:t>ake</w:t>
      </w:r>
      <w:r w:rsidRPr="00BB40B8">
        <w:t>)</w:t>
      </w:r>
    </w:p>
    <w:p w14:paraId="2E5CE436" w14:textId="674FAF3C" w:rsidR="00552375" w:rsidRDefault="00552375" w:rsidP="00A1557E">
      <w:pPr>
        <w:pStyle w:val="BodyText"/>
      </w:pPr>
      <w:r w:rsidRPr="004F044B">
        <w:rPr>
          <w:sz w:val="28"/>
        </w:rPr>
        <w:fldChar w:fldCharType="begin"/>
      </w:r>
      <w:r w:rsidRPr="004F044B">
        <w:rPr>
          <w:sz w:val="24"/>
        </w:rPr>
        <w:instrText xml:space="preserve"> REF _Ref518252869 \h </w:instrText>
      </w:r>
      <w:r>
        <w:rPr>
          <w:sz w:val="28"/>
        </w:rPr>
        <w:instrText xml:space="preserve"> \* MERGEFORMAT </w:instrText>
      </w:r>
      <w:r w:rsidRPr="004F044B">
        <w:rPr>
          <w:sz w:val="28"/>
        </w:rPr>
      </w:r>
      <w:r w:rsidRPr="004F044B">
        <w:rPr>
          <w:sz w:val="28"/>
        </w:rPr>
        <w:fldChar w:fldCharType="separate"/>
      </w:r>
      <w:r w:rsidR="001A7243" w:rsidRPr="00967EDA">
        <w:t xml:space="preserve">Figure </w:t>
      </w:r>
      <w:r w:rsidR="001A7243">
        <w:rPr>
          <w:noProof/>
        </w:rPr>
        <w:t>15</w:t>
      </w:r>
      <w:r w:rsidRPr="004F044B">
        <w:rPr>
          <w:sz w:val="28"/>
        </w:rPr>
        <w:fldChar w:fldCharType="end"/>
      </w:r>
      <w:r>
        <w:rPr>
          <w:sz w:val="24"/>
        </w:rPr>
        <w:t xml:space="preserve"> </w:t>
      </w:r>
      <w:r>
        <w:t>is a ‘look-up’</w:t>
      </w:r>
      <w:r w:rsidRPr="00BB40B8">
        <w:t xml:space="preserve"> </w:t>
      </w:r>
      <w:r>
        <w:t>graph</w:t>
      </w:r>
      <w:r w:rsidRPr="00BB40B8">
        <w:t xml:space="preserve"> based on the Vollenweider (Eq.</w:t>
      </w:r>
      <w:r>
        <w:t xml:space="preserve"> 3</w:t>
      </w:r>
      <w:r w:rsidRPr="00BB40B8">
        <w:t>) relationship between TP</w:t>
      </w:r>
      <w:r w:rsidRPr="00BB40B8">
        <w:rPr>
          <w:vertAlign w:val="subscript"/>
        </w:rPr>
        <w:t>inflow</w:t>
      </w:r>
      <w:r w:rsidRPr="00BB40B8">
        <w:t xml:space="preserve"> (0</w:t>
      </w:r>
      <w:r w:rsidR="00A1557E">
        <w:t>–</w:t>
      </w:r>
      <w:r w:rsidRPr="00BB40B8">
        <w:t>100 mg/m</w:t>
      </w:r>
      <w:r w:rsidRPr="00BB40B8">
        <w:rPr>
          <w:vertAlign w:val="superscript"/>
        </w:rPr>
        <w:t>3</w:t>
      </w:r>
      <w:r w:rsidRPr="00BB40B8">
        <w:t>) and TP</w:t>
      </w:r>
      <w:r>
        <w:rPr>
          <w:vertAlign w:val="subscript"/>
        </w:rPr>
        <w:t>in-l</w:t>
      </w:r>
      <w:r w:rsidRPr="00BB40B8">
        <w:rPr>
          <w:vertAlign w:val="subscript"/>
        </w:rPr>
        <w:t>ake</w:t>
      </w:r>
      <w:r w:rsidRPr="00BB40B8">
        <w:t xml:space="preserve"> for lake retention times ranging from 0 to 10 years. The </w:t>
      </w:r>
      <w:r w:rsidRPr="00D72F8E">
        <w:t xml:space="preserve">90th </w:t>
      </w:r>
      <w:r w:rsidRPr="00BB40B8">
        <w:t xml:space="preserve">percentile value for median TP concentrations in New Zealand rivers was 80 </w:t>
      </w:r>
      <w:r>
        <w:t>m</w:t>
      </w:r>
      <w:r w:rsidRPr="00BB40B8">
        <w:t>g/m</w:t>
      </w:r>
      <w:r w:rsidRPr="00BB40B8">
        <w:rPr>
          <w:vertAlign w:val="superscript"/>
        </w:rPr>
        <w:t>3</w:t>
      </w:r>
      <w:r w:rsidRPr="00BB40B8">
        <w:t xml:space="preserve"> (n=748, Larned </w:t>
      </w:r>
      <w:r w:rsidRPr="001D0EDF">
        <w:rPr>
          <w:i/>
        </w:rPr>
        <w:t>et al.</w:t>
      </w:r>
      <w:r w:rsidRPr="00BB40B8">
        <w:t xml:space="preserve"> 2015). </w:t>
      </w:r>
      <w:r w:rsidRPr="00C7620B">
        <w:fldChar w:fldCharType="begin"/>
      </w:r>
      <w:r w:rsidRPr="00C7620B">
        <w:instrText xml:space="preserve"> REF _Ref518253062 \h  \* MERGEFORMAT </w:instrText>
      </w:r>
      <w:r w:rsidRPr="00C7620B">
        <w:fldChar w:fldCharType="separate"/>
      </w:r>
      <w:r w:rsidR="001A7243" w:rsidRPr="00BB40B8">
        <w:rPr>
          <w:lang w:val="en-AU"/>
        </w:rPr>
        <w:t xml:space="preserve">Figure </w:t>
      </w:r>
      <w:r w:rsidR="001A7243">
        <w:rPr>
          <w:noProof/>
          <w:lang w:val="en-AU"/>
        </w:rPr>
        <w:t>16</w:t>
      </w:r>
      <w:r w:rsidRPr="00C7620B">
        <w:fldChar w:fldCharType="end"/>
      </w:r>
      <w:r w:rsidRPr="00C7620B">
        <w:t xml:space="preserve"> </w:t>
      </w:r>
      <w:r>
        <w:t xml:space="preserve">is a look-up graph based on the Vollenweider (Eq. 5) relationship between </w:t>
      </w:r>
      <w:r w:rsidRPr="00BB40B8">
        <w:t>TP</w:t>
      </w:r>
      <w:r w:rsidRPr="00BB40B8">
        <w:rPr>
          <w:vertAlign w:val="subscript"/>
        </w:rPr>
        <w:t>inflow</w:t>
      </w:r>
      <w:r w:rsidRPr="00BB40B8">
        <w:t xml:space="preserve"> (0-100 mg/m</w:t>
      </w:r>
      <w:r w:rsidRPr="00BB40B8">
        <w:rPr>
          <w:vertAlign w:val="superscript"/>
        </w:rPr>
        <w:t>3</w:t>
      </w:r>
      <w:r w:rsidRPr="00BB40B8">
        <w:t>) and TP</w:t>
      </w:r>
      <w:r>
        <w:rPr>
          <w:vertAlign w:val="subscript"/>
        </w:rPr>
        <w:t>in-l</w:t>
      </w:r>
      <w:r w:rsidRPr="00BB40B8">
        <w:rPr>
          <w:vertAlign w:val="subscript"/>
        </w:rPr>
        <w:t>ake</w:t>
      </w:r>
      <w:r w:rsidRPr="00BB40B8">
        <w:t xml:space="preserve"> for lake retention times ranging from 0 to 10 years.</w:t>
      </w:r>
    </w:p>
    <w:p w14:paraId="3CABB712" w14:textId="65D3E0CA" w:rsidR="00552375" w:rsidRPr="00BB40B8" w:rsidRDefault="00552375" w:rsidP="00A1557E">
      <w:pPr>
        <w:pStyle w:val="BodyText"/>
      </w:pPr>
      <w:r w:rsidRPr="00C7620B">
        <w:fldChar w:fldCharType="begin"/>
      </w:r>
      <w:r w:rsidRPr="00C7620B">
        <w:instrText xml:space="preserve"> REF _Ref518253118 \h  \* MERGEFORMAT </w:instrText>
      </w:r>
      <w:r w:rsidRPr="00C7620B">
        <w:fldChar w:fldCharType="separate"/>
      </w:r>
      <w:r w:rsidR="001A7243" w:rsidRPr="00BB40B8">
        <w:rPr>
          <w:lang w:val="en-AU"/>
        </w:rPr>
        <w:t xml:space="preserve">Figure </w:t>
      </w:r>
      <w:r w:rsidR="001A7243">
        <w:rPr>
          <w:noProof/>
          <w:lang w:val="en-AU"/>
        </w:rPr>
        <w:t>17</w:t>
      </w:r>
      <w:r w:rsidRPr="00C7620B">
        <w:fldChar w:fldCharType="end"/>
      </w:r>
      <w:r w:rsidRPr="00C7620B">
        <w:t xml:space="preserve"> </w:t>
      </w:r>
      <w:r w:rsidRPr="000449D5">
        <w:t>i</w:t>
      </w:r>
      <w:r>
        <w:t>s a ‘look-up’ graph</w:t>
      </w:r>
      <w:r w:rsidRPr="00BB40B8">
        <w:t xml:space="preserve"> based on the Vollenweider (Eq.</w:t>
      </w:r>
      <w:r>
        <w:t xml:space="preserve"> 4</w:t>
      </w:r>
      <w:r w:rsidRPr="00BB40B8">
        <w:t>) relationship between TN</w:t>
      </w:r>
      <w:r w:rsidRPr="00BB40B8">
        <w:rPr>
          <w:vertAlign w:val="subscript"/>
        </w:rPr>
        <w:t>inflow</w:t>
      </w:r>
      <w:r>
        <w:t xml:space="preserve"> (0</w:t>
      </w:r>
      <w:r w:rsidR="00A1557E">
        <w:t>–</w:t>
      </w:r>
      <w:r>
        <w:t>2</w:t>
      </w:r>
      <w:r w:rsidRPr="00BB40B8">
        <w:t>000 mg/m</w:t>
      </w:r>
      <w:r w:rsidRPr="00BB40B8">
        <w:rPr>
          <w:vertAlign w:val="superscript"/>
        </w:rPr>
        <w:t>3</w:t>
      </w:r>
      <w:r w:rsidRPr="00BB40B8">
        <w:t>) and TN</w:t>
      </w:r>
      <w:r>
        <w:rPr>
          <w:vertAlign w:val="subscript"/>
        </w:rPr>
        <w:t>in-l</w:t>
      </w:r>
      <w:r w:rsidRPr="00BB40B8">
        <w:rPr>
          <w:vertAlign w:val="subscript"/>
        </w:rPr>
        <w:t>ake</w:t>
      </w:r>
      <w:r w:rsidRPr="00BB40B8">
        <w:t xml:space="preserve"> for lake retention times ranging from 0 to 10 years. </w:t>
      </w:r>
      <w:r w:rsidRPr="00A1557E">
        <w:t>The 90th</w:t>
      </w:r>
      <w:r w:rsidRPr="00BB40B8">
        <w:t xml:space="preserve"> percentile value for median TN concentrati</w:t>
      </w:r>
      <w:r>
        <w:t>ons in New Zealand rivers was 1</w:t>
      </w:r>
      <w:r w:rsidRPr="00BB40B8">
        <w:t xml:space="preserve">850 </w:t>
      </w:r>
      <w:r>
        <w:t>m</w:t>
      </w:r>
      <w:r w:rsidRPr="00BB40B8">
        <w:t>g/m</w:t>
      </w:r>
      <w:r w:rsidRPr="00BB40B8">
        <w:rPr>
          <w:vertAlign w:val="superscript"/>
        </w:rPr>
        <w:t>3</w:t>
      </w:r>
      <w:r w:rsidRPr="00BB40B8">
        <w:t xml:space="preserve"> (n=748,</w:t>
      </w:r>
      <w:r w:rsidR="00A1557E">
        <w:t> </w:t>
      </w:r>
      <w:r w:rsidRPr="00BB40B8">
        <w:t xml:space="preserve">Larned </w:t>
      </w:r>
      <w:r w:rsidRPr="00A1557E">
        <w:t>et al.,</w:t>
      </w:r>
      <w:r w:rsidRPr="00BB40B8">
        <w:t xml:space="preserve"> 2015). </w:t>
      </w:r>
    </w:p>
    <w:p w14:paraId="229B0402" w14:textId="77777777" w:rsidR="00552375" w:rsidRDefault="00552375" w:rsidP="00A1557E">
      <w:pPr>
        <w:pStyle w:val="BodyText"/>
      </w:pPr>
      <w:r w:rsidRPr="00BB40B8">
        <w:t>A cautious (or preferably alternative) approach should be taken when attempting to use the Vollenweider equations (Eq. 3 and Eq. 4) for lakes with either short retention times, or those tha</w:t>
      </w:r>
      <w:r>
        <w:t>t have some of the problematic characteristics</w:t>
      </w:r>
      <w:r w:rsidRPr="00BB40B8">
        <w:t xml:space="preserve"> identified by Janus and Vollenweider (1981).</w:t>
      </w:r>
    </w:p>
    <w:p w14:paraId="79FE57F3" w14:textId="6374CE79" w:rsidR="00552375" w:rsidRPr="00967EDA" w:rsidRDefault="00552375" w:rsidP="00A1557E">
      <w:pPr>
        <w:pStyle w:val="Figureheading"/>
      </w:pPr>
      <w:bookmarkStart w:id="150" w:name="_Ref518252869"/>
      <w:bookmarkStart w:id="151" w:name="_Toc519682851"/>
      <w:bookmarkStart w:id="152" w:name="_Toc521487722"/>
      <w:bookmarkStart w:id="153" w:name="_Toc73711488"/>
      <w:r w:rsidRPr="00967EDA">
        <w:t xml:space="preserve">Figure </w:t>
      </w:r>
      <w:fldSimple w:instr=" SEQ Figure \* ARABIC ">
        <w:r w:rsidR="001A7243">
          <w:rPr>
            <w:noProof/>
          </w:rPr>
          <w:t>15</w:t>
        </w:r>
      </w:fldSimple>
      <w:bookmarkEnd w:id="150"/>
      <w:r w:rsidRPr="00967EDA">
        <w:t xml:space="preserve">: </w:t>
      </w:r>
      <w:r>
        <w:tab/>
      </w:r>
      <w:r w:rsidRPr="00967EDA">
        <w:t>Look-up chart of estimated TP</w:t>
      </w:r>
      <w:r w:rsidRPr="00967EDA">
        <w:rPr>
          <w:vertAlign w:val="subscript"/>
        </w:rPr>
        <w:t xml:space="preserve">in-lake </w:t>
      </w:r>
      <w:r w:rsidRPr="00A1557E">
        <w:t>concentrations</w:t>
      </w:r>
      <w:r w:rsidRPr="00967EDA">
        <w:t xml:space="preserve"> using Eq. </w:t>
      </w:r>
      <w:r>
        <w:t>3</w:t>
      </w:r>
      <w:r w:rsidRPr="00967EDA">
        <w:t xml:space="preserve"> </w:t>
      </w:r>
      <w:r>
        <w:t xml:space="preserve">(Vollenweider, 1976) </w:t>
      </w:r>
      <w:r w:rsidRPr="00967EDA">
        <w:t>for TP</w:t>
      </w:r>
      <w:r w:rsidRPr="00967EDA">
        <w:rPr>
          <w:vertAlign w:val="subscript"/>
        </w:rPr>
        <w:t>FMU</w:t>
      </w:r>
      <w:r w:rsidRPr="00967EDA">
        <w:t xml:space="preserve"> values of 0-100 mg/m</w:t>
      </w:r>
      <w:r w:rsidRPr="00967EDA">
        <w:rPr>
          <w:vertAlign w:val="superscript"/>
        </w:rPr>
        <w:t>3</w:t>
      </w:r>
      <w:r w:rsidRPr="00967EDA">
        <w:t xml:space="preserve"> and lake residence times (</w:t>
      </w:r>
      <w:r w:rsidRPr="00967EDA">
        <w:rPr>
          <w:i/>
        </w:rPr>
        <w:t>T</w:t>
      </w:r>
      <w:r w:rsidRPr="00967EDA">
        <w:t>) of 0-10 years.</w:t>
      </w:r>
      <w:r w:rsidR="00DD47E9">
        <w:t xml:space="preserve"> </w:t>
      </w:r>
      <w:r w:rsidRPr="00967EDA">
        <w:t>Solid black line =</w:t>
      </w:r>
      <w:r w:rsidR="00A1557E">
        <w:t> </w:t>
      </w:r>
      <w:r w:rsidRPr="00967EDA">
        <w:t>1:1 line (TP</w:t>
      </w:r>
      <w:r w:rsidRPr="00967EDA">
        <w:rPr>
          <w:vertAlign w:val="subscript"/>
        </w:rPr>
        <w:t>FMU</w:t>
      </w:r>
      <w:r w:rsidRPr="00967EDA">
        <w:t xml:space="preserve"> = TP</w:t>
      </w:r>
      <w:r w:rsidRPr="00967EDA">
        <w:rPr>
          <w:vertAlign w:val="subscript"/>
        </w:rPr>
        <w:t>inlake</w:t>
      </w:r>
      <w:r w:rsidRPr="00967EDA">
        <w:t>)</w:t>
      </w:r>
      <w:bookmarkEnd w:id="151"/>
      <w:bookmarkEnd w:id="152"/>
      <w:bookmarkEnd w:id="153"/>
    </w:p>
    <w:p w14:paraId="4B37805C" w14:textId="77777777" w:rsidR="00552375" w:rsidRDefault="00552375" w:rsidP="00A1557E">
      <w:pPr>
        <w:pStyle w:val="BodyText"/>
        <w:spacing w:before="60"/>
        <w:jc w:val="center"/>
      </w:pPr>
      <w:r>
        <w:rPr>
          <w:noProof/>
        </w:rPr>
        <w:drawing>
          <wp:inline distT="0" distB="0" distL="0" distR="0" wp14:anchorId="4BA46152" wp14:editId="03BD8439">
            <wp:extent cx="4833638" cy="3156668"/>
            <wp:effectExtent l="0" t="0" r="5080" b="5715"/>
            <wp:docPr id="42" name="Picture 42" descr="cid:image004.png@01D4119E.1843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4.png@01D4119E.18433670"/>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a:stretch/>
                  </pic:blipFill>
                  <pic:spPr bwMode="auto">
                    <a:xfrm>
                      <a:off x="0" y="0"/>
                      <a:ext cx="4834872" cy="3157474"/>
                    </a:xfrm>
                    <a:prstGeom prst="rect">
                      <a:avLst/>
                    </a:prstGeom>
                    <a:noFill/>
                    <a:ln>
                      <a:noFill/>
                    </a:ln>
                    <a:extLst>
                      <a:ext uri="{53640926-AAD7-44D8-BBD7-CCE9431645EC}">
                        <a14:shadowObscured xmlns:a14="http://schemas.microsoft.com/office/drawing/2010/main"/>
                      </a:ext>
                    </a:extLst>
                  </pic:spPr>
                </pic:pic>
              </a:graphicData>
            </a:graphic>
          </wp:inline>
        </w:drawing>
      </w:r>
    </w:p>
    <w:p w14:paraId="2B4422E3" w14:textId="12F8A263" w:rsidR="00552375" w:rsidRPr="00C82724" w:rsidRDefault="00552375" w:rsidP="00552375">
      <w:pPr>
        <w:pStyle w:val="Figureheading"/>
        <w:rPr>
          <w:lang w:val="en-AU"/>
        </w:rPr>
      </w:pPr>
      <w:bookmarkStart w:id="154" w:name="_Ref518253062"/>
      <w:bookmarkStart w:id="155" w:name="_Toc519682852"/>
      <w:bookmarkStart w:id="156" w:name="_Toc521487723"/>
      <w:bookmarkStart w:id="157" w:name="_Toc73711489"/>
      <w:r w:rsidRPr="00BB40B8">
        <w:rPr>
          <w:lang w:val="en-AU"/>
        </w:rPr>
        <w:t xml:space="preserve">Figure </w:t>
      </w:r>
      <w:r w:rsidRPr="00BB40B8">
        <w:rPr>
          <w:lang w:val="en-AU"/>
        </w:rPr>
        <w:fldChar w:fldCharType="begin"/>
      </w:r>
      <w:r w:rsidRPr="00BB40B8">
        <w:rPr>
          <w:lang w:val="en-AU"/>
        </w:rPr>
        <w:instrText xml:space="preserve"> SEQ Figure \* ARABIC </w:instrText>
      </w:r>
      <w:r w:rsidRPr="00BB40B8">
        <w:rPr>
          <w:lang w:val="en-AU"/>
        </w:rPr>
        <w:fldChar w:fldCharType="separate"/>
      </w:r>
      <w:r w:rsidR="001A7243">
        <w:rPr>
          <w:noProof/>
          <w:lang w:val="en-AU"/>
        </w:rPr>
        <w:t>16</w:t>
      </w:r>
      <w:r w:rsidRPr="00BB40B8">
        <w:rPr>
          <w:lang w:val="en-AU"/>
        </w:rPr>
        <w:fldChar w:fldCharType="end"/>
      </w:r>
      <w:bookmarkEnd w:id="154"/>
      <w:r>
        <w:rPr>
          <w:lang w:val="en-AU"/>
        </w:rPr>
        <w:t xml:space="preserve">: </w:t>
      </w:r>
      <w:r>
        <w:rPr>
          <w:lang w:val="en-AU"/>
        </w:rPr>
        <w:tab/>
        <w:t xml:space="preserve">Look-up </w:t>
      </w:r>
      <w:r w:rsidRPr="00BB40B8">
        <w:rPr>
          <w:lang w:val="en-AU"/>
        </w:rPr>
        <w:t xml:space="preserve">chart </w:t>
      </w:r>
      <w:r>
        <w:rPr>
          <w:lang w:val="en-AU"/>
        </w:rPr>
        <w:t>of</w:t>
      </w:r>
      <w:r w:rsidRPr="00BB40B8">
        <w:rPr>
          <w:lang w:val="en-AU"/>
        </w:rPr>
        <w:t xml:space="preserve"> estimated </w:t>
      </w:r>
      <w:r>
        <w:rPr>
          <w:lang w:val="en-AU"/>
        </w:rPr>
        <w:t>TP</w:t>
      </w:r>
      <w:r>
        <w:rPr>
          <w:vertAlign w:val="subscript"/>
          <w:lang w:val="en-AU"/>
        </w:rPr>
        <w:t>in-lake</w:t>
      </w:r>
      <w:r w:rsidRPr="00BB40B8">
        <w:rPr>
          <w:lang w:val="en-AU"/>
        </w:rPr>
        <w:t xml:space="preserve"> concentrations </w:t>
      </w:r>
      <w:r>
        <w:rPr>
          <w:lang w:val="en-AU"/>
        </w:rPr>
        <w:t xml:space="preserve">using Eq. 5 (OECD, 1982) for </w:t>
      </w:r>
      <w:r w:rsidRPr="00BB40B8">
        <w:rPr>
          <w:lang w:val="en-AU"/>
        </w:rPr>
        <w:t>TP</w:t>
      </w:r>
      <w:r>
        <w:rPr>
          <w:vertAlign w:val="subscript"/>
          <w:lang w:val="en-AU"/>
        </w:rPr>
        <w:t>FMU</w:t>
      </w:r>
      <w:r w:rsidRPr="00BB40B8">
        <w:rPr>
          <w:lang w:val="en-AU"/>
        </w:rPr>
        <w:t xml:space="preserve"> </w:t>
      </w:r>
      <w:r>
        <w:rPr>
          <w:lang w:val="en-AU"/>
        </w:rPr>
        <w:t>values of 0-100 mg/m</w:t>
      </w:r>
      <w:r w:rsidRPr="00C82724">
        <w:rPr>
          <w:vertAlign w:val="superscript"/>
          <w:lang w:val="en-AU"/>
        </w:rPr>
        <w:t>3</w:t>
      </w:r>
      <w:r>
        <w:rPr>
          <w:lang w:val="en-AU"/>
        </w:rPr>
        <w:t xml:space="preserve"> and lake</w:t>
      </w:r>
      <w:r w:rsidRPr="00BB40B8">
        <w:rPr>
          <w:lang w:val="en-AU"/>
        </w:rPr>
        <w:t xml:space="preserve"> residence times</w:t>
      </w:r>
      <w:r>
        <w:rPr>
          <w:lang w:val="en-AU"/>
        </w:rPr>
        <w:t xml:space="preserve"> (</w:t>
      </w:r>
      <w:r>
        <w:rPr>
          <w:i/>
          <w:lang w:val="en-AU"/>
        </w:rPr>
        <w:t>T</w:t>
      </w:r>
      <w:r>
        <w:rPr>
          <w:lang w:val="en-AU"/>
        </w:rPr>
        <w:t>)</w:t>
      </w:r>
      <w:r w:rsidRPr="00BB40B8">
        <w:rPr>
          <w:lang w:val="en-AU"/>
        </w:rPr>
        <w:t xml:space="preserve"> </w:t>
      </w:r>
      <w:r>
        <w:rPr>
          <w:lang w:val="en-AU"/>
        </w:rPr>
        <w:t>of 0-</w:t>
      </w:r>
      <w:r w:rsidRPr="00BB40B8">
        <w:rPr>
          <w:lang w:val="en-AU"/>
        </w:rPr>
        <w:t xml:space="preserve">10 </w:t>
      </w:r>
      <w:r>
        <w:rPr>
          <w:lang w:val="en-AU"/>
        </w:rPr>
        <w:t>years.</w:t>
      </w:r>
      <w:r w:rsidR="00DD47E9">
        <w:rPr>
          <w:lang w:val="en-AU"/>
        </w:rPr>
        <w:t xml:space="preserve"> </w:t>
      </w:r>
      <w:r w:rsidRPr="00BB40B8">
        <w:rPr>
          <w:lang w:val="en-AU"/>
        </w:rPr>
        <w:t xml:space="preserve">Solid black line </w:t>
      </w:r>
      <w:r>
        <w:rPr>
          <w:lang w:val="en-AU"/>
        </w:rPr>
        <w:t>=</w:t>
      </w:r>
      <w:r w:rsidR="00A1557E">
        <w:rPr>
          <w:lang w:val="en-AU"/>
        </w:rPr>
        <w:t> </w:t>
      </w:r>
      <w:r w:rsidRPr="00BB40B8">
        <w:rPr>
          <w:lang w:val="en-AU"/>
        </w:rPr>
        <w:t>1:1</w:t>
      </w:r>
      <w:r w:rsidR="00A1557E">
        <w:rPr>
          <w:lang w:val="en-AU"/>
        </w:rPr>
        <w:t> </w:t>
      </w:r>
      <w:r w:rsidRPr="00BB40B8">
        <w:rPr>
          <w:lang w:val="en-AU"/>
        </w:rPr>
        <w:t xml:space="preserve">line </w:t>
      </w:r>
      <w:r>
        <w:rPr>
          <w:lang w:val="en-AU"/>
        </w:rPr>
        <w:t>(</w:t>
      </w:r>
      <w:r w:rsidRPr="00BB40B8">
        <w:rPr>
          <w:lang w:val="en-AU"/>
        </w:rPr>
        <w:t>TP</w:t>
      </w:r>
      <w:r>
        <w:rPr>
          <w:vertAlign w:val="subscript"/>
          <w:lang w:val="en-AU"/>
        </w:rPr>
        <w:t>FMU</w:t>
      </w:r>
      <w:r w:rsidRPr="00BB40B8">
        <w:rPr>
          <w:vertAlign w:val="subscript"/>
          <w:lang w:val="en-AU"/>
        </w:rPr>
        <w:t xml:space="preserve"> </w:t>
      </w:r>
      <w:r w:rsidRPr="00BB40B8">
        <w:rPr>
          <w:lang w:val="en-AU"/>
        </w:rPr>
        <w:t>= TP</w:t>
      </w:r>
      <w:r>
        <w:rPr>
          <w:vertAlign w:val="subscript"/>
          <w:lang w:val="en-AU"/>
        </w:rPr>
        <w:t>inl</w:t>
      </w:r>
      <w:r w:rsidRPr="00BB40B8">
        <w:rPr>
          <w:vertAlign w:val="subscript"/>
          <w:lang w:val="en-AU"/>
        </w:rPr>
        <w:t>ake</w:t>
      </w:r>
      <w:r>
        <w:rPr>
          <w:lang w:val="en-AU"/>
        </w:rPr>
        <w:t>)</w:t>
      </w:r>
      <w:bookmarkEnd w:id="155"/>
      <w:bookmarkEnd w:id="156"/>
      <w:bookmarkEnd w:id="157"/>
    </w:p>
    <w:p w14:paraId="6FFB33A8" w14:textId="77777777" w:rsidR="00552375" w:rsidRPr="00BB40B8" w:rsidRDefault="00552375" w:rsidP="00A1557E">
      <w:pPr>
        <w:pStyle w:val="BodyText"/>
        <w:spacing w:before="60"/>
        <w:jc w:val="center"/>
      </w:pPr>
      <w:r>
        <w:rPr>
          <w:noProof/>
        </w:rPr>
        <w:drawing>
          <wp:inline distT="0" distB="0" distL="0" distR="0" wp14:anchorId="4E45453A" wp14:editId="1796801D">
            <wp:extent cx="4023360" cy="321435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070888" cy="3252323"/>
                    </a:xfrm>
                    <a:prstGeom prst="rect">
                      <a:avLst/>
                    </a:prstGeom>
                    <a:noFill/>
                    <a:ln>
                      <a:noFill/>
                    </a:ln>
                    <a:extLst>
                      <a:ext uri="{53640926-AAD7-44D8-BBD7-CCE9431645EC}">
                        <a14:shadowObscured xmlns:a14="http://schemas.microsoft.com/office/drawing/2010/main"/>
                      </a:ext>
                    </a:extLst>
                  </pic:spPr>
                </pic:pic>
              </a:graphicData>
            </a:graphic>
          </wp:inline>
        </w:drawing>
      </w:r>
    </w:p>
    <w:p w14:paraId="12F9A207" w14:textId="777C9D89" w:rsidR="00552375" w:rsidRDefault="00552375" w:rsidP="00552375">
      <w:pPr>
        <w:pStyle w:val="Figureheading"/>
        <w:rPr>
          <w:lang w:val="en-AU"/>
        </w:rPr>
      </w:pPr>
      <w:bookmarkStart w:id="158" w:name="_Ref518253118"/>
      <w:bookmarkStart w:id="159" w:name="_Toc521487724"/>
      <w:bookmarkStart w:id="160" w:name="_Toc519682853"/>
      <w:bookmarkStart w:id="161" w:name="_Toc73711490"/>
      <w:r w:rsidRPr="00BB40B8">
        <w:rPr>
          <w:lang w:val="en-AU"/>
        </w:rPr>
        <w:t xml:space="preserve">Figure </w:t>
      </w:r>
      <w:r w:rsidRPr="00BB40B8">
        <w:rPr>
          <w:lang w:val="en-AU"/>
        </w:rPr>
        <w:fldChar w:fldCharType="begin"/>
      </w:r>
      <w:r w:rsidRPr="00BB40B8">
        <w:rPr>
          <w:lang w:val="en-AU"/>
        </w:rPr>
        <w:instrText xml:space="preserve"> SEQ Figure \* ARABIC </w:instrText>
      </w:r>
      <w:r w:rsidRPr="00BB40B8">
        <w:rPr>
          <w:lang w:val="en-AU"/>
        </w:rPr>
        <w:fldChar w:fldCharType="separate"/>
      </w:r>
      <w:r w:rsidR="001A7243">
        <w:rPr>
          <w:noProof/>
          <w:lang w:val="en-AU"/>
        </w:rPr>
        <w:t>17</w:t>
      </w:r>
      <w:r w:rsidRPr="00BB40B8">
        <w:rPr>
          <w:lang w:val="en-AU"/>
        </w:rPr>
        <w:fldChar w:fldCharType="end"/>
      </w:r>
      <w:bookmarkEnd w:id="158"/>
      <w:r w:rsidRPr="00BB40B8">
        <w:rPr>
          <w:lang w:val="en-AU"/>
        </w:rPr>
        <w:t xml:space="preserve">: </w:t>
      </w:r>
      <w:r>
        <w:rPr>
          <w:lang w:val="en-AU"/>
        </w:rPr>
        <w:tab/>
      </w:r>
      <w:r w:rsidRPr="00BB40B8">
        <w:rPr>
          <w:lang w:val="en-AU"/>
        </w:rPr>
        <w:t>Look</w:t>
      </w:r>
      <w:r>
        <w:rPr>
          <w:lang w:val="en-AU"/>
        </w:rPr>
        <w:t>-up</w:t>
      </w:r>
      <w:r w:rsidRPr="00BB40B8">
        <w:rPr>
          <w:lang w:val="en-AU"/>
        </w:rPr>
        <w:t xml:space="preserve"> chart for estimated TN</w:t>
      </w:r>
      <w:r w:rsidRPr="00C82724">
        <w:rPr>
          <w:vertAlign w:val="subscript"/>
          <w:lang w:val="en-AU"/>
        </w:rPr>
        <w:t xml:space="preserve">in-lake </w:t>
      </w:r>
      <w:r w:rsidRPr="00BB40B8">
        <w:rPr>
          <w:lang w:val="en-AU"/>
        </w:rPr>
        <w:t>concentrations</w:t>
      </w:r>
      <w:r>
        <w:rPr>
          <w:lang w:val="en-AU"/>
        </w:rPr>
        <w:t xml:space="preserve"> using Eq. 4 (OECD, 1982) for TN</w:t>
      </w:r>
      <w:r>
        <w:rPr>
          <w:vertAlign w:val="subscript"/>
          <w:lang w:val="en-AU"/>
        </w:rPr>
        <w:t>FMU</w:t>
      </w:r>
      <w:r w:rsidRPr="00BB40B8">
        <w:rPr>
          <w:lang w:val="en-AU"/>
        </w:rPr>
        <w:t xml:space="preserve"> </w:t>
      </w:r>
      <w:r>
        <w:rPr>
          <w:lang w:val="en-AU"/>
        </w:rPr>
        <w:t>values of 0-2000 mg/m</w:t>
      </w:r>
      <w:r w:rsidRPr="00C82724">
        <w:rPr>
          <w:vertAlign w:val="superscript"/>
          <w:lang w:val="en-AU"/>
        </w:rPr>
        <w:t>3</w:t>
      </w:r>
      <w:r>
        <w:rPr>
          <w:lang w:val="en-AU"/>
        </w:rPr>
        <w:t xml:space="preserve"> and lake</w:t>
      </w:r>
      <w:r w:rsidRPr="00BB40B8">
        <w:rPr>
          <w:lang w:val="en-AU"/>
        </w:rPr>
        <w:t xml:space="preserve"> residence times</w:t>
      </w:r>
      <w:r>
        <w:rPr>
          <w:lang w:val="en-AU"/>
        </w:rPr>
        <w:t xml:space="preserve"> (</w:t>
      </w:r>
      <w:r>
        <w:rPr>
          <w:i/>
          <w:lang w:val="en-AU"/>
        </w:rPr>
        <w:t>T</w:t>
      </w:r>
      <w:r>
        <w:rPr>
          <w:lang w:val="en-AU"/>
        </w:rPr>
        <w:t>)</w:t>
      </w:r>
      <w:r w:rsidRPr="00BB40B8">
        <w:rPr>
          <w:lang w:val="en-AU"/>
        </w:rPr>
        <w:t xml:space="preserve"> </w:t>
      </w:r>
      <w:r>
        <w:rPr>
          <w:lang w:val="en-AU"/>
        </w:rPr>
        <w:t>of 0-</w:t>
      </w:r>
      <w:r w:rsidRPr="00BB40B8">
        <w:rPr>
          <w:lang w:val="en-AU"/>
        </w:rPr>
        <w:t xml:space="preserve">10 </w:t>
      </w:r>
      <w:r>
        <w:rPr>
          <w:lang w:val="en-AU"/>
        </w:rPr>
        <w:t>years</w:t>
      </w:r>
      <w:r w:rsidRPr="00BB40B8">
        <w:rPr>
          <w:lang w:val="en-AU"/>
        </w:rPr>
        <w:t xml:space="preserve">. Solid black line </w:t>
      </w:r>
      <w:r>
        <w:rPr>
          <w:lang w:val="en-AU"/>
        </w:rPr>
        <w:t>=</w:t>
      </w:r>
      <w:r w:rsidR="00A1557E">
        <w:rPr>
          <w:lang w:val="en-AU"/>
        </w:rPr>
        <w:t> </w:t>
      </w:r>
      <w:r w:rsidRPr="00BB40B8">
        <w:rPr>
          <w:lang w:val="en-AU"/>
        </w:rPr>
        <w:t>1:1</w:t>
      </w:r>
      <w:r w:rsidR="00A1557E">
        <w:rPr>
          <w:lang w:val="en-AU"/>
        </w:rPr>
        <w:t> </w:t>
      </w:r>
      <w:r w:rsidRPr="00BB40B8">
        <w:rPr>
          <w:lang w:val="en-AU"/>
        </w:rPr>
        <w:t xml:space="preserve">line </w:t>
      </w:r>
      <w:r>
        <w:rPr>
          <w:lang w:val="en-AU"/>
        </w:rPr>
        <w:t>(</w:t>
      </w:r>
      <w:r w:rsidRPr="00BB40B8">
        <w:rPr>
          <w:lang w:val="en-AU"/>
        </w:rPr>
        <w:t>T</w:t>
      </w:r>
      <w:r>
        <w:rPr>
          <w:lang w:val="en-AU"/>
        </w:rPr>
        <w:t>N</w:t>
      </w:r>
      <w:r>
        <w:rPr>
          <w:vertAlign w:val="subscript"/>
          <w:lang w:val="en-AU"/>
        </w:rPr>
        <w:t>FMU</w:t>
      </w:r>
      <w:r w:rsidRPr="00BB40B8">
        <w:rPr>
          <w:vertAlign w:val="subscript"/>
          <w:lang w:val="en-AU"/>
        </w:rPr>
        <w:t xml:space="preserve"> </w:t>
      </w:r>
      <w:r>
        <w:rPr>
          <w:lang w:val="en-AU"/>
        </w:rPr>
        <w:t>= TN</w:t>
      </w:r>
      <w:r>
        <w:rPr>
          <w:vertAlign w:val="subscript"/>
          <w:lang w:val="en-AU"/>
        </w:rPr>
        <w:t>in-l</w:t>
      </w:r>
      <w:r w:rsidRPr="00BB40B8">
        <w:rPr>
          <w:vertAlign w:val="subscript"/>
          <w:lang w:val="en-AU"/>
        </w:rPr>
        <w:t>ake</w:t>
      </w:r>
      <w:r>
        <w:rPr>
          <w:lang w:val="en-AU"/>
        </w:rPr>
        <w:t>)</w:t>
      </w:r>
      <w:bookmarkEnd w:id="159"/>
      <w:bookmarkEnd w:id="160"/>
      <w:bookmarkEnd w:id="161"/>
    </w:p>
    <w:p w14:paraId="0DE0D88E" w14:textId="77777777" w:rsidR="00552375" w:rsidRDefault="00552375" w:rsidP="00A1557E">
      <w:pPr>
        <w:pStyle w:val="BodyText"/>
        <w:spacing w:before="60"/>
        <w:jc w:val="center"/>
      </w:pPr>
      <w:r>
        <w:rPr>
          <w:noProof/>
        </w:rPr>
        <w:drawing>
          <wp:inline distT="0" distB="0" distL="0" distR="0" wp14:anchorId="3942FAC3" wp14:editId="6F6883D5">
            <wp:extent cx="3830128" cy="3502639"/>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907058" cy="3572991"/>
                    </a:xfrm>
                    <a:prstGeom prst="rect">
                      <a:avLst/>
                    </a:prstGeom>
                    <a:noFill/>
                    <a:ln>
                      <a:noFill/>
                    </a:ln>
                    <a:extLst>
                      <a:ext uri="{53640926-AAD7-44D8-BBD7-CCE9431645EC}">
                        <a14:shadowObscured xmlns:a14="http://schemas.microsoft.com/office/drawing/2010/main"/>
                      </a:ext>
                    </a:extLst>
                  </pic:spPr>
                </pic:pic>
              </a:graphicData>
            </a:graphic>
          </wp:inline>
        </w:drawing>
      </w:r>
    </w:p>
    <w:p w14:paraId="10882905" w14:textId="02CA100A" w:rsidR="00552375" w:rsidRPr="00BB40B8" w:rsidRDefault="00552375" w:rsidP="00A1557E">
      <w:pPr>
        <w:pStyle w:val="Source"/>
      </w:pPr>
      <w:r w:rsidRPr="00BB40B8">
        <w:t>Note the predictions of TN</w:t>
      </w:r>
      <w:r>
        <w:rPr>
          <w:vertAlign w:val="subscript"/>
        </w:rPr>
        <w:t>in-l</w:t>
      </w:r>
      <w:r w:rsidRPr="00BB40B8">
        <w:rPr>
          <w:vertAlign w:val="subscript"/>
        </w:rPr>
        <w:t>ake</w:t>
      </w:r>
      <w:r w:rsidRPr="00BB40B8">
        <w:t xml:space="preserve"> &gt; TN</w:t>
      </w:r>
      <w:r>
        <w:rPr>
          <w:vertAlign w:val="subscript"/>
        </w:rPr>
        <w:t>FMU</w:t>
      </w:r>
      <w:r w:rsidRPr="00BB40B8">
        <w:t xml:space="preserve"> for </w:t>
      </w:r>
      <w:r>
        <w:rPr>
          <w:i/>
        </w:rPr>
        <w:t>T</w:t>
      </w:r>
      <w:r w:rsidRPr="00BB40B8">
        <w:t xml:space="preserve"> &lt;0.6 y (consistent with Janus and Vollenweider</w:t>
      </w:r>
      <w:r>
        <w:t>,</w:t>
      </w:r>
      <w:r w:rsidRPr="00BB40B8">
        <w:t xml:space="preserve"> 1981).</w:t>
      </w:r>
      <w:r w:rsidR="00DD47E9">
        <w:t xml:space="preserve"> </w:t>
      </w:r>
    </w:p>
    <w:p w14:paraId="529A5E49" w14:textId="77777777" w:rsidR="00552375" w:rsidRPr="0026394F" w:rsidRDefault="00552375" w:rsidP="00A1557E">
      <w:pPr>
        <w:pStyle w:val="Heading4"/>
        <w:rPr>
          <w:lang w:val="en-AU"/>
        </w:rPr>
      </w:pPr>
      <w:r w:rsidRPr="0026394F">
        <w:rPr>
          <w:lang w:val="en-AU"/>
        </w:rPr>
        <w:t xml:space="preserve">Examples of national/regional-scale empirical lake models </w:t>
      </w:r>
    </w:p>
    <w:p w14:paraId="071FFC93" w14:textId="1F69C05C" w:rsidR="00552375" w:rsidRPr="00BB40B8" w:rsidRDefault="00552375" w:rsidP="00A1557E">
      <w:pPr>
        <w:pStyle w:val="BodyText"/>
        <w:keepLines/>
        <w:rPr>
          <w:lang w:val="en-AU"/>
        </w:rPr>
      </w:pPr>
      <w:r w:rsidRPr="00BB40B8">
        <w:rPr>
          <w:lang w:val="en-AU"/>
        </w:rPr>
        <w:t xml:space="preserve">Kelly </w:t>
      </w:r>
      <w:r w:rsidRPr="001D0EDF">
        <w:rPr>
          <w:i/>
          <w:lang w:val="en-AU"/>
        </w:rPr>
        <w:t>et al.</w:t>
      </w:r>
      <w:r w:rsidRPr="00BB40B8">
        <w:rPr>
          <w:lang w:val="en-AU"/>
        </w:rPr>
        <w:t xml:space="preserve"> (2013) also refined the Vollenweider models for TN and TP by optimising the two</w:t>
      </w:r>
      <w:r w:rsidR="00A1557E">
        <w:rPr>
          <w:lang w:val="en-AU"/>
        </w:rPr>
        <w:t> </w:t>
      </w:r>
      <w:r w:rsidRPr="00BB40B8">
        <w:rPr>
          <w:lang w:val="en-AU"/>
        </w:rPr>
        <w:t xml:space="preserve">constants (multiplier and exponent terms) for 18 South Island lakes using a non-linear regression model. In contrast, the terms in Eq. </w:t>
      </w:r>
      <w:r>
        <w:rPr>
          <w:lang w:val="en-AU"/>
        </w:rPr>
        <w:t>4a/4b</w:t>
      </w:r>
      <w:r w:rsidRPr="00BB40B8">
        <w:rPr>
          <w:lang w:val="en-AU"/>
        </w:rPr>
        <w:t xml:space="preserve"> and Eq. </w:t>
      </w:r>
      <w:r>
        <w:rPr>
          <w:lang w:val="en-AU"/>
        </w:rPr>
        <w:t>5a/5b</w:t>
      </w:r>
      <w:r w:rsidRPr="00BB40B8">
        <w:rPr>
          <w:lang w:val="en-AU"/>
        </w:rPr>
        <w:t xml:space="preserve"> </w:t>
      </w:r>
      <w:r>
        <w:rPr>
          <w:lang w:val="en-AU"/>
        </w:rPr>
        <w:t xml:space="preserve">(TN and TP, respectively) </w:t>
      </w:r>
      <w:r w:rsidRPr="00BB40B8">
        <w:rPr>
          <w:lang w:val="en-AU"/>
        </w:rPr>
        <w:t xml:space="preserve">are derived from a large international lakes dataset. Interestingly, the authors reported the best regression between measured and predicted lake concentrations via non-Vollenweider models. For example, they predicted TP using a polynomial model with an </w:t>
      </w:r>
      <w:r w:rsidRPr="00BB40B8">
        <w:rPr>
          <w:i/>
          <w:lang w:val="en-AU"/>
        </w:rPr>
        <w:t>r</w:t>
      </w:r>
      <w:r w:rsidRPr="00BB40B8">
        <w:rPr>
          <w:i/>
          <w:vertAlign w:val="superscript"/>
          <w:lang w:val="en-AU"/>
        </w:rPr>
        <w:t>2</w:t>
      </w:r>
      <w:r w:rsidRPr="00BB40B8">
        <w:rPr>
          <w:lang w:val="en-AU"/>
        </w:rPr>
        <w:t xml:space="preserve"> value of 0.86 (Eq.</w:t>
      </w:r>
      <w:r w:rsidR="00A1557E">
        <w:rPr>
          <w:lang w:val="en-AU"/>
        </w:rPr>
        <w:t> </w:t>
      </w:r>
      <w:r>
        <w:rPr>
          <w:lang w:val="en-AU"/>
        </w:rPr>
        <w:t>9</w:t>
      </w:r>
      <w:r w:rsidRPr="00BB40B8">
        <w:rPr>
          <w:lang w:val="en-AU"/>
        </w:rPr>
        <w:t xml:space="preserve">). </w:t>
      </w:r>
      <w:r>
        <w:rPr>
          <w:lang w:val="en-AU"/>
        </w:rPr>
        <w:t>These types of regional</w:t>
      </w:r>
      <w:r w:rsidRPr="00BB40B8">
        <w:rPr>
          <w:lang w:val="en-AU"/>
        </w:rPr>
        <w:t xml:space="preserve"> models may be useful for undertakin</w:t>
      </w:r>
      <w:r>
        <w:rPr>
          <w:lang w:val="en-AU"/>
        </w:rPr>
        <w:t>g conversions of T</w:t>
      </w:r>
      <w:r w:rsidRPr="00BB40B8">
        <w:rPr>
          <w:lang w:val="en-AU"/>
        </w:rPr>
        <w:t>N</w:t>
      </w:r>
      <w:r w:rsidRPr="00BB40B8">
        <w:rPr>
          <w:vertAlign w:val="subscript"/>
          <w:lang w:val="en-AU"/>
        </w:rPr>
        <w:t xml:space="preserve">FMU </w:t>
      </w:r>
      <w:r w:rsidRPr="00BB40B8">
        <w:rPr>
          <w:lang w:val="en-AU"/>
        </w:rPr>
        <w:t>and</w:t>
      </w:r>
      <w:r w:rsidR="00A1557E">
        <w:rPr>
          <w:lang w:val="en-AU"/>
        </w:rPr>
        <w:t> </w:t>
      </w:r>
      <w:r>
        <w:rPr>
          <w:lang w:val="en-AU"/>
        </w:rPr>
        <w:t>T</w:t>
      </w:r>
      <w:r w:rsidRPr="00BB40B8">
        <w:rPr>
          <w:lang w:val="en-AU"/>
        </w:rPr>
        <w:t>P</w:t>
      </w:r>
      <w:r w:rsidRPr="00BB40B8">
        <w:rPr>
          <w:vertAlign w:val="subscript"/>
          <w:lang w:val="en-AU"/>
        </w:rPr>
        <w:t xml:space="preserve">FMU </w:t>
      </w:r>
      <w:r>
        <w:rPr>
          <w:lang w:val="en-AU"/>
        </w:rPr>
        <w:t>criteria (ie, [X] values)</w:t>
      </w:r>
      <w:r w:rsidRPr="00BB40B8">
        <w:rPr>
          <w:lang w:val="en-AU"/>
        </w:rPr>
        <w:t xml:space="preserve"> into estimate</w:t>
      </w:r>
      <w:r>
        <w:rPr>
          <w:lang w:val="en-AU"/>
        </w:rPr>
        <w:t>d in-lake concentrations, T</w:t>
      </w:r>
      <w:r w:rsidRPr="00BB40B8">
        <w:rPr>
          <w:lang w:val="en-AU"/>
        </w:rPr>
        <w:t>N</w:t>
      </w:r>
      <w:r>
        <w:rPr>
          <w:vertAlign w:val="subscript"/>
          <w:lang w:val="en-AU"/>
        </w:rPr>
        <w:t>in-l</w:t>
      </w:r>
      <w:r w:rsidRPr="00BB40B8">
        <w:rPr>
          <w:vertAlign w:val="subscript"/>
          <w:lang w:val="en-AU"/>
        </w:rPr>
        <w:t xml:space="preserve">ake </w:t>
      </w:r>
      <w:r w:rsidRPr="00BB40B8">
        <w:rPr>
          <w:lang w:val="en-AU"/>
        </w:rPr>
        <w:t>and P</w:t>
      </w:r>
      <w:r>
        <w:rPr>
          <w:vertAlign w:val="subscript"/>
          <w:lang w:val="en-AU"/>
        </w:rPr>
        <w:t>in-l</w:t>
      </w:r>
      <w:r w:rsidRPr="00BB40B8">
        <w:rPr>
          <w:vertAlign w:val="subscript"/>
          <w:lang w:val="en-AU"/>
        </w:rPr>
        <w:t>ake</w:t>
      </w:r>
      <w:r w:rsidRPr="00BB40B8">
        <w:rPr>
          <w:lang w:val="en-AU"/>
        </w:rPr>
        <w:t xml:space="preserve"> </w:t>
      </w:r>
      <w:r>
        <w:rPr>
          <w:lang w:val="en-AU"/>
        </w:rPr>
        <w:t>(ie,</w:t>
      </w:r>
      <w:r w:rsidR="00A1557E">
        <w:rPr>
          <w:lang w:val="en-AU"/>
        </w:rPr>
        <w:t> </w:t>
      </w:r>
      <w:r>
        <w:rPr>
          <w:lang w:val="en-AU"/>
        </w:rPr>
        <w:t>[Y]</w:t>
      </w:r>
      <w:r w:rsidR="00A1557E">
        <w:rPr>
          <w:lang w:val="en-AU"/>
        </w:rPr>
        <w:t> </w:t>
      </w:r>
      <w:r>
        <w:rPr>
          <w:lang w:val="en-AU"/>
        </w:rPr>
        <w:t>values), required for step (c)</w:t>
      </w:r>
      <w:r w:rsidRPr="00BB40B8">
        <w:rPr>
          <w:lang w:val="en-AU"/>
        </w:rPr>
        <w:t>.</w:t>
      </w:r>
    </w:p>
    <w:p w14:paraId="71295603" w14:textId="1FC7FD16" w:rsidR="00552375" w:rsidRPr="00BB40B8" w:rsidRDefault="00552375" w:rsidP="00490E03">
      <w:pPr>
        <w:pStyle w:val="BodyText"/>
        <w:tabs>
          <w:tab w:val="right" w:pos="7655"/>
        </w:tabs>
        <w:spacing w:after="0"/>
        <w:rPr>
          <w:lang w:val="en-AU"/>
        </w:rPr>
      </w:pPr>
      <w:r>
        <w:rPr>
          <w:lang w:val="en-AU"/>
        </w:rPr>
        <w:t>TP = exp</w:t>
      </w:r>
      <w:r w:rsidRPr="00BB40B8">
        <w:rPr>
          <w:lang w:val="en-AU"/>
        </w:rPr>
        <w:t>(0.26 * TP</w:t>
      </w:r>
      <w:r w:rsidRPr="00BB40B8">
        <w:rPr>
          <w:vertAlign w:val="subscript"/>
          <w:lang w:val="en-AU"/>
        </w:rPr>
        <w:t>inflow</w:t>
      </w:r>
      <w:r w:rsidRPr="00BB40B8">
        <w:rPr>
          <w:lang w:val="en-AU"/>
        </w:rPr>
        <w:t>) – (0.0055 * TP</w:t>
      </w:r>
      <w:r w:rsidRPr="00BB40B8">
        <w:rPr>
          <w:vertAlign w:val="subscript"/>
          <w:lang w:val="en-AU"/>
        </w:rPr>
        <w:t>inflow</w:t>
      </w:r>
      <w:r w:rsidRPr="00BB40B8">
        <w:rPr>
          <w:lang w:val="en-AU"/>
        </w:rPr>
        <w:t>)</w:t>
      </w:r>
      <w:r w:rsidRPr="00BB40B8">
        <w:rPr>
          <w:vertAlign w:val="superscript"/>
          <w:lang w:val="en-AU"/>
        </w:rPr>
        <w:t>2</w:t>
      </w:r>
      <w:r w:rsidRPr="00BB40B8">
        <w:rPr>
          <w:lang w:val="en-AU"/>
        </w:rPr>
        <w:t xml:space="preserve"> + (0.000035 * TP</w:t>
      </w:r>
      <w:r w:rsidRPr="00BB40B8">
        <w:rPr>
          <w:vertAlign w:val="subscript"/>
          <w:lang w:val="en-AU"/>
        </w:rPr>
        <w:t>inflow</w:t>
      </w:r>
      <w:r w:rsidRPr="00BB40B8">
        <w:rPr>
          <w:lang w:val="en-AU"/>
        </w:rPr>
        <w:t>)</w:t>
      </w:r>
      <w:r w:rsidRPr="00BB40B8">
        <w:rPr>
          <w:vertAlign w:val="superscript"/>
          <w:lang w:val="en-AU"/>
        </w:rPr>
        <w:t>3</w:t>
      </w:r>
      <w:r w:rsidRPr="00BB40B8">
        <w:rPr>
          <w:lang w:val="en-AU"/>
        </w:rPr>
        <w:t xml:space="preserve"> –(1.2 * </w:t>
      </w:r>
      <w:r w:rsidRPr="00BB40B8">
        <w:rPr>
          <w:i/>
          <w:lang w:val="en-AU"/>
        </w:rPr>
        <w:t>T</w:t>
      </w:r>
      <w:r w:rsidRPr="00BB40B8">
        <w:rPr>
          <w:lang w:val="en-AU"/>
        </w:rPr>
        <w:t>)</w:t>
      </w:r>
      <w:r w:rsidR="00DD47E9">
        <w:rPr>
          <w:lang w:val="en-AU"/>
        </w:rPr>
        <w:t xml:space="preserve"> </w:t>
      </w:r>
      <w:r w:rsidRPr="00BB40B8">
        <w:rPr>
          <w:lang w:val="en-AU"/>
        </w:rPr>
        <w:tab/>
        <w:t xml:space="preserve">Eq. </w:t>
      </w:r>
      <w:r>
        <w:rPr>
          <w:lang w:val="en-AU"/>
        </w:rPr>
        <w:t>9</w:t>
      </w:r>
    </w:p>
    <w:p w14:paraId="59D59D49" w14:textId="0BB7A61E" w:rsidR="00552375" w:rsidRDefault="00552375" w:rsidP="00A1557E">
      <w:pPr>
        <w:pStyle w:val="BodyText"/>
        <w:spacing w:before="0" w:after="0"/>
      </w:pPr>
    </w:p>
    <w:tbl>
      <w:tblPr>
        <w:tblW w:w="8505" w:type="dxa"/>
        <w:shd w:val="clear" w:color="auto" w:fill="F5F8F9" w:themeFill="accent3" w:themeFillTint="33"/>
        <w:tblLook w:val="04A0" w:firstRow="1" w:lastRow="0" w:firstColumn="1" w:lastColumn="0" w:noHBand="0" w:noVBand="1"/>
      </w:tblPr>
      <w:tblGrid>
        <w:gridCol w:w="8505"/>
      </w:tblGrid>
      <w:tr w:rsidR="00552375" w:rsidRPr="006B77BB" w14:paraId="5D05AEF4" w14:textId="77777777" w:rsidTr="008B4F3E">
        <w:trPr>
          <w:tblHeader/>
        </w:trPr>
        <w:tc>
          <w:tcPr>
            <w:tcW w:w="8505" w:type="dxa"/>
            <w:shd w:val="clear" w:color="auto" w:fill="1C556C" w:themeFill="accent1"/>
            <w:vAlign w:val="center"/>
          </w:tcPr>
          <w:p w14:paraId="72FFDE72" w14:textId="77777777" w:rsidR="00552375" w:rsidRPr="006B77BB" w:rsidDel="00D5390D" w:rsidRDefault="00552375" w:rsidP="00552375">
            <w:pPr>
              <w:pStyle w:val="Casestudyheading"/>
            </w:pPr>
            <w:r>
              <w:t>lake worked example</w:t>
            </w:r>
          </w:p>
        </w:tc>
      </w:tr>
      <w:tr w:rsidR="00552375" w:rsidRPr="006B77BB" w14:paraId="7CADA3BB" w14:textId="77777777" w:rsidTr="00C831FA">
        <w:tc>
          <w:tcPr>
            <w:tcW w:w="8505" w:type="dxa"/>
            <w:tcBorders>
              <w:left w:val="single" w:sz="4" w:space="0" w:color="D2DDE2" w:themeColor="accent3"/>
              <w:right w:val="single" w:sz="4" w:space="0" w:color="D2DDE2" w:themeColor="accent3"/>
            </w:tcBorders>
            <w:shd w:val="clear" w:color="auto" w:fill="D2DDE2" w:themeFill="accent3"/>
          </w:tcPr>
          <w:p w14:paraId="3E15A414" w14:textId="130B0124" w:rsidR="00552375" w:rsidRDefault="00552375" w:rsidP="00A1557E">
            <w:pPr>
              <w:pStyle w:val="Blueboxtext"/>
              <w:rPr>
                <w:lang w:val="en-AU"/>
              </w:rPr>
            </w:pPr>
            <w:r w:rsidRPr="002521D0">
              <w:rPr>
                <w:lang w:val="en-AU"/>
              </w:rPr>
              <w:fldChar w:fldCharType="begin"/>
            </w:r>
            <w:r w:rsidRPr="002521D0">
              <w:rPr>
                <w:lang w:val="en-AU"/>
              </w:rPr>
              <w:instrText xml:space="preserve"> REF _Ref518253182 \h  \* MERGEFORMAT </w:instrText>
            </w:r>
            <w:r w:rsidRPr="002521D0">
              <w:rPr>
                <w:lang w:val="en-AU"/>
              </w:rPr>
            </w:r>
            <w:r w:rsidRPr="002521D0">
              <w:rPr>
                <w:lang w:val="en-AU"/>
              </w:rPr>
              <w:fldChar w:fldCharType="separate"/>
            </w:r>
            <w:r w:rsidR="001A7243" w:rsidRPr="002521D0">
              <w:t xml:space="preserve">Figure </w:t>
            </w:r>
            <w:r w:rsidR="001A7243">
              <w:rPr>
                <w:noProof/>
              </w:rPr>
              <w:t>18</w:t>
            </w:r>
            <w:r w:rsidRPr="002521D0">
              <w:rPr>
                <w:lang w:val="en-AU"/>
              </w:rPr>
              <w:fldChar w:fldCharType="end"/>
            </w:r>
            <w:r w:rsidRPr="002521D0">
              <w:rPr>
                <w:lang w:val="en-AU"/>
              </w:rPr>
              <w:t xml:space="preserve"> shows an example of a FMU (or part of a FMU) discharging nutrients to a polymictic lake. The </w:t>
            </w:r>
            <w:r w:rsidRPr="002521D0">
              <w:rPr>
                <w:b/>
                <w:lang w:val="en-AU"/>
              </w:rPr>
              <w:t>hypothetical</w:t>
            </w:r>
            <w:r w:rsidRPr="002521D0">
              <w:rPr>
                <w:lang w:val="en-AU"/>
              </w:rPr>
              <w:t xml:space="preserve"> FMU instream criterion for nitrogen is 350 mg/m</w:t>
            </w:r>
            <w:r w:rsidRPr="002521D0">
              <w:rPr>
                <w:vertAlign w:val="superscript"/>
                <w:lang w:val="en-AU"/>
              </w:rPr>
              <w:t>3</w:t>
            </w:r>
            <w:r w:rsidRPr="002521D0">
              <w:rPr>
                <w:lang w:val="en-AU"/>
              </w:rPr>
              <w:t xml:space="preserve"> of DIN, which is the same value used in the estuary worked examples (refer to </w:t>
            </w:r>
            <w:r w:rsidR="00CB54D6">
              <w:rPr>
                <w:lang w:val="en-AU"/>
              </w:rPr>
              <w:t>table 8</w:t>
            </w:r>
            <w:r w:rsidRPr="002521D0">
              <w:rPr>
                <w:lang w:val="en-AU"/>
              </w:rPr>
              <w:t>). The trophic-state objective set for the lake is A-band, where the NPS-FM attribute specifies an upper limit of 300</w:t>
            </w:r>
            <w:r w:rsidR="00CB1EE0">
              <w:rPr>
                <w:lang w:val="en-AU"/>
              </w:rPr>
              <w:t> </w:t>
            </w:r>
            <w:r w:rsidRPr="002521D0">
              <w:rPr>
                <w:lang w:val="en-AU"/>
              </w:rPr>
              <w:t>and 10</w:t>
            </w:r>
            <w:r w:rsidR="00CB54D6">
              <w:rPr>
                <w:lang w:val="en-AU"/>
              </w:rPr>
              <w:t> </w:t>
            </w:r>
            <w:r w:rsidRPr="002521D0">
              <w:rPr>
                <w:lang w:val="en-AU"/>
              </w:rPr>
              <w:t>mg/m</w:t>
            </w:r>
            <w:r w:rsidRPr="002521D0">
              <w:rPr>
                <w:vertAlign w:val="superscript"/>
                <w:lang w:val="en-AU"/>
              </w:rPr>
              <w:t>3</w:t>
            </w:r>
            <w:r w:rsidRPr="002521D0">
              <w:rPr>
                <w:lang w:val="en-AU"/>
              </w:rPr>
              <w:t xml:space="preserve"> of TN and TP, respectively (refer to </w:t>
            </w:r>
            <w:r w:rsidRPr="002521D0">
              <w:rPr>
                <w:lang w:val="en-AU"/>
              </w:rPr>
              <w:fldChar w:fldCharType="begin"/>
            </w:r>
            <w:r w:rsidRPr="002521D0">
              <w:rPr>
                <w:lang w:val="en-AU"/>
              </w:rPr>
              <w:instrText xml:space="preserve"> REF _Ref518174195 \h  \* MERGEFORMAT </w:instrText>
            </w:r>
            <w:r w:rsidRPr="002521D0">
              <w:rPr>
                <w:lang w:val="en-AU"/>
              </w:rPr>
            </w:r>
            <w:r w:rsidRPr="002521D0">
              <w:rPr>
                <w:lang w:val="en-AU"/>
              </w:rPr>
              <w:fldChar w:fldCharType="separate"/>
            </w:r>
            <w:r w:rsidR="001A7243" w:rsidRPr="000E4058">
              <w:t xml:space="preserve">Table </w:t>
            </w:r>
            <w:r w:rsidR="001A7243">
              <w:rPr>
                <w:noProof/>
              </w:rPr>
              <w:t>8</w:t>
            </w:r>
            <w:r w:rsidRPr="002521D0">
              <w:rPr>
                <w:lang w:val="en-AU"/>
              </w:rPr>
              <w:fldChar w:fldCharType="end"/>
            </w:r>
            <w:r w:rsidRPr="002521D0">
              <w:rPr>
                <w:lang w:val="en-AU"/>
              </w:rPr>
              <w:t>). For this example, residence time (</w:t>
            </w:r>
            <w:r w:rsidRPr="002521D0">
              <w:rPr>
                <w:i/>
                <w:lang w:val="en-AU"/>
              </w:rPr>
              <w:t>T</w:t>
            </w:r>
            <w:r w:rsidRPr="002521D0">
              <w:rPr>
                <w:lang w:val="en-AU"/>
              </w:rPr>
              <w:t>) scenarios of 1 and 5 years are used. The equations used for estimating TN</w:t>
            </w:r>
            <w:r w:rsidRPr="002521D0">
              <w:rPr>
                <w:vertAlign w:val="subscript"/>
                <w:lang w:val="en-AU"/>
              </w:rPr>
              <w:t xml:space="preserve">in-lake </w:t>
            </w:r>
            <w:r w:rsidRPr="002521D0">
              <w:rPr>
                <w:lang w:val="en-AU"/>
              </w:rPr>
              <w:t>and TP</w:t>
            </w:r>
            <w:r w:rsidRPr="002521D0">
              <w:rPr>
                <w:vertAlign w:val="subscript"/>
                <w:lang w:val="en-AU"/>
              </w:rPr>
              <w:t xml:space="preserve">in-lake </w:t>
            </w:r>
            <w:r w:rsidRPr="002521D0">
              <w:rPr>
                <w:lang w:val="en-AU"/>
              </w:rPr>
              <w:t>concentration values (</w:t>
            </w:r>
            <w:r>
              <w:rPr>
                <w:lang w:val="en-AU"/>
              </w:rPr>
              <w:t>ie,</w:t>
            </w:r>
            <w:r w:rsidRPr="002521D0">
              <w:rPr>
                <w:lang w:val="en-AU"/>
              </w:rPr>
              <w:t xml:space="preserve"> [Y] values) are Eq. 4b and Eq. 3b, respectively.</w:t>
            </w:r>
            <w:r w:rsidR="00DD47E9">
              <w:rPr>
                <w:lang w:val="en-AU"/>
              </w:rPr>
              <w:t xml:space="preserve"> </w:t>
            </w:r>
          </w:p>
          <w:p w14:paraId="5F445A25" w14:textId="141C532F" w:rsidR="00552375" w:rsidRPr="002521D0" w:rsidRDefault="00552375" w:rsidP="00F572CF">
            <w:pPr>
              <w:pStyle w:val="Figureheading"/>
              <w:ind w:left="1334" w:hanging="1050"/>
              <w:rPr>
                <w:lang w:val="en-AU"/>
              </w:rPr>
            </w:pPr>
            <w:bookmarkStart w:id="162" w:name="_Ref518253182"/>
            <w:bookmarkStart w:id="163" w:name="_Toc521487725"/>
            <w:bookmarkStart w:id="164" w:name="_Toc73711491"/>
            <w:r w:rsidRPr="002521D0">
              <w:t xml:space="preserve">Figure </w:t>
            </w:r>
            <w:fldSimple w:instr=" SEQ Figure \* ARABIC ">
              <w:r w:rsidR="001A7243">
                <w:rPr>
                  <w:noProof/>
                </w:rPr>
                <w:t>18</w:t>
              </w:r>
            </w:fldSimple>
            <w:bookmarkEnd w:id="162"/>
            <w:r w:rsidRPr="002521D0">
              <w:t>:</w:t>
            </w:r>
            <w:r w:rsidR="00F572CF">
              <w:tab/>
            </w:r>
            <w:r w:rsidRPr="002521D0">
              <w:t>A simple, hypothetical scenario of FMU that discharges to a polymictic lake</w:t>
            </w:r>
            <w:bookmarkEnd w:id="163"/>
            <w:bookmarkEnd w:id="164"/>
          </w:p>
          <w:p w14:paraId="5C433733" w14:textId="77777777" w:rsidR="00552375" w:rsidRDefault="00552375" w:rsidP="00D72FEB">
            <w:pPr>
              <w:pStyle w:val="Blueboxtext"/>
              <w:spacing w:before="80"/>
              <w:jc w:val="center"/>
            </w:pPr>
            <w:r>
              <w:rPr>
                <w:noProof/>
              </w:rPr>
              <w:drawing>
                <wp:inline distT="0" distB="0" distL="0" distR="0" wp14:anchorId="27A2691B" wp14:editId="014DD0E9">
                  <wp:extent cx="2870421" cy="190030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6656" cy="1917676"/>
                          </a:xfrm>
                          <a:prstGeom prst="rect">
                            <a:avLst/>
                          </a:prstGeom>
                          <a:noFill/>
                        </pic:spPr>
                      </pic:pic>
                    </a:graphicData>
                  </a:graphic>
                </wp:inline>
              </w:drawing>
            </w:r>
          </w:p>
          <w:p w14:paraId="19A97FBD" w14:textId="27DA1287" w:rsidR="00552375" w:rsidRPr="00A1557E" w:rsidRDefault="00552375" w:rsidP="007108A1">
            <w:pPr>
              <w:pStyle w:val="Blueboxtext"/>
              <w:spacing w:line="220" w:lineRule="atLeast"/>
              <w:rPr>
                <w:sz w:val="16"/>
                <w:szCs w:val="18"/>
              </w:rPr>
            </w:pPr>
            <w:r w:rsidRPr="00A1557E">
              <w:rPr>
                <w:sz w:val="16"/>
                <w:szCs w:val="18"/>
              </w:rPr>
              <w:t>Lake criteria are based on the A/B band thresholds in the NPS-FM attribute. Criteria for the FMU are entirely hypothetical values, and are not based on any guideline values. The FMU nutrient criteria are in the form of DIN and</w:t>
            </w:r>
            <w:r w:rsidR="00490E03">
              <w:rPr>
                <w:sz w:val="16"/>
                <w:szCs w:val="18"/>
              </w:rPr>
              <w:t> </w:t>
            </w:r>
            <w:r w:rsidRPr="00A1557E">
              <w:rPr>
                <w:sz w:val="16"/>
                <w:szCs w:val="18"/>
              </w:rPr>
              <w:t>DRP, with respective conversion factors of 0.7 and 0.5 for converting to TN and TP.</w:t>
            </w:r>
          </w:p>
          <w:p w14:paraId="169631D5" w14:textId="30D25D5C" w:rsidR="00552375" w:rsidRDefault="00552375" w:rsidP="00A1557E">
            <w:pPr>
              <w:pStyle w:val="Blueboxtext"/>
            </w:pPr>
            <w:r w:rsidRPr="002521D0">
              <w:t xml:space="preserve">The process to work through is shown in </w:t>
            </w:r>
            <w:r w:rsidRPr="002521D0">
              <w:fldChar w:fldCharType="begin"/>
            </w:r>
            <w:r w:rsidRPr="002521D0">
              <w:instrText xml:space="preserve"> REF _Ref517914425 \h </w:instrText>
            </w:r>
            <w:r>
              <w:instrText xml:space="preserve"> \* MERGEFORMAT </w:instrText>
            </w:r>
            <w:r w:rsidRPr="002521D0">
              <w:fldChar w:fldCharType="separate"/>
            </w:r>
            <w:r w:rsidR="001A7243" w:rsidRPr="00FB2379">
              <w:t xml:space="preserve">Figure </w:t>
            </w:r>
            <w:r w:rsidR="001A7243">
              <w:rPr>
                <w:noProof/>
              </w:rPr>
              <w:t>11</w:t>
            </w:r>
            <w:r w:rsidRPr="002521D0">
              <w:fldChar w:fldCharType="end"/>
            </w:r>
            <w:r w:rsidRPr="002521D0">
              <w:t>, with the main steps outlined below</w:t>
            </w:r>
            <w:r>
              <w:t>.</w:t>
            </w:r>
          </w:p>
          <w:p w14:paraId="1B026663" w14:textId="1D95887C" w:rsidR="00552375" w:rsidRDefault="00552375" w:rsidP="00A1557E">
            <w:pPr>
              <w:pStyle w:val="Blue-boxbullet"/>
            </w:pPr>
            <w:r w:rsidRPr="002C0763">
              <w:t>Convert FMU instream criteria (DIN and DRP) into total nutrient concentrations (TN</w:t>
            </w:r>
            <w:r w:rsidR="00490E03">
              <w:t> </w:t>
            </w:r>
            <w:r w:rsidRPr="002C0763">
              <w:t>and</w:t>
            </w:r>
            <w:r w:rsidR="00490E03">
              <w:t> </w:t>
            </w:r>
            <w:r w:rsidRPr="002C0763">
              <w:t>TP) to give TNFMU and TPFMU (</w:t>
            </w:r>
            <w:r>
              <w:t>ie,</w:t>
            </w:r>
            <w:r w:rsidRPr="002C0763">
              <w:t xml:space="preserve"> [X] values shown in </w:t>
            </w:r>
            <w:r>
              <w:t>f</w:t>
            </w:r>
            <w:r w:rsidRPr="002C0763">
              <w:t>igure 11).</w:t>
            </w:r>
          </w:p>
          <w:p w14:paraId="461EABAC" w14:textId="704BF956" w:rsidR="00552375" w:rsidRPr="002521D0" w:rsidRDefault="00552375" w:rsidP="00D72FEB">
            <w:pPr>
              <w:pStyle w:val="Blueboxtext"/>
              <w:spacing w:before="0" w:after="0"/>
              <w:ind w:left="680"/>
            </w:pPr>
            <w:r w:rsidRPr="002521D0">
              <w:rPr>
                <w:i/>
              </w:rPr>
              <w:t>Working:</w:t>
            </w:r>
            <w:r w:rsidRPr="002521D0">
              <w:t xml:space="preserve"> Instream criteria (maximum values) for upstream FMU are 350 mg/m</w:t>
            </w:r>
            <w:r w:rsidRPr="002521D0">
              <w:rPr>
                <w:vertAlign w:val="superscript"/>
              </w:rPr>
              <w:t>3</w:t>
            </w:r>
            <w:r w:rsidRPr="002521D0">
              <w:t xml:space="preserve"> and 10</w:t>
            </w:r>
            <w:r w:rsidR="007108A1">
              <w:t> </w:t>
            </w:r>
            <w:r w:rsidRPr="002521D0">
              <w:t>mg/m</w:t>
            </w:r>
            <w:r w:rsidRPr="002521D0">
              <w:rPr>
                <w:vertAlign w:val="superscript"/>
              </w:rPr>
              <w:t>3</w:t>
            </w:r>
            <w:r w:rsidRPr="002521D0">
              <w:t xml:space="preserve"> for DIN and DRP, respectively. Using DIN/TN and DRP/TP conversion factors</w:t>
            </w:r>
            <w:r w:rsidRPr="002521D0">
              <w:rPr>
                <w:rStyle w:val="FootnoteReference"/>
              </w:rPr>
              <w:footnoteReference w:id="21"/>
            </w:r>
            <w:r w:rsidRPr="002521D0">
              <w:t xml:space="preserve"> of 0.7 and 0.5, TN and TP FMU criteria values are calculated as follows:</w:t>
            </w:r>
          </w:p>
          <w:p w14:paraId="21ACB8CF" w14:textId="67BD7D1A" w:rsidR="00552375" w:rsidRPr="00747A2F" w:rsidRDefault="00552375" w:rsidP="00D72FEB">
            <w:pPr>
              <w:pStyle w:val="Blueboxtext"/>
              <w:spacing w:after="60"/>
              <w:ind w:left="680"/>
            </w:pPr>
            <w:r w:rsidRPr="00747A2F">
              <w:t>TP</w:t>
            </w:r>
            <w:r w:rsidRPr="00747A2F">
              <w:rPr>
                <w:vertAlign w:val="subscript"/>
              </w:rPr>
              <w:t xml:space="preserve">FMU </w:t>
            </w:r>
            <w:r w:rsidRPr="00747A2F">
              <w:t>= 10/0.5 = 20 mg/m</w:t>
            </w:r>
            <w:r w:rsidRPr="00747A2F">
              <w:rPr>
                <w:vertAlign w:val="superscript"/>
              </w:rPr>
              <w:t>3</w:t>
            </w:r>
            <w:r w:rsidRPr="00747A2F">
              <w:t xml:space="preserve"> TP</w:t>
            </w:r>
          </w:p>
          <w:p w14:paraId="7A3A9013" w14:textId="6B7548CD" w:rsidR="00552375" w:rsidRPr="00747A2F" w:rsidRDefault="00552375" w:rsidP="00CD3290">
            <w:pPr>
              <w:pStyle w:val="Blueboxtext"/>
              <w:spacing w:before="0" w:after="0"/>
              <w:ind w:left="680"/>
            </w:pPr>
            <w:r w:rsidRPr="00747A2F">
              <w:t>TN</w:t>
            </w:r>
            <w:r w:rsidRPr="00747A2F">
              <w:rPr>
                <w:vertAlign w:val="subscript"/>
              </w:rPr>
              <w:t xml:space="preserve">FMU </w:t>
            </w:r>
            <w:r w:rsidRPr="00747A2F">
              <w:t>= 350/0.7 = 500 mg/m</w:t>
            </w:r>
            <w:r w:rsidRPr="00747A2F">
              <w:rPr>
                <w:vertAlign w:val="superscript"/>
              </w:rPr>
              <w:t>3</w:t>
            </w:r>
            <w:r w:rsidRPr="00747A2F">
              <w:t xml:space="preserve"> TN</w:t>
            </w:r>
          </w:p>
          <w:p w14:paraId="33B60F8E" w14:textId="77777777" w:rsidR="00552375" w:rsidRPr="002521D0" w:rsidRDefault="00552375" w:rsidP="00CD3290">
            <w:pPr>
              <w:pStyle w:val="Blue-boxbullet"/>
              <w:spacing w:before="120" w:after="60"/>
            </w:pPr>
            <w:r w:rsidRPr="002C0763">
              <w:t>Convert the TPFMU (</w:t>
            </w:r>
            <w:r>
              <w:t>ie,</w:t>
            </w:r>
            <w:r w:rsidRPr="002C0763">
              <w:t xml:space="preserve"> [X]) concentration into the corresponding estimated in-lake TP concentration using Equation 3b – this provides the estimate TPin-lake concentration (also referred to as [Y] in </w:t>
            </w:r>
            <w:r>
              <w:t>f</w:t>
            </w:r>
            <w:r w:rsidRPr="002C0763">
              <w:t>igure 11).</w:t>
            </w:r>
          </w:p>
          <w:p w14:paraId="6A7F8EBA" w14:textId="77777777" w:rsidR="00552375" w:rsidRDefault="00552375" w:rsidP="007923E8">
            <w:pPr>
              <w:pStyle w:val="Blueboxtext"/>
              <w:spacing w:after="0"/>
              <w:ind w:left="680"/>
            </w:pPr>
            <w:r w:rsidRPr="00420571">
              <w:rPr>
                <w:i/>
              </w:rPr>
              <w:t>Working:</w:t>
            </w:r>
            <w:r>
              <w:rPr>
                <w:i/>
              </w:rPr>
              <w:t xml:space="preserve"> </w:t>
            </w:r>
            <w:r>
              <w:t>using Eq. 3b (Vollenweider, 1976)</w:t>
            </w:r>
          </w:p>
          <w:p w14:paraId="3A937519" w14:textId="56E14118" w:rsidR="00552375" w:rsidRPr="00526866" w:rsidRDefault="00552375" w:rsidP="00CB1EE0">
            <w:pPr>
              <w:pStyle w:val="Blueboxtext"/>
              <w:tabs>
                <w:tab w:val="right" w:pos="6720"/>
              </w:tabs>
              <w:spacing w:after="60"/>
              <w:ind w:left="680"/>
            </w:pPr>
            <w:r w:rsidRPr="00747A2F">
              <w:t>TP</w:t>
            </w:r>
            <w:r w:rsidRPr="00747A2F">
              <w:rPr>
                <w:vertAlign w:val="subscript"/>
              </w:rPr>
              <w:t>in-lake</w:t>
            </w:r>
            <w:r w:rsidRPr="00747A2F">
              <w:rPr>
                <w:vertAlign w:val="superscript"/>
              </w:rPr>
              <w:t xml:space="preserve"> </w:t>
            </w:r>
            <w:r w:rsidRPr="00747A2F">
              <w:t>= [TP</w:t>
            </w:r>
            <w:r w:rsidRPr="00747A2F">
              <w:rPr>
                <w:vertAlign w:val="subscript"/>
              </w:rPr>
              <w:t>FMU</w:t>
            </w:r>
            <w:r w:rsidRPr="00747A2F">
              <w:t xml:space="preserve"> / (1 + </w:t>
            </w:r>
            <w:r w:rsidRPr="00747A2F">
              <w:rPr>
                <w:rFonts w:ascii="Symbol" w:eastAsia="Symbol" w:hAnsi="Symbol" w:cs="Symbol"/>
              </w:rPr>
              <w:sym w:font="Symbol" w:char="F0D6"/>
            </w:r>
            <w:r w:rsidRPr="00747A2F">
              <w:rPr>
                <w:i/>
              </w:rPr>
              <w:t>T</w:t>
            </w:r>
            <w:r w:rsidRPr="00747A2F">
              <w:t>)]</w:t>
            </w:r>
            <w:r w:rsidRPr="00747A2F">
              <w:rPr>
                <w:vertAlign w:val="subscript"/>
              </w:rPr>
              <w:tab/>
            </w:r>
            <w:r w:rsidRPr="00BB40B8">
              <w:t xml:space="preserve">Eq. </w:t>
            </w:r>
            <w:r>
              <w:t>3b</w:t>
            </w:r>
          </w:p>
          <w:p w14:paraId="46001FC4" w14:textId="77777777" w:rsidR="00552375" w:rsidRPr="007923E8" w:rsidRDefault="00552375" w:rsidP="007923E8">
            <w:pPr>
              <w:pStyle w:val="Blueboxtext"/>
              <w:spacing w:after="0"/>
              <w:ind w:left="680"/>
              <w:rPr>
                <w:u w:val="single"/>
              </w:rPr>
            </w:pPr>
            <w:r w:rsidRPr="007923E8">
              <w:rPr>
                <w:u w:val="single"/>
              </w:rPr>
              <w:t>Scenario 1: lake residence time (</w:t>
            </w:r>
            <w:r w:rsidRPr="007923E8">
              <w:rPr>
                <w:i/>
                <w:u w:val="single"/>
              </w:rPr>
              <w:t>T</w:t>
            </w:r>
            <w:r w:rsidRPr="007923E8">
              <w:rPr>
                <w:u w:val="single"/>
              </w:rPr>
              <w:t>) = 1</w:t>
            </w:r>
          </w:p>
          <w:p w14:paraId="0DCF7A52" w14:textId="77777777" w:rsidR="00552375" w:rsidRPr="00747A2F" w:rsidRDefault="00552375" w:rsidP="00CB1EE0">
            <w:pPr>
              <w:pStyle w:val="Blueboxtext"/>
              <w:spacing w:after="60"/>
              <w:ind w:left="680"/>
            </w:pPr>
            <w:r w:rsidRPr="00747A2F">
              <w:t>TP</w:t>
            </w:r>
            <w:r w:rsidRPr="00747A2F">
              <w:rPr>
                <w:vertAlign w:val="subscript"/>
              </w:rPr>
              <w:t>in-lake</w:t>
            </w:r>
            <w:r w:rsidRPr="00747A2F">
              <w:t xml:space="preserve"> = [20 </w:t>
            </w:r>
            <w:r w:rsidRPr="00747A2F">
              <w:rPr>
                <w:rFonts w:asciiTheme="minorHAnsi" w:hAnsiTheme="minorHAnsi" w:cstheme="minorHAnsi"/>
              </w:rPr>
              <w:t xml:space="preserve">/ (1 + </w:t>
            </w:r>
            <w:r w:rsidRPr="00747A2F">
              <w:rPr>
                <w:rFonts w:asciiTheme="minorHAnsi" w:eastAsia="Symbol" w:hAnsiTheme="minorHAnsi" w:cstheme="minorHAnsi"/>
              </w:rPr>
              <w:sym w:font="Symbol" w:char="F0D6"/>
            </w:r>
            <w:r w:rsidRPr="00747A2F">
              <w:rPr>
                <w:rFonts w:asciiTheme="minorHAnsi" w:hAnsiTheme="minorHAnsi" w:cstheme="minorHAnsi"/>
              </w:rPr>
              <w:t>1</w:t>
            </w:r>
            <w:r w:rsidRPr="00747A2F">
              <w:rPr>
                <w:rFonts w:asciiTheme="minorHAnsi" w:hAnsiTheme="minorHAnsi" w:cstheme="minorHAnsi"/>
                <w:i/>
              </w:rPr>
              <w:t xml:space="preserve"> </w:t>
            </w:r>
            <w:r w:rsidRPr="00747A2F">
              <w:rPr>
                <w:rFonts w:asciiTheme="minorHAnsi" w:hAnsiTheme="minorHAnsi" w:cstheme="minorHAnsi"/>
              </w:rPr>
              <w:t>)]</w:t>
            </w:r>
            <w:r w:rsidRPr="00747A2F">
              <w:t xml:space="preserve"> = 10 mg/m</w:t>
            </w:r>
            <w:r w:rsidRPr="00747A2F">
              <w:rPr>
                <w:vertAlign w:val="superscript"/>
              </w:rPr>
              <w:t>3</w:t>
            </w:r>
            <w:r w:rsidRPr="00747A2F">
              <w:t xml:space="preserve"> </w:t>
            </w:r>
          </w:p>
          <w:p w14:paraId="6B9466A4" w14:textId="77777777" w:rsidR="00552375" w:rsidRPr="007923E8" w:rsidRDefault="00552375" w:rsidP="007923E8">
            <w:pPr>
              <w:pStyle w:val="Blueboxtext"/>
              <w:spacing w:after="0"/>
              <w:ind w:left="680"/>
              <w:rPr>
                <w:u w:val="single"/>
              </w:rPr>
            </w:pPr>
            <w:r w:rsidRPr="007923E8">
              <w:rPr>
                <w:u w:val="single"/>
              </w:rPr>
              <w:t>Scenario 2: lake residence time (</w:t>
            </w:r>
            <w:r w:rsidRPr="007923E8">
              <w:rPr>
                <w:i/>
                <w:u w:val="single"/>
              </w:rPr>
              <w:t>T</w:t>
            </w:r>
            <w:r w:rsidRPr="007923E8">
              <w:rPr>
                <w:u w:val="single"/>
              </w:rPr>
              <w:t>) = 5</w:t>
            </w:r>
          </w:p>
          <w:p w14:paraId="37328D07" w14:textId="77777777" w:rsidR="00552375" w:rsidRPr="00747A2F" w:rsidRDefault="00552375" w:rsidP="001A3CFC">
            <w:pPr>
              <w:pStyle w:val="Blueboxtext"/>
              <w:ind w:left="680"/>
            </w:pPr>
            <w:r w:rsidRPr="00747A2F">
              <w:t>TP</w:t>
            </w:r>
            <w:r w:rsidRPr="00747A2F">
              <w:rPr>
                <w:vertAlign w:val="subscript"/>
              </w:rPr>
              <w:t>in-lake</w:t>
            </w:r>
            <w:r w:rsidRPr="00747A2F">
              <w:t xml:space="preserve"> = [20 </w:t>
            </w:r>
            <w:r w:rsidRPr="00747A2F">
              <w:rPr>
                <w:rFonts w:asciiTheme="minorHAnsi" w:hAnsiTheme="minorHAnsi" w:cstheme="minorHAnsi"/>
              </w:rPr>
              <w:t xml:space="preserve">/ (1 + </w:t>
            </w:r>
            <w:r w:rsidRPr="00747A2F">
              <w:rPr>
                <w:rFonts w:asciiTheme="minorHAnsi" w:eastAsia="Symbol" w:hAnsiTheme="minorHAnsi" w:cstheme="minorHAnsi"/>
              </w:rPr>
              <w:sym w:font="Symbol" w:char="F0D6"/>
            </w:r>
            <w:r w:rsidRPr="00747A2F">
              <w:rPr>
                <w:rFonts w:asciiTheme="minorHAnsi" w:hAnsiTheme="minorHAnsi" w:cstheme="minorHAnsi"/>
              </w:rPr>
              <w:t>5</w:t>
            </w:r>
            <w:r w:rsidRPr="00747A2F">
              <w:rPr>
                <w:rFonts w:asciiTheme="minorHAnsi" w:hAnsiTheme="minorHAnsi" w:cstheme="minorHAnsi"/>
                <w:i/>
              </w:rPr>
              <w:t xml:space="preserve"> </w:t>
            </w:r>
            <w:r w:rsidRPr="00747A2F">
              <w:rPr>
                <w:rFonts w:asciiTheme="minorHAnsi" w:hAnsiTheme="minorHAnsi" w:cstheme="minorHAnsi"/>
              </w:rPr>
              <w:t>)]</w:t>
            </w:r>
            <w:r w:rsidRPr="00747A2F">
              <w:t xml:space="preserve"> = 6.2 mg/m</w:t>
            </w:r>
            <w:r w:rsidRPr="00747A2F">
              <w:rPr>
                <w:vertAlign w:val="superscript"/>
              </w:rPr>
              <w:t>3</w:t>
            </w:r>
            <w:r w:rsidRPr="00747A2F">
              <w:t xml:space="preserve"> </w:t>
            </w:r>
          </w:p>
          <w:p w14:paraId="29590B4E" w14:textId="275556D8" w:rsidR="00552375" w:rsidRDefault="00552375" w:rsidP="001A3CFC">
            <w:pPr>
              <w:pStyle w:val="Blueboxtext"/>
            </w:pPr>
            <w:r w:rsidRPr="008F5F97">
              <w:t>Esti</w:t>
            </w:r>
            <w:r>
              <w:t>mated in-lake TP concentrations</w:t>
            </w:r>
            <w:r w:rsidRPr="008F5F97">
              <w:t xml:space="preserve"> as a fu</w:t>
            </w:r>
            <w:r>
              <w:t>nction of lake residence time are</w:t>
            </w:r>
            <w:r w:rsidRPr="008F5F97">
              <w:t xml:space="preserve"> shown in </w:t>
            </w:r>
            <w:r w:rsidRPr="000449D5">
              <w:fldChar w:fldCharType="begin"/>
            </w:r>
            <w:r w:rsidRPr="000449D5">
              <w:instrText xml:space="preserve"> REF _Ref518253222 \h </w:instrText>
            </w:r>
            <w:r>
              <w:instrText xml:space="preserve"> \* MERGEFORMAT </w:instrText>
            </w:r>
            <w:r w:rsidRPr="000449D5">
              <w:fldChar w:fldCharType="separate"/>
            </w:r>
            <w:r w:rsidR="001A7243" w:rsidRPr="00756AD5">
              <w:t xml:space="preserve">Figure </w:t>
            </w:r>
            <w:r w:rsidR="001A7243">
              <w:rPr>
                <w:noProof/>
              </w:rPr>
              <w:t>19</w:t>
            </w:r>
            <w:r w:rsidRPr="000449D5">
              <w:fldChar w:fldCharType="end"/>
            </w:r>
            <w:r>
              <w:t>a</w:t>
            </w:r>
            <w:r w:rsidRPr="00B65638">
              <w:t>.</w:t>
            </w:r>
            <w:r w:rsidRPr="008F5F97">
              <w:t xml:space="preserve"> The outputs from both the basic (Eq. 3b) and OECD (Eq.5b) versions of Vollenweider equation are given.</w:t>
            </w:r>
          </w:p>
          <w:p w14:paraId="581366EE" w14:textId="77777777" w:rsidR="00552375" w:rsidRPr="002521D0" w:rsidRDefault="00552375" w:rsidP="00D72FEB">
            <w:pPr>
              <w:pStyle w:val="Blue-boxbullet"/>
              <w:spacing w:after="60"/>
            </w:pPr>
            <w:r w:rsidRPr="002C0763">
              <w:t>Convert the TNFMU (</w:t>
            </w:r>
            <w:r>
              <w:t>ie,</w:t>
            </w:r>
            <w:r w:rsidRPr="002C0763">
              <w:t xml:space="preserve"> [X]) concentration into the corresponding estimated in-lake TN concentration using Equation 4b – this provides the estimated TNin-lake concentration (also referred to as [Y] in </w:t>
            </w:r>
            <w:r>
              <w:t>f</w:t>
            </w:r>
            <w:r w:rsidRPr="002C0763">
              <w:t>igure 11).</w:t>
            </w:r>
          </w:p>
          <w:p w14:paraId="7B60B01E" w14:textId="77777777" w:rsidR="00552375" w:rsidRDefault="00552375" w:rsidP="00B6210F">
            <w:pPr>
              <w:pStyle w:val="Blueboxtext"/>
              <w:spacing w:after="0"/>
              <w:ind w:left="680"/>
            </w:pPr>
            <w:r w:rsidRPr="00420571">
              <w:rPr>
                <w:i/>
              </w:rPr>
              <w:t>Working:</w:t>
            </w:r>
            <w:r>
              <w:rPr>
                <w:i/>
              </w:rPr>
              <w:t xml:space="preserve"> </w:t>
            </w:r>
            <w:r>
              <w:t>using Eq. 4b (OECD 1982)</w:t>
            </w:r>
          </w:p>
          <w:p w14:paraId="4751722C" w14:textId="22C22CBA" w:rsidR="00552375" w:rsidRPr="00BB40B8" w:rsidRDefault="00552375" w:rsidP="00CB1EE0">
            <w:pPr>
              <w:pStyle w:val="Blueboxtext"/>
              <w:tabs>
                <w:tab w:val="right" w:pos="6720"/>
              </w:tabs>
              <w:spacing w:after="60"/>
              <w:ind w:left="680"/>
              <w:rPr>
                <w:rFonts w:asciiTheme="minorHAnsi" w:hAnsiTheme="minorHAnsi" w:cstheme="minorHAnsi"/>
              </w:rPr>
            </w:pPr>
            <w:r w:rsidRPr="00BB40B8">
              <w:t>TN</w:t>
            </w:r>
            <w:r>
              <w:rPr>
                <w:vertAlign w:val="subscript"/>
              </w:rPr>
              <w:t>in-l</w:t>
            </w:r>
            <w:r w:rsidRPr="00BB40B8">
              <w:rPr>
                <w:vertAlign w:val="subscript"/>
              </w:rPr>
              <w:t>ake</w:t>
            </w:r>
            <w:r w:rsidRPr="00BB40B8">
              <w:rPr>
                <w:vertAlign w:val="superscript"/>
              </w:rPr>
              <w:t xml:space="preserve"> </w:t>
            </w:r>
            <w:r w:rsidRPr="00BB40B8">
              <w:t>= 5.34[TN</w:t>
            </w:r>
            <w:r>
              <w:rPr>
                <w:vertAlign w:val="subscript"/>
              </w:rPr>
              <w:t>FMU</w:t>
            </w:r>
            <w:r w:rsidRPr="00BB40B8">
              <w:t xml:space="preserve"> </w:t>
            </w:r>
            <w:r w:rsidRPr="00BB40B8">
              <w:rPr>
                <w:rFonts w:asciiTheme="minorHAnsi" w:hAnsiTheme="minorHAnsi" w:cstheme="minorHAnsi"/>
              </w:rPr>
              <w:t xml:space="preserve">/ (1 + </w:t>
            </w:r>
            <w:r w:rsidRPr="00BB40B8">
              <w:rPr>
                <w:rFonts w:asciiTheme="minorHAnsi" w:eastAsia="Symbol" w:hAnsiTheme="minorHAnsi" w:cstheme="minorHAnsi"/>
              </w:rPr>
              <w:sym w:font="Symbol" w:char="F0D6"/>
            </w:r>
            <w:r w:rsidRPr="00BB40B8">
              <w:rPr>
                <w:rFonts w:asciiTheme="minorHAnsi" w:hAnsiTheme="minorHAnsi" w:cstheme="minorHAnsi"/>
                <w:i/>
              </w:rPr>
              <w:t xml:space="preserve">T </w:t>
            </w:r>
            <w:r w:rsidRPr="00BB40B8">
              <w:rPr>
                <w:rFonts w:asciiTheme="minorHAnsi" w:hAnsiTheme="minorHAnsi" w:cstheme="minorHAnsi"/>
              </w:rPr>
              <w:t>)]</w:t>
            </w:r>
            <w:r w:rsidRPr="00BB40B8">
              <w:rPr>
                <w:rFonts w:asciiTheme="minorHAnsi" w:hAnsiTheme="minorHAnsi" w:cstheme="minorHAnsi"/>
                <w:vertAlign w:val="superscript"/>
              </w:rPr>
              <w:t>0.78</w:t>
            </w:r>
            <w:r>
              <w:rPr>
                <w:rFonts w:asciiTheme="minorHAnsi" w:hAnsiTheme="minorHAnsi" w:cstheme="minorHAnsi"/>
              </w:rPr>
              <w:tab/>
            </w:r>
            <w:r w:rsidRPr="00BB40B8">
              <w:rPr>
                <w:rFonts w:asciiTheme="minorHAnsi" w:hAnsiTheme="minorHAnsi" w:cstheme="minorHAnsi"/>
              </w:rPr>
              <w:t xml:space="preserve">Eq. </w:t>
            </w:r>
            <w:r>
              <w:rPr>
                <w:rFonts w:asciiTheme="minorHAnsi" w:hAnsiTheme="minorHAnsi" w:cstheme="minorHAnsi"/>
              </w:rPr>
              <w:t>4b</w:t>
            </w:r>
          </w:p>
          <w:p w14:paraId="1A95E4D1" w14:textId="77777777" w:rsidR="00552375" w:rsidRPr="00BA0C94" w:rsidRDefault="00552375" w:rsidP="00B6210F">
            <w:pPr>
              <w:pStyle w:val="Blueboxtext"/>
              <w:spacing w:after="0"/>
              <w:ind w:left="680"/>
              <w:rPr>
                <w:u w:val="single"/>
              </w:rPr>
            </w:pPr>
            <w:r w:rsidRPr="00BA0C94">
              <w:rPr>
                <w:u w:val="single"/>
              </w:rPr>
              <w:t xml:space="preserve">Scenario 1: </w:t>
            </w:r>
            <w:r>
              <w:rPr>
                <w:u w:val="single"/>
              </w:rPr>
              <w:t>lake residence time</w:t>
            </w:r>
            <w:r w:rsidRPr="00BA0C94">
              <w:rPr>
                <w:u w:val="single"/>
              </w:rPr>
              <w:t xml:space="preserve"> (</w:t>
            </w:r>
            <w:r>
              <w:rPr>
                <w:i/>
                <w:u w:val="single"/>
              </w:rPr>
              <w:t>T</w:t>
            </w:r>
            <w:r w:rsidRPr="00BA0C94">
              <w:rPr>
                <w:u w:val="single"/>
              </w:rPr>
              <w:t xml:space="preserve">) = </w:t>
            </w:r>
            <w:r>
              <w:rPr>
                <w:u w:val="single"/>
              </w:rPr>
              <w:t>1</w:t>
            </w:r>
          </w:p>
          <w:p w14:paraId="0377EFCF" w14:textId="77777777" w:rsidR="00552375" w:rsidRPr="00BA0C94" w:rsidRDefault="00552375" w:rsidP="00490E03">
            <w:pPr>
              <w:pStyle w:val="Blueboxtext"/>
              <w:ind w:left="680"/>
              <w:rPr>
                <w:szCs w:val="20"/>
              </w:rPr>
            </w:pPr>
            <w:r>
              <w:rPr>
                <w:szCs w:val="20"/>
              </w:rPr>
              <w:t>TN</w:t>
            </w:r>
            <w:r>
              <w:rPr>
                <w:szCs w:val="20"/>
                <w:vertAlign w:val="subscript"/>
              </w:rPr>
              <w:t>in-lake</w:t>
            </w:r>
            <w:r w:rsidRPr="00BA0C94">
              <w:rPr>
                <w:szCs w:val="20"/>
              </w:rPr>
              <w:t xml:space="preserve"> = </w:t>
            </w:r>
            <w:r>
              <w:rPr>
                <w:szCs w:val="20"/>
              </w:rPr>
              <w:t>5.34*</w:t>
            </w:r>
            <w:r w:rsidRPr="00BB40B8">
              <w:t>[</w:t>
            </w:r>
            <w:r>
              <w:t>500</w:t>
            </w:r>
            <w:r w:rsidRPr="00BB40B8">
              <w:t xml:space="preserve"> </w:t>
            </w:r>
            <w:r w:rsidRPr="00BB40B8">
              <w:rPr>
                <w:rFonts w:asciiTheme="minorHAnsi" w:hAnsiTheme="minorHAnsi" w:cstheme="minorHAnsi"/>
              </w:rPr>
              <w:t xml:space="preserve">/ (1 + </w:t>
            </w:r>
            <w:r w:rsidRPr="00BB40B8">
              <w:rPr>
                <w:rFonts w:asciiTheme="minorHAnsi" w:eastAsia="Symbol" w:hAnsiTheme="minorHAnsi" w:cstheme="minorHAnsi"/>
              </w:rPr>
              <w:sym w:font="Symbol" w:char="F0D6"/>
            </w:r>
            <w:r>
              <w:rPr>
                <w:rFonts w:asciiTheme="minorHAnsi" w:hAnsiTheme="minorHAnsi" w:cstheme="minorHAnsi"/>
              </w:rPr>
              <w:t>1</w:t>
            </w:r>
            <w:r w:rsidRPr="00BB40B8">
              <w:rPr>
                <w:rFonts w:asciiTheme="minorHAnsi" w:hAnsiTheme="minorHAnsi" w:cstheme="minorHAnsi"/>
                <w:i/>
              </w:rPr>
              <w:t xml:space="preserve"> </w:t>
            </w:r>
            <w:r w:rsidRPr="00BB40B8">
              <w:rPr>
                <w:rFonts w:asciiTheme="minorHAnsi" w:hAnsiTheme="minorHAnsi" w:cstheme="minorHAnsi"/>
              </w:rPr>
              <w:t>)]</w:t>
            </w:r>
            <w:r>
              <w:rPr>
                <w:rFonts w:asciiTheme="minorHAnsi" w:hAnsiTheme="minorHAnsi" w:cstheme="minorHAnsi"/>
                <w:vertAlign w:val="superscript"/>
              </w:rPr>
              <w:t>0.78</w:t>
            </w:r>
            <w:r w:rsidRPr="00BA0C94">
              <w:rPr>
                <w:szCs w:val="20"/>
              </w:rPr>
              <w:t xml:space="preserve"> =</w:t>
            </w:r>
            <w:r w:rsidRPr="00747A2F">
              <w:rPr>
                <w:szCs w:val="20"/>
              </w:rPr>
              <w:t xml:space="preserve"> 396 mg/m</w:t>
            </w:r>
            <w:r w:rsidRPr="00747A2F">
              <w:rPr>
                <w:szCs w:val="20"/>
                <w:vertAlign w:val="superscript"/>
              </w:rPr>
              <w:t>3</w:t>
            </w:r>
            <w:r w:rsidRPr="00747A2F">
              <w:rPr>
                <w:szCs w:val="20"/>
              </w:rPr>
              <w:t xml:space="preserve"> </w:t>
            </w:r>
          </w:p>
          <w:p w14:paraId="2B378F6C" w14:textId="77777777" w:rsidR="00552375" w:rsidRPr="00BA0C94" w:rsidRDefault="00552375" w:rsidP="00B6210F">
            <w:pPr>
              <w:pStyle w:val="Blueboxtext"/>
              <w:spacing w:after="0"/>
              <w:ind w:left="680"/>
              <w:rPr>
                <w:u w:val="single"/>
              </w:rPr>
            </w:pPr>
            <w:r w:rsidRPr="00BA0C94">
              <w:rPr>
                <w:u w:val="single"/>
              </w:rPr>
              <w:t xml:space="preserve">Scenario 2: </w:t>
            </w:r>
            <w:r>
              <w:rPr>
                <w:u w:val="single"/>
              </w:rPr>
              <w:t>lake residence time</w:t>
            </w:r>
            <w:r w:rsidRPr="00BA0C94">
              <w:rPr>
                <w:u w:val="single"/>
              </w:rPr>
              <w:t xml:space="preserve"> (</w:t>
            </w:r>
            <w:r>
              <w:rPr>
                <w:i/>
                <w:u w:val="single"/>
              </w:rPr>
              <w:t>T</w:t>
            </w:r>
            <w:r w:rsidRPr="00BA0C94">
              <w:rPr>
                <w:u w:val="single"/>
              </w:rPr>
              <w:t xml:space="preserve">) = </w:t>
            </w:r>
            <w:r>
              <w:rPr>
                <w:u w:val="single"/>
              </w:rPr>
              <w:t>5</w:t>
            </w:r>
          </w:p>
          <w:p w14:paraId="0D85F70E" w14:textId="77777777" w:rsidR="00552375" w:rsidRDefault="00552375" w:rsidP="004A7727">
            <w:pPr>
              <w:pStyle w:val="Blueboxtext"/>
              <w:ind w:left="680"/>
              <w:rPr>
                <w:b/>
                <w:szCs w:val="20"/>
              </w:rPr>
            </w:pPr>
            <w:r>
              <w:rPr>
                <w:szCs w:val="20"/>
              </w:rPr>
              <w:t>TN</w:t>
            </w:r>
            <w:r>
              <w:rPr>
                <w:szCs w:val="20"/>
                <w:vertAlign w:val="subscript"/>
              </w:rPr>
              <w:t>in-lake</w:t>
            </w:r>
            <w:r w:rsidRPr="00BA0C94">
              <w:rPr>
                <w:szCs w:val="20"/>
              </w:rPr>
              <w:t xml:space="preserve"> = </w:t>
            </w:r>
            <w:r>
              <w:rPr>
                <w:szCs w:val="20"/>
              </w:rPr>
              <w:t>5.34*</w:t>
            </w:r>
            <w:r w:rsidRPr="00BB40B8">
              <w:t>[</w:t>
            </w:r>
            <w:r>
              <w:t>500</w:t>
            </w:r>
            <w:r w:rsidRPr="00BB40B8">
              <w:t xml:space="preserve"> </w:t>
            </w:r>
            <w:r w:rsidRPr="00BB40B8">
              <w:rPr>
                <w:rFonts w:asciiTheme="minorHAnsi" w:hAnsiTheme="minorHAnsi" w:cstheme="minorHAnsi"/>
              </w:rPr>
              <w:t xml:space="preserve">/ (1 + </w:t>
            </w:r>
            <w:r w:rsidRPr="00BB40B8">
              <w:rPr>
                <w:rFonts w:asciiTheme="minorHAnsi" w:eastAsia="Symbol" w:hAnsiTheme="minorHAnsi" w:cstheme="minorHAnsi"/>
              </w:rPr>
              <w:sym w:font="Symbol" w:char="F0D6"/>
            </w:r>
            <w:r>
              <w:rPr>
                <w:rFonts w:asciiTheme="minorHAnsi" w:hAnsiTheme="minorHAnsi" w:cstheme="minorHAnsi"/>
              </w:rPr>
              <w:t>5</w:t>
            </w:r>
            <w:r w:rsidRPr="00BB40B8">
              <w:rPr>
                <w:rFonts w:asciiTheme="minorHAnsi" w:hAnsiTheme="minorHAnsi" w:cstheme="minorHAnsi"/>
                <w:i/>
              </w:rPr>
              <w:t xml:space="preserve"> </w:t>
            </w:r>
            <w:r w:rsidRPr="00BB40B8">
              <w:rPr>
                <w:rFonts w:asciiTheme="minorHAnsi" w:hAnsiTheme="minorHAnsi" w:cstheme="minorHAnsi"/>
              </w:rPr>
              <w:t>)]</w:t>
            </w:r>
            <w:r>
              <w:rPr>
                <w:rFonts w:asciiTheme="minorHAnsi" w:hAnsiTheme="minorHAnsi" w:cstheme="minorHAnsi"/>
                <w:vertAlign w:val="superscript"/>
              </w:rPr>
              <w:t>0.78</w:t>
            </w:r>
            <w:r w:rsidRPr="00BA0C94">
              <w:rPr>
                <w:szCs w:val="20"/>
              </w:rPr>
              <w:t xml:space="preserve"> =</w:t>
            </w:r>
            <w:r w:rsidRPr="00747A2F">
              <w:rPr>
                <w:szCs w:val="20"/>
              </w:rPr>
              <w:t xml:space="preserve"> 272 mg/m</w:t>
            </w:r>
            <w:r w:rsidRPr="00747A2F">
              <w:rPr>
                <w:szCs w:val="20"/>
                <w:vertAlign w:val="superscript"/>
              </w:rPr>
              <w:t>3</w:t>
            </w:r>
            <w:r>
              <w:rPr>
                <w:b/>
                <w:szCs w:val="20"/>
              </w:rPr>
              <w:t xml:space="preserve"> </w:t>
            </w:r>
          </w:p>
          <w:p w14:paraId="67639F3D" w14:textId="3F791D35" w:rsidR="00552375" w:rsidRPr="00BA0C94" w:rsidRDefault="00552375" w:rsidP="00C831FA">
            <w:pPr>
              <w:pStyle w:val="Blueboxtext"/>
              <w:spacing w:after="60"/>
              <w:rPr>
                <w:szCs w:val="20"/>
              </w:rPr>
            </w:pPr>
            <w:r w:rsidRPr="008F5F97">
              <w:t>Esti</w:t>
            </w:r>
            <w:r>
              <w:t>mated in-lake TN concentrations</w:t>
            </w:r>
            <w:r w:rsidRPr="008F5F97">
              <w:t xml:space="preserve"> as a fu</w:t>
            </w:r>
            <w:r>
              <w:t>nction of lake residence time are</w:t>
            </w:r>
            <w:r w:rsidRPr="008F5F97">
              <w:t xml:space="preserve"> shown in </w:t>
            </w:r>
            <w:r w:rsidRPr="000449D5">
              <w:fldChar w:fldCharType="begin"/>
            </w:r>
            <w:r w:rsidRPr="000449D5">
              <w:instrText xml:space="preserve"> REF _Ref518253222 \h </w:instrText>
            </w:r>
            <w:r>
              <w:instrText xml:space="preserve"> \* MERGEFORMAT </w:instrText>
            </w:r>
            <w:r w:rsidRPr="000449D5">
              <w:fldChar w:fldCharType="separate"/>
            </w:r>
            <w:r w:rsidR="001A7243" w:rsidRPr="00756AD5">
              <w:t xml:space="preserve">Figure </w:t>
            </w:r>
            <w:r w:rsidR="001A7243">
              <w:rPr>
                <w:noProof/>
              </w:rPr>
              <w:t>19</w:t>
            </w:r>
            <w:r w:rsidRPr="000449D5">
              <w:fldChar w:fldCharType="end"/>
            </w:r>
            <w:r>
              <w:t>b</w:t>
            </w:r>
            <w:r w:rsidRPr="00B65638">
              <w:t>.</w:t>
            </w:r>
          </w:p>
          <w:p w14:paraId="73E0C81D" w14:textId="002BB1AB" w:rsidR="00552375" w:rsidRDefault="00552375" w:rsidP="00490E03">
            <w:pPr>
              <w:pStyle w:val="Figureheading"/>
              <w:spacing w:line="240" w:lineRule="atLeast"/>
              <w:ind w:left="1333" w:right="227" w:hanging="1049"/>
            </w:pPr>
            <w:bookmarkStart w:id="165" w:name="_Ref518253222"/>
            <w:bookmarkStart w:id="166" w:name="_Toc521487726"/>
            <w:bookmarkStart w:id="167" w:name="_Toc73711492"/>
            <w:r w:rsidRPr="00756AD5">
              <w:t xml:space="preserve">Figure </w:t>
            </w:r>
            <w:fldSimple w:instr=" SEQ Figure \* ARABIC ">
              <w:r w:rsidR="001A7243">
                <w:rPr>
                  <w:noProof/>
                </w:rPr>
                <w:t>19</w:t>
              </w:r>
            </w:fldSimple>
            <w:bookmarkEnd w:id="165"/>
            <w:r w:rsidRPr="00756AD5">
              <w:t>:</w:t>
            </w:r>
            <w:r w:rsidR="00F572CF">
              <w:tab/>
            </w:r>
            <w:r w:rsidRPr="00756AD5">
              <w:t>Estimated concentrations of TP</w:t>
            </w:r>
            <w:r w:rsidRPr="00756AD5">
              <w:rPr>
                <w:vertAlign w:val="subscript"/>
              </w:rPr>
              <w:t xml:space="preserve">in-lake </w:t>
            </w:r>
            <w:r w:rsidRPr="00756AD5">
              <w:t>(a) and TN</w:t>
            </w:r>
            <w:r w:rsidRPr="00756AD5">
              <w:rPr>
                <w:vertAlign w:val="subscript"/>
              </w:rPr>
              <w:t xml:space="preserve">in-lake </w:t>
            </w:r>
            <w:r w:rsidRPr="00756AD5">
              <w:t>(b) using Eq. 3b and 5b for TP</w:t>
            </w:r>
            <w:r w:rsidR="00241994">
              <w:t> </w:t>
            </w:r>
            <w:r w:rsidRPr="00756AD5">
              <w:t>and Eq. 4b for TN</w:t>
            </w:r>
            <w:r>
              <w:t xml:space="preserve"> using TP</w:t>
            </w:r>
            <w:r>
              <w:rPr>
                <w:vertAlign w:val="subscript"/>
              </w:rPr>
              <w:t xml:space="preserve">FMU </w:t>
            </w:r>
            <w:r>
              <w:t>and TN</w:t>
            </w:r>
            <w:r>
              <w:rPr>
                <w:vertAlign w:val="subscript"/>
              </w:rPr>
              <w:t xml:space="preserve">FMU </w:t>
            </w:r>
            <w:r>
              <w:t>values of 20 and 500 mg/m</w:t>
            </w:r>
            <w:r w:rsidRPr="000A64E2">
              <w:rPr>
                <w:vertAlign w:val="superscript"/>
              </w:rPr>
              <w:t>3</w:t>
            </w:r>
            <w:r>
              <w:t>, respectively</w:t>
            </w:r>
            <w:bookmarkEnd w:id="166"/>
            <w:bookmarkEnd w:id="167"/>
          </w:p>
          <w:p w14:paraId="116A0264" w14:textId="77777777" w:rsidR="00552375" w:rsidRDefault="00552375" w:rsidP="007108A1">
            <w:pPr>
              <w:pStyle w:val="Blueboxtext"/>
              <w:spacing w:before="0" w:after="80"/>
              <w:jc w:val="center"/>
            </w:pPr>
            <w:r>
              <w:rPr>
                <w:noProof/>
              </w:rPr>
              <w:drawing>
                <wp:inline distT="0" distB="0" distL="0" distR="0" wp14:anchorId="4EA3DBBC" wp14:editId="7F31A5C4">
                  <wp:extent cx="3964675" cy="2295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81918" cy="2305197"/>
                          </a:xfrm>
                          <a:prstGeom prst="rect">
                            <a:avLst/>
                          </a:prstGeom>
                          <a:noFill/>
                        </pic:spPr>
                      </pic:pic>
                    </a:graphicData>
                  </a:graphic>
                </wp:inline>
              </w:drawing>
            </w:r>
          </w:p>
          <w:p w14:paraId="2AEA6190" w14:textId="5137960E" w:rsidR="00552375" w:rsidRPr="002C0763" w:rsidRDefault="00552375" w:rsidP="00CB1EE0">
            <w:pPr>
              <w:pStyle w:val="Blueboxtext"/>
              <w:spacing w:after="60" w:line="220" w:lineRule="atLeast"/>
            </w:pPr>
            <w:r w:rsidRPr="00241994">
              <w:rPr>
                <w:sz w:val="16"/>
                <w:szCs w:val="18"/>
              </w:rPr>
              <w:t xml:space="preserve">Eq. 4b and 5b are from OECD (1982) and Eq. 3b is from Vollenweider (1976). Dashed sections of the curves are where </w:t>
            </w:r>
            <w:r w:rsidRPr="00241994">
              <w:rPr>
                <w:i/>
                <w:sz w:val="16"/>
                <w:szCs w:val="18"/>
              </w:rPr>
              <w:t>T</w:t>
            </w:r>
            <w:r w:rsidRPr="00241994">
              <w:rPr>
                <w:sz w:val="16"/>
                <w:szCs w:val="18"/>
              </w:rPr>
              <w:t xml:space="preserve"> </w:t>
            </w:r>
            <w:r w:rsidRPr="00241994">
              <w:rPr>
                <w:rFonts w:cstheme="minorHAnsi"/>
                <w:sz w:val="16"/>
                <w:szCs w:val="18"/>
              </w:rPr>
              <w:t>≤</w:t>
            </w:r>
            <w:r w:rsidRPr="00241994">
              <w:rPr>
                <w:sz w:val="16"/>
                <w:szCs w:val="18"/>
              </w:rPr>
              <w:t>0.5 y where Vollenweider equations should be used with caution (Janus and Vollenweider, 1981).</w:t>
            </w:r>
          </w:p>
        </w:tc>
      </w:tr>
      <w:tr w:rsidR="00552375" w:rsidRPr="006B77BB" w14:paraId="13167C94" w14:textId="77777777" w:rsidTr="00C831FA">
        <w:tc>
          <w:tcPr>
            <w:tcW w:w="8505" w:type="dxa"/>
            <w:tcBorders>
              <w:left w:val="single" w:sz="4" w:space="0" w:color="D2DDE2" w:themeColor="accent3"/>
              <w:bottom w:val="single" w:sz="4" w:space="0" w:color="D2DDE2" w:themeColor="accent3"/>
              <w:right w:val="single" w:sz="4" w:space="0" w:color="D2DDE2" w:themeColor="accent3"/>
            </w:tcBorders>
            <w:shd w:val="clear" w:color="auto" w:fill="D2DDE2" w:themeFill="accent3"/>
          </w:tcPr>
          <w:p w14:paraId="2C6F35A5" w14:textId="6880C5CF" w:rsidR="00552375" w:rsidRDefault="00552375" w:rsidP="007108A1">
            <w:pPr>
              <w:pStyle w:val="Blue-boxbullet"/>
              <w:spacing w:before="120" w:after="0"/>
            </w:pPr>
            <w:r w:rsidRPr="002C0763">
              <w:t>Convert the estimated in-lake nutrient concentrations (</w:t>
            </w:r>
            <w:r>
              <w:t>ie,</w:t>
            </w:r>
            <w:r w:rsidRPr="002C0763">
              <w:t xml:space="preserve"> [Y] values for both TN and TP)</w:t>
            </w:r>
            <w:r w:rsidR="00490E03">
              <w:t> </w:t>
            </w:r>
            <w:r w:rsidRPr="002C0763">
              <w:t>with the lake TN and TP criteria set to meet the trophic state objective sought (</w:t>
            </w:r>
            <w:r>
              <w:t>ie,</w:t>
            </w:r>
            <w:r w:rsidR="00490E03">
              <w:t> </w:t>
            </w:r>
            <w:r w:rsidRPr="002C0763">
              <w:t>[Z]</w:t>
            </w:r>
            <w:r w:rsidR="00490E03">
              <w:t> </w:t>
            </w:r>
            <w:r w:rsidRPr="002C0763">
              <w:t>value).</w:t>
            </w:r>
          </w:p>
          <w:p w14:paraId="4169C665" w14:textId="7F5986F0" w:rsidR="00552375" w:rsidRDefault="00552375" w:rsidP="00241994">
            <w:pPr>
              <w:pStyle w:val="Blueboxtext"/>
            </w:pPr>
            <w:r w:rsidRPr="00211FC5">
              <w:rPr>
                <w:i/>
              </w:rPr>
              <w:t>Working:</w:t>
            </w:r>
            <w:r>
              <w:t xml:space="preserve"> The lake is a polymictic lake, and the trophic objective sought is A-band (phytoplankton biomass), which corresponds to upper limit TN and TP in-lake criteria values of</w:t>
            </w:r>
            <w:r w:rsidR="00490E03">
              <w:t> </w:t>
            </w:r>
            <w:r>
              <w:t>300 mg/m</w:t>
            </w:r>
            <w:r w:rsidRPr="00DF387C">
              <w:rPr>
                <w:vertAlign w:val="superscript"/>
              </w:rPr>
              <w:t>3</w:t>
            </w:r>
            <w:r>
              <w:t xml:space="preserve"> and 10 mg/m</w:t>
            </w:r>
            <w:r w:rsidRPr="00DF387C">
              <w:rPr>
                <w:vertAlign w:val="superscript"/>
              </w:rPr>
              <w:t>3</w:t>
            </w:r>
            <w:r>
              <w:t xml:space="preserve">, respectively (NPS-FM attribute table; refer to </w:t>
            </w:r>
            <w:r w:rsidRPr="005A1A0F">
              <w:rPr>
                <w:sz w:val="24"/>
              </w:rPr>
              <w:fldChar w:fldCharType="begin"/>
            </w:r>
            <w:r w:rsidRPr="005A1A0F">
              <w:rPr>
                <w:sz w:val="24"/>
              </w:rPr>
              <w:instrText xml:space="preserve"> REF _Ref518174195 \h </w:instrText>
            </w:r>
            <w:r>
              <w:rPr>
                <w:sz w:val="24"/>
              </w:rPr>
              <w:instrText xml:space="preserve"> \* MERGEFORMAT </w:instrText>
            </w:r>
            <w:r w:rsidRPr="005A1A0F">
              <w:rPr>
                <w:sz w:val="24"/>
              </w:rPr>
            </w:r>
            <w:r w:rsidRPr="005A1A0F">
              <w:rPr>
                <w:sz w:val="24"/>
              </w:rPr>
              <w:fldChar w:fldCharType="separate"/>
            </w:r>
            <w:r w:rsidR="001A7243" w:rsidRPr="000E4058">
              <w:t xml:space="preserve">Table </w:t>
            </w:r>
            <w:r w:rsidR="001A7243">
              <w:rPr>
                <w:noProof/>
              </w:rPr>
              <w:t>8</w:t>
            </w:r>
            <w:r w:rsidRPr="005A1A0F">
              <w:rPr>
                <w:sz w:val="24"/>
              </w:rPr>
              <w:fldChar w:fldCharType="end"/>
            </w:r>
            <w:r w:rsidRPr="005A1A0F">
              <w:rPr>
                <w:sz w:val="24"/>
              </w:rPr>
              <w:t>)</w:t>
            </w:r>
            <w:r>
              <w:t>. For TN and TP, there are two possible outcomes:</w:t>
            </w:r>
          </w:p>
          <w:p w14:paraId="11ECE729" w14:textId="797F8F98" w:rsidR="00552375" w:rsidRPr="00ED7AC6" w:rsidRDefault="00241994" w:rsidP="00241994">
            <w:pPr>
              <w:pStyle w:val="Blueboxtext"/>
              <w:spacing w:before="0"/>
              <w:ind w:left="681" w:hanging="397"/>
            </w:pPr>
            <w:r>
              <w:t>1.</w:t>
            </w:r>
            <w:r>
              <w:tab/>
            </w:r>
            <w:r w:rsidR="00552375">
              <w:t xml:space="preserve">If the estimated in-lake concentrations are less than the in-lake criteria (ie, [Y] &lt; [Z]), </w:t>
            </w:r>
            <w:r w:rsidR="00552375" w:rsidRPr="00ED7AC6">
              <w:t>the</w:t>
            </w:r>
            <w:r w:rsidR="00490E03">
              <w:t> </w:t>
            </w:r>
            <w:r w:rsidR="00552375" w:rsidRPr="00ED7AC6">
              <w:t>FMU instream criteri</w:t>
            </w:r>
            <w:r w:rsidR="00552375">
              <w:t>a are</w:t>
            </w:r>
            <w:r w:rsidR="00552375" w:rsidRPr="00ED7AC6">
              <w:t xml:space="preserve"> likely </w:t>
            </w:r>
            <w:r w:rsidR="00552375" w:rsidRPr="00DF387C">
              <w:rPr>
                <w:b/>
              </w:rPr>
              <w:t>to be</w:t>
            </w:r>
            <w:r w:rsidR="00552375" w:rsidRPr="00DF387C">
              <w:t xml:space="preserve"> protective</w:t>
            </w:r>
            <w:r w:rsidR="00552375" w:rsidRPr="00ED7AC6">
              <w:t xml:space="preserve"> of </w:t>
            </w:r>
            <w:r w:rsidR="00552375">
              <w:t>the lake trophic-state sought</w:t>
            </w:r>
            <w:r w:rsidR="00552375" w:rsidRPr="00ED7AC6">
              <w:t>; or</w:t>
            </w:r>
          </w:p>
          <w:p w14:paraId="486CDAE6" w14:textId="516072D2" w:rsidR="00552375" w:rsidRPr="00AE1183" w:rsidRDefault="00241994" w:rsidP="00241994">
            <w:pPr>
              <w:pStyle w:val="Blueboxtext"/>
              <w:spacing w:before="0" w:after="240"/>
              <w:ind w:left="681" w:hanging="397"/>
            </w:pPr>
            <w:r>
              <w:t>2.</w:t>
            </w:r>
            <w:r>
              <w:tab/>
            </w:r>
            <w:r w:rsidR="00552375">
              <w:t xml:space="preserve">If the estimated in-lake concentrations are greater than (or equal to) the in-lake criteria (ie, [Y] </w:t>
            </w:r>
            <w:r w:rsidR="00552375">
              <w:rPr>
                <w:rFonts w:cs="Calibri"/>
              </w:rPr>
              <w:t>≥</w:t>
            </w:r>
            <w:r w:rsidR="00552375">
              <w:t xml:space="preserve"> [Z]), </w:t>
            </w:r>
            <w:r w:rsidR="00552375" w:rsidRPr="00ED7AC6">
              <w:t>the FMU instream criteri</w:t>
            </w:r>
            <w:r w:rsidR="00552375">
              <w:t>a are</w:t>
            </w:r>
            <w:r w:rsidR="00552375" w:rsidRPr="00ED7AC6">
              <w:t xml:space="preserve"> likely </w:t>
            </w:r>
            <w:r w:rsidR="00552375" w:rsidRPr="00DF387C">
              <w:rPr>
                <w:b/>
              </w:rPr>
              <w:t>to not be</w:t>
            </w:r>
            <w:r w:rsidR="00552375" w:rsidRPr="00ED7AC6">
              <w:t xml:space="preserve"> protective of </w:t>
            </w:r>
            <w:r w:rsidR="00552375">
              <w:t>the lake trophic-state objectives sought.</w:t>
            </w:r>
          </w:p>
        </w:tc>
      </w:tr>
    </w:tbl>
    <w:p w14:paraId="60B5F721" w14:textId="3EE642DC" w:rsidR="00552375" w:rsidRDefault="00552375" w:rsidP="00490E03">
      <w:pPr>
        <w:pStyle w:val="BodyText"/>
        <w:spacing w:before="240"/>
      </w:pPr>
      <w:r w:rsidRPr="003A49BF">
        <w:t xml:space="preserve">The results of the screening-level analysis are summarised in </w:t>
      </w:r>
      <w:r w:rsidRPr="003A49BF">
        <w:fldChar w:fldCharType="begin"/>
      </w:r>
      <w:r w:rsidRPr="003A49BF">
        <w:instrText xml:space="preserve"> REF _Ref518181256 \h  \* MERGEFORMAT </w:instrText>
      </w:r>
      <w:r w:rsidRPr="003A49BF">
        <w:fldChar w:fldCharType="separate"/>
      </w:r>
      <w:r w:rsidR="001A7243" w:rsidRPr="00BB51EB">
        <w:t xml:space="preserve">Table </w:t>
      </w:r>
      <w:r w:rsidR="001A7243">
        <w:rPr>
          <w:noProof/>
        </w:rPr>
        <w:t>13</w:t>
      </w:r>
      <w:r w:rsidRPr="003A49BF">
        <w:fldChar w:fldCharType="end"/>
      </w:r>
      <w:r w:rsidRPr="003A49BF">
        <w:t>. For the shorter lake residence time of 1 year (</w:t>
      </w:r>
      <w:r w:rsidRPr="00490E03">
        <w:t>scenario</w:t>
      </w:r>
      <w:r w:rsidRPr="003A49BF">
        <w:t xml:space="preserve"> 1), neither</w:t>
      </w:r>
      <w:r>
        <w:t xml:space="preserve"> the TP or TN FMU criteria afforded an A-band lake</w:t>
      </w:r>
      <w:r w:rsidR="00490E03">
        <w:t> </w:t>
      </w:r>
      <w:r>
        <w:t>trophic state, although for TP, the estimated in-lake concentration was equal to the in</w:t>
      </w:r>
      <w:r w:rsidR="00490E03">
        <w:noBreakHyphen/>
      </w:r>
      <w:r>
        <w:t>lake</w:t>
      </w:r>
      <w:r w:rsidR="00490E03">
        <w:t> </w:t>
      </w:r>
      <w:r>
        <w:t>criteria (ie, [Y] = [Z]). To meet the nitrogen in-lake criterion (ie, 300 mg/m</w:t>
      </w:r>
      <w:r w:rsidRPr="00B65638">
        <w:rPr>
          <w:vertAlign w:val="superscript"/>
        </w:rPr>
        <w:t>3</w:t>
      </w:r>
      <w:r>
        <w:t xml:space="preserve"> TN), the FMU</w:t>
      </w:r>
      <w:r w:rsidR="00490E03">
        <w:t> </w:t>
      </w:r>
      <w:r>
        <w:t>nitrogen criteria would need to be decreased from 350 mg/m</w:t>
      </w:r>
      <w:r w:rsidRPr="005C5C8C">
        <w:rPr>
          <w:vertAlign w:val="superscript"/>
        </w:rPr>
        <w:t>3</w:t>
      </w:r>
      <w:r>
        <w:t xml:space="preserve"> of DIN down to around 245</w:t>
      </w:r>
      <w:r w:rsidR="00490E03">
        <w:t> </w:t>
      </w:r>
      <w:r>
        <w:t>mg/m</w:t>
      </w:r>
      <w:r w:rsidRPr="005C5C8C">
        <w:rPr>
          <w:vertAlign w:val="superscript"/>
        </w:rPr>
        <w:t>3</w:t>
      </w:r>
      <w:r>
        <w:t xml:space="preserve"> of DIN (corresponding to TN decrease from 500 down to 350 mg/m</w:t>
      </w:r>
      <w:r w:rsidRPr="00A63C02">
        <w:rPr>
          <w:vertAlign w:val="superscript"/>
        </w:rPr>
        <w:t>3</w:t>
      </w:r>
      <w:r>
        <w:t xml:space="preserve">). </w:t>
      </w:r>
    </w:p>
    <w:p w14:paraId="3FD6A420" w14:textId="77777777" w:rsidR="00552375" w:rsidRDefault="00552375" w:rsidP="00490E03">
      <w:pPr>
        <w:pStyle w:val="BodyText"/>
      </w:pPr>
      <w:r>
        <w:t xml:space="preserve">For the 5-year residence time (scenario 2), both FMU </w:t>
      </w:r>
      <w:r w:rsidRPr="00490E03">
        <w:t>criteria</w:t>
      </w:r>
      <w:r>
        <w:t xml:space="preserve"> for nitrogen and phosphorus were likely to be protective of the A-band trophic state sought for the lake. </w:t>
      </w:r>
    </w:p>
    <w:p w14:paraId="2863321F" w14:textId="7E0D55C3" w:rsidR="00552375" w:rsidRDefault="00552375" w:rsidP="00552375">
      <w:pPr>
        <w:pStyle w:val="BodyText"/>
      </w:pPr>
      <w:r>
        <w:t>The use of Vollenweider equations provides a simple screening-level approach for regional councils to implement step (c)</w:t>
      </w:r>
      <w:r w:rsidR="00CB54D6">
        <w:t>.</w:t>
      </w:r>
      <w:r>
        <w:rPr>
          <w:rStyle w:val="FootnoteReference"/>
        </w:rPr>
        <w:footnoteReference w:id="22"/>
      </w:r>
      <w:r>
        <w:t xml:space="preserve"> As shown for estuarine receiving environments, matrices showing the outcome of all possible FMU and lake trophic-state bands can also be applied to </w:t>
      </w:r>
      <w:r w:rsidRPr="00071942">
        <w:t xml:space="preserve">lakes (refer to </w:t>
      </w:r>
      <w:r w:rsidR="00071942" w:rsidRPr="00071942">
        <w:t>figure 14</w:t>
      </w:r>
      <w:r w:rsidRPr="00071942">
        <w:t>). It is emphasised that this is a screening-level assessment only for</w:t>
      </w:r>
      <w:r>
        <w:t xml:space="preserve"> reconciling FMU instream criteria with indicative in-lake criteria. Where issues are identified, it</w:t>
      </w:r>
      <w:r w:rsidR="00490E03">
        <w:t> </w:t>
      </w:r>
      <w:r>
        <w:t>is recommended that this will trigger more comprehensive assessments to improve the robustness of the conclusions.</w:t>
      </w:r>
    </w:p>
    <w:p w14:paraId="0086A895" w14:textId="5341298A" w:rsidR="00552375" w:rsidRDefault="00552375" w:rsidP="00552375">
      <w:pPr>
        <w:pStyle w:val="Tableheading"/>
      </w:pPr>
      <w:bookmarkStart w:id="168" w:name="_Ref518181256"/>
      <w:bookmarkStart w:id="169" w:name="_Toc519683030"/>
      <w:bookmarkStart w:id="170" w:name="_Toc520810485"/>
      <w:bookmarkStart w:id="171" w:name="_Toc520810689"/>
      <w:bookmarkStart w:id="172" w:name="_Toc520898762"/>
      <w:bookmarkStart w:id="173" w:name="_Toc73713309"/>
      <w:r w:rsidRPr="00BB51EB">
        <w:t xml:space="preserve">Table </w:t>
      </w:r>
      <w:fldSimple w:instr=" SEQ Table \* ARABIC ">
        <w:r w:rsidR="001A7243">
          <w:rPr>
            <w:noProof/>
          </w:rPr>
          <w:t>13</w:t>
        </w:r>
      </w:fldSimple>
      <w:bookmarkEnd w:id="168"/>
      <w:r w:rsidRPr="00BB51EB">
        <w:t xml:space="preserve">: </w:t>
      </w:r>
      <w:r>
        <w:tab/>
      </w:r>
      <w:r w:rsidRPr="00BB51EB">
        <w:t xml:space="preserve">Results of FMU to </w:t>
      </w:r>
      <w:r>
        <w:t>lake</w:t>
      </w:r>
      <w:r w:rsidRPr="00BB51EB">
        <w:t xml:space="preserve"> scenario shown in </w:t>
      </w:r>
      <w:r>
        <w:fldChar w:fldCharType="begin"/>
      </w:r>
      <w:r>
        <w:instrText xml:space="preserve"> REF _Ref518253182 \h  \* MERGEFORMAT </w:instrText>
      </w:r>
      <w:r>
        <w:fldChar w:fldCharType="separate"/>
      </w:r>
      <w:r w:rsidR="001A7243" w:rsidRPr="002521D0">
        <w:t xml:space="preserve">Figure </w:t>
      </w:r>
      <w:r w:rsidR="001A7243">
        <w:rPr>
          <w:noProof/>
        </w:rPr>
        <w:t>18</w:t>
      </w:r>
      <w:r>
        <w:fldChar w:fldCharType="end"/>
      </w:r>
      <w:r>
        <w:t xml:space="preserve"> (all concentrations are mg/m</w:t>
      </w:r>
      <w:r w:rsidRPr="000A64E2">
        <w:rPr>
          <w:vertAlign w:val="superscript"/>
        </w:rPr>
        <w:t>3</w:t>
      </w:r>
      <w:r>
        <w:t>)</w:t>
      </w:r>
      <w:bookmarkEnd w:id="169"/>
      <w:bookmarkEnd w:id="170"/>
      <w:bookmarkEnd w:id="171"/>
      <w:bookmarkEnd w:id="172"/>
      <w:bookmarkEnd w:id="173"/>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848"/>
        <w:gridCol w:w="1281"/>
        <w:gridCol w:w="1391"/>
        <w:gridCol w:w="1269"/>
        <w:gridCol w:w="1128"/>
        <w:gridCol w:w="985"/>
        <w:gridCol w:w="703"/>
        <w:gridCol w:w="900"/>
      </w:tblGrid>
      <w:tr w:rsidR="003D096C" w:rsidRPr="009C5D82" w14:paraId="2DC93EB2" w14:textId="77777777" w:rsidTr="00CB1EE0">
        <w:trPr>
          <w:tblHeader/>
        </w:trPr>
        <w:tc>
          <w:tcPr>
            <w:tcW w:w="499" w:type="pct"/>
            <w:shd w:val="clear" w:color="auto" w:fill="1C556C" w:themeFill="accent1"/>
            <w:vAlign w:val="bottom"/>
          </w:tcPr>
          <w:p w14:paraId="48FDFD06" w14:textId="77777777" w:rsidR="00552375" w:rsidRPr="009C5D82" w:rsidRDefault="00552375" w:rsidP="00552375">
            <w:pPr>
              <w:pStyle w:val="TableTextbold"/>
              <w:rPr>
                <w:color w:val="FFFFFF" w:themeColor="background1"/>
              </w:rPr>
            </w:pPr>
            <w:r w:rsidRPr="009C5D82">
              <w:rPr>
                <w:color w:val="FFFFFF" w:themeColor="background1"/>
              </w:rPr>
              <w:t>Scenario</w:t>
            </w:r>
          </w:p>
        </w:tc>
        <w:tc>
          <w:tcPr>
            <w:tcW w:w="753" w:type="pct"/>
            <w:shd w:val="clear" w:color="auto" w:fill="1C556C" w:themeFill="accent1"/>
            <w:vAlign w:val="bottom"/>
          </w:tcPr>
          <w:p w14:paraId="52E09F0E" w14:textId="77777777" w:rsidR="00552375" w:rsidRPr="009C5D82" w:rsidRDefault="00552375" w:rsidP="00552375">
            <w:pPr>
              <w:pStyle w:val="TableTextbold"/>
              <w:rPr>
                <w:color w:val="FFFFFF" w:themeColor="background1"/>
              </w:rPr>
            </w:pPr>
            <w:r w:rsidRPr="009C5D82">
              <w:rPr>
                <w:color w:val="FFFFFF" w:themeColor="background1"/>
              </w:rPr>
              <w:t>Lake retention time (T), years</w:t>
            </w:r>
          </w:p>
        </w:tc>
        <w:tc>
          <w:tcPr>
            <w:tcW w:w="818" w:type="pct"/>
            <w:shd w:val="clear" w:color="auto" w:fill="1C556C" w:themeFill="accent1"/>
            <w:vAlign w:val="bottom"/>
          </w:tcPr>
          <w:p w14:paraId="0E42B328" w14:textId="6789ED3D" w:rsidR="00552375" w:rsidRPr="009C5D82" w:rsidRDefault="00552375" w:rsidP="00552375">
            <w:pPr>
              <w:pStyle w:val="TableTextbold"/>
              <w:rPr>
                <w:color w:val="FFFFFF" w:themeColor="background1"/>
              </w:rPr>
            </w:pPr>
            <w:r w:rsidRPr="009C5D82">
              <w:rPr>
                <w:color w:val="FFFFFF" w:themeColor="background1"/>
              </w:rPr>
              <w:t xml:space="preserve">FMU instream criteria </w:t>
            </w:r>
            <w:r w:rsidR="003D096C">
              <w:rPr>
                <w:color w:val="FFFFFF" w:themeColor="background1"/>
              </w:rPr>
              <w:br/>
            </w:r>
            <w:r w:rsidRPr="009C5D82">
              <w:rPr>
                <w:color w:val="FFFFFF" w:themeColor="background1"/>
              </w:rPr>
              <w:t>(DRP &amp; DIN)</w:t>
            </w:r>
          </w:p>
        </w:tc>
        <w:tc>
          <w:tcPr>
            <w:tcW w:w="746" w:type="pct"/>
            <w:shd w:val="clear" w:color="auto" w:fill="1C556C" w:themeFill="accent1"/>
            <w:vAlign w:val="bottom"/>
          </w:tcPr>
          <w:p w14:paraId="352B0F01" w14:textId="2351C3CD" w:rsidR="00552375" w:rsidRPr="009C5D82" w:rsidRDefault="00552375" w:rsidP="003D096C">
            <w:pPr>
              <w:pStyle w:val="TableTextbold"/>
              <w:rPr>
                <w:color w:val="FFFFFF" w:themeColor="background1"/>
              </w:rPr>
            </w:pPr>
            <w:r w:rsidRPr="009C5D82">
              <w:rPr>
                <w:color w:val="FFFFFF" w:themeColor="background1"/>
              </w:rPr>
              <w:t xml:space="preserve">[X] </w:t>
            </w:r>
            <w:r w:rsidR="003D096C">
              <w:rPr>
                <w:color w:val="FFFFFF" w:themeColor="background1"/>
              </w:rPr>
              <w:br/>
            </w:r>
            <w:r w:rsidRPr="009C5D82">
              <w:rPr>
                <w:color w:val="FFFFFF" w:themeColor="background1"/>
              </w:rPr>
              <w:t>FMU criteria as TP &amp; TN</w:t>
            </w:r>
          </w:p>
        </w:tc>
        <w:tc>
          <w:tcPr>
            <w:tcW w:w="663" w:type="pct"/>
            <w:shd w:val="clear" w:color="auto" w:fill="1C556C" w:themeFill="accent1"/>
            <w:vAlign w:val="bottom"/>
          </w:tcPr>
          <w:p w14:paraId="4FEB59BA" w14:textId="77777777" w:rsidR="00552375" w:rsidRPr="009C5D82" w:rsidRDefault="00552375" w:rsidP="00552375">
            <w:pPr>
              <w:pStyle w:val="TableTextbold"/>
              <w:rPr>
                <w:color w:val="FFFFFF" w:themeColor="background1"/>
              </w:rPr>
            </w:pPr>
            <w:r w:rsidRPr="009C5D82">
              <w:rPr>
                <w:color w:val="FFFFFF" w:themeColor="background1"/>
              </w:rPr>
              <w:t>[Y] estimated in-lake conc.</w:t>
            </w:r>
          </w:p>
        </w:tc>
        <w:tc>
          <w:tcPr>
            <w:tcW w:w="579" w:type="pct"/>
            <w:shd w:val="clear" w:color="auto" w:fill="1C556C" w:themeFill="accent1"/>
            <w:vAlign w:val="bottom"/>
          </w:tcPr>
          <w:p w14:paraId="12DE0F89" w14:textId="77777777" w:rsidR="00552375" w:rsidRPr="009C5D82" w:rsidRDefault="00552375" w:rsidP="00552375">
            <w:pPr>
              <w:pStyle w:val="TableTextbold"/>
              <w:rPr>
                <w:color w:val="FFFFFF" w:themeColor="background1"/>
              </w:rPr>
            </w:pPr>
            <w:r w:rsidRPr="009C5D82">
              <w:rPr>
                <w:color w:val="FFFFFF" w:themeColor="background1"/>
              </w:rPr>
              <w:t>[Z] in-lake nutrient criteria</w:t>
            </w:r>
            <w:r w:rsidRPr="009C5D82">
              <w:rPr>
                <w:color w:val="FFFFFF" w:themeColor="background1"/>
                <w:vertAlign w:val="superscript"/>
              </w:rPr>
              <w:t>a</w:t>
            </w:r>
          </w:p>
        </w:tc>
        <w:tc>
          <w:tcPr>
            <w:tcW w:w="413" w:type="pct"/>
            <w:shd w:val="clear" w:color="auto" w:fill="1C556C" w:themeFill="accent1"/>
            <w:vAlign w:val="bottom"/>
          </w:tcPr>
          <w:p w14:paraId="6C06C1E0" w14:textId="77777777" w:rsidR="00552375" w:rsidRPr="009C5D82" w:rsidRDefault="00552375" w:rsidP="00552375">
            <w:pPr>
              <w:pStyle w:val="TableTextbold"/>
              <w:rPr>
                <w:color w:val="FFFFFF" w:themeColor="background1"/>
              </w:rPr>
            </w:pPr>
            <w:r w:rsidRPr="009C5D82">
              <w:rPr>
                <w:color w:val="FFFFFF" w:themeColor="background1"/>
              </w:rPr>
              <w:t>[Y]≥[Z]</w:t>
            </w:r>
          </w:p>
        </w:tc>
        <w:tc>
          <w:tcPr>
            <w:tcW w:w="530" w:type="pct"/>
            <w:shd w:val="clear" w:color="auto" w:fill="1C556C" w:themeFill="accent1"/>
            <w:vAlign w:val="bottom"/>
          </w:tcPr>
          <w:p w14:paraId="5A4896AD" w14:textId="77777777" w:rsidR="00552375" w:rsidRPr="009C5D82" w:rsidRDefault="00552375" w:rsidP="00552375">
            <w:pPr>
              <w:pStyle w:val="TableTextbold"/>
              <w:rPr>
                <w:color w:val="FFFFFF" w:themeColor="background1"/>
              </w:rPr>
            </w:pPr>
            <w:r w:rsidRPr="009C5D82">
              <w:rPr>
                <w:color w:val="FFFFFF" w:themeColor="background1"/>
              </w:rPr>
              <w:t>Accept FMU criterion</w:t>
            </w:r>
            <w:r w:rsidRPr="009C5D82">
              <w:rPr>
                <w:color w:val="FFFFFF" w:themeColor="background1"/>
                <w:vertAlign w:val="superscript"/>
              </w:rPr>
              <w:t>b</w:t>
            </w:r>
          </w:p>
        </w:tc>
      </w:tr>
      <w:tr w:rsidR="00552375" w:rsidRPr="000F7AFA" w14:paraId="19E053D0" w14:textId="77777777" w:rsidTr="00CB1EE0">
        <w:tc>
          <w:tcPr>
            <w:tcW w:w="5000" w:type="pct"/>
            <w:gridSpan w:val="8"/>
            <w:shd w:val="clear" w:color="auto" w:fill="auto"/>
          </w:tcPr>
          <w:p w14:paraId="1C76EFF5" w14:textId="77777777" w:rsidR="00552375" w:rsidRPr="00B65638" w:rsidRDefault="00552375" w:rsidP="00552375">
            <w:pPr>
              <w:pStyle w:val="TableText"/>
              <w:jc w:val="center"/>
              <w:rPr>
                <w:b/>
                <w:szCs w:val="18"/>
              </w:rPr>
            </w:pPr>
            <w:r w:rsidRPr="00B65638">
              <w:rPr>
                <w:b/>
              </w:rPr>
              <w:t>phosphorus</w:t>
            </w:r>
          </w:p>
        </w:tc>
      </w:tr>
      <w:tr w:rsidR="003D096C" w:rsidRPr="000F7AFA" w14:paraId="5682677B" w14:textId="77777777" w:rsidTr="00CB1EE0">
        <w:tc>
          <w:tcPr>
            <w:tcW w:w="499" w:type="pct"/>
            <w:shd w:val="clear" w:color="auto" w:fill="auto"/>
          </w:tcPr>
          <w:p w14:paraId="4DFC02D1" w14:textId="77777777" w:rsidR="00552375" w:rsidRPr="006B4810" w:rsidRDefault="00552375" w:rsidP="00552375">
            <w:pPr>
              <w:pStyle w:val="TableText"/>
            </w:pPr>
            <w:r>
              <w:rPr>
                <w:szCs w:val="18"/>
              </w:rPr>
              <w:t>1</w:t>
            </w:r>
          </w:p>
        </w:tc>
        <w:tc>
          <w:tcPr>
            <w:tcW w:w="753" w:type="pct"/>
          </w:tcPr>
          <w:p w14:paraId="5804E4DD" w14:textId="77777777" w:rsidR="00552375" w:rsidRPr="000F7AFA" w:rsidRDefault="00552375" w:rsidP="00552375">
            <w:pPr>
              <w:pStyle w:val="TableText"/>
              <w:rPr>
                <w:szCs w:val="18"/>
              </w:rPr>
            </w:pPr>
            <w:r>
              <w:rPr>
                <w:szCs w:val="18"/>
              </w:rPr>
              <w:t>1</w:t>
            </w:r>
          </w:p>
        </w:tc>
        <w:tc>
          <w:tcPr>
            <w:tcW w:w="818" w:type="pct"/>
          </w:tcPr>
          <w:p w14:paraId="4ECCE36D" w14:textId="77777777" w:rsidR="00552375" w:rsidRPr="000F7AFA" w:rsidRDefault="00552375" w:rsidP="00552375">
            <w:pPr>
              <w:pStyle w:val="TableText"/>
              <w:rPr>
                <w:szCs w:val="18"/>
              </w:rPr>
            </w:pPr>
            <w:r>
              <w:rPr>
                <w:szCs w:val="18"/>
              </w:rPr>
              <w:t>10</w:t>
            </w:r>
          </w:p>
        </w:tc>
        <w:tc>
          <w:tcPr>
            <w:tcW w:w="746" w:type="pct"/>
          </w:tcPr>
          <w:p w14:paraId="253DB114" w14:textId="77777777" w:rsidR="00552375" w:rsidRPr="000F7AFA" w:rsidRDefault="00552375" w:rsidP="00552375">
            <w:pPr>
              <w:pStyle w:val="TableText"/>
              <w:rPr>
                <w:szCs w:val="18"/>
              </w:rPr>
            </w:pPr>
            <w:r>
              <w:rPr>
                <w:szCs w:val="18"/>
              </w:rPr>
              <w:t>20</w:t>
            </w:r>
          </w:p>
        </w:tc>
        <w:tc>
          <w:tcPr>
            <w:tcW w:w="663" w:type="pct"/>
          </w:tcPr>
          <w:p w14:paraId="4ABF15FF" w14:textId="77777777" w:rsidR="00552375" w:rsidRPr="000F7AFA" w:rsidRDefault="00552375" w:rsidP="00552375">
            <w:pPr>
              <w:pStyle w:val="TableText"/>
              <w:rPr>
                <w:szCs w:val="18"/>
              </w:rPr>
            </w:pPr>
            <w:r>
              <w:rPr>
                <w:szCs w:val="18"/>
              </w:rPr>
              <w:t>10</w:t>
            </w:r>
          </w:p>
        </w:tc>
        <w:tc>
          <w:tcPr>
            <w:tcW w:w="579" w:type="pct"/>
          </w:tcPr>
          <w:p w14:paraId="1FBBA74A" w14:textId="77777777" w:rsidR="00552375" w:rsidRPr="000F7AFA" w:rsidRDefault="00552375" w:rsidP="00552375">
            <w:pPr>
              <w:pStyle w:val="TableText"/>
              <w:rPr>
                <w:szCs w:val="18"/>
              </w:rPr>
            </w:pPr>
            <w:r>
              <w:rPr>
                <w:szCs w:val="18"/>
              </w:rPr>
              <w:t>10</w:t>
            </w:r>
          </w:p>
        </w:tc>
        <w:tc>
          <w:tcPr>
            <w:tcW w:w="413" w:type="pct"/>
          </w:tcPr>
          <w:p w14:paraId="7D0D7894" w14:textId="77777777" w:rsidR="00552375" w:rsidRPr="000F7AFA" w:rsidRDefault="00552375" w:rsidP="00552375">
            <w:pPr>
              <w:pStyle w:val="TableText"/>
              <w:rPr>
                <w:szCs w:val="18"/>
              </w:rPr>
            </w:pPr>
            <w:r>
              <w:rPr>
                <w:szCs w:val="18"/>
              </w:rPr>
              <w:t>yes</w:t>
            </w:r>
          </w:p>
        </w:tc>
        <w:tc>
          <w:tcPr>
            <w:tcW w:w="530" w:type="pct"/>
          </w:tcPr>
          <w:p w14:paraId="08D7B689" w14:textId="77777777" w:rsidR="00552375" w:rsidRPr="000F7AFA" w:rsidRDefault="00552375" w:rsidP="00552375">
            <w:pPr>
              <w:pStyle w:val="TableText"/>
              <w:rPr>
                <w:szCs w:val="18"/>
              </w:rPr>
            </w:pPr>
            <w:r>
              <w:rPr>
                <w:b/>
                <w:szCs w:val="18"/>
              </w:rPr>
              <w:t>no</w:t>
            </w:r>
          </w:p>
        </w:tc>
      </w:tr>
      <w:tr w:rsidR="003D096C" w:rsidRPr="000F7AFA" w14:paraId="39DDD282" w14:textId="77777777" w:rsidTr="00CB1EE0">
        <w:tc>
          <w:tcPr>
            <w:tcW w:w="499" w:type="pct"/>
            <w:shd w:val="clear" w:color="auto" w:fill="auto"/>
          </w:tcPr>
          <w:p w14:paraId="63C8BEFC" w14:textId="77777777" w:rsidR="00552375" w:rsidRPr="006B4810" w:rsidRDefault="00552375" w:rsidP="00552375">
            <w:pPr>
              <w:pStyle w:val="TableText"/>
            </w:pPr>
            <w:r>
              <w:rPr>
                <w:szCs w:val="18"/>
              </w:rPr>
              <w:t>2</w:t>
            </w:r>
          </w:p>
        </w:tc>
        <w:tc>
          <w:tcPr>
            <w:tcW w:w="753" w:type="pct"/>
          </w:tcPr>
          <w:p w14:paraId="2753B991" w14:textId="77777777" w:rsidR="00552375" w:rsidRPr="000F7AFA" w:rsidRDefault="00552375" w:rsidP="00552375">
            <w:pPr>
              <w:pStyle w:val="TableText"/>
              <w:rPr>
                <w:szCs w:val="18"/>
              </w:rPr>
            </w:pPr>
            <w:r>
              <w:rPr>
                <w:szCs w:val="18"/>
              </w:rPr>
              <w:t>5</w:t>
            </w:r>
          </w:p>
        </w:tc>
        <w:tc>
          <w:tcPr>
            <w:tcW w:w="818" w:type="pct"/>
          </w:tcPr>
          <w:p w14:paraId="5202B85B" w14:textId="77777777" w:rsidR="00552375" w:rsidRPr="000F7AFA" w:rsidRDefault="00552375" w:rsidP="00552375">
            <w:pPr>
              <w:pStyle w:val="TableText"/>
              <w:rPr>
                <w:szCs w:val="18"/>
              </w:rPr>
            </w:pPr>
            <w:r>
              <w:rPr>
                <w:szCs w:val="18"/>
              </w:rPr>
              <w:t>10</w:t>
            </w:r>
          </w:p>
        </w:tc>
        <w:tc>
          <w:tcPr>
            <w:tcW w:w="746" w:type="pct"/>
          </w:tcPr>
          <w:p w14:paraId="4D675C3D" w14:textId="77777777" w:rsidR="00552375" w:rsidRPr="000F7AFA" w:rsidRDefault="00552375" w:rsidP="00552375">
            <w:pPr>
              <w:pStyle w:val="TableText"/>
              <w:rPr>
                <w:szCs w:val="18"/>
              </w:rPr>
            </w:pPr>
            <w:r>
              <w:rPr>
                <w:szCs w:val="18"/>
              </w:rPr>
              <w:t>20</w:t>
            </w:r>
          </w:p>
        </w:tc>
        <w:tc>
          <w:tcPr>
            <w:tcW w:w="663" w:type="pct"/>
          </w:tcPr>
          <w:p w14:paraId="114A808E" w14:textId="77777777" w:rsidR="00552375" w:rsidRPr="000F7AFA" w:rsidRDefault="00552375" w:rsidP="00552375">
            <w:pPr>
              <w:pStyle w:val="TableText"/>
              <w:rPr>
                <w:szCs w:val="18"/>
              </w:rPr>
            </w:pPr>
            <w:r>
              <w:rPr>
                <w:szCs w:val="18"/>
              </w:rPr>
              <w:t>6.2</w:t>
            </w:r>
          </w:p>
        </w:tc>
        <w:tc>
          <w:tcPr>
            <w:tcW w:w="579" w:type="pct"/>
          </w:tcPr>
          <w:p w14:paraId="72328CBE" w14:textId="77777777" w:rsidR="00552375" w:rsidRPr="000F7AFA" w:rsidRDefault="00552375" w:rsidP="00552375">
            <w:pPr>
              <w:pStyle w:val="TableText"/>
              <w:rPr>
                <w:szCs w:val="18"/>
              </w:rPr>
            </w:pPr>
            <w:r>
              <w:rPr>
                <w:szCs w:val="18"/>
              </w:rPr>
              <w:t>10</w:t>
            </w:r>
          </w:p>
        </w:tc>
        <w:tc>
          <w:tcPr>
            <w:tcW w:w="413" w:type="pct"/>
          </w:tcPr>
          <w:p w14:paraId="184E47F7" w14:textId="77777777" w:rsidR="00552375" w:rsidRPr="000F7AFA" w:rsidRDefault="00552375" w:rsidP="00552375">
            <w:pPr>
              <w:pStyle w:val="TableText"/>
              <w:rPr>
                <w:szCs w:val="18"/>
              </w:rPr>
            </w:pPr>
            <w:r>
              <w:rPr>
                <w:szCs w:val="18"/>
              </w:rPr>
              <w:t>no</w:t>
            </w:r>
          </w:p>
        </w:tc>
        <w:tc>
          <w:tcPr>
            <w:tcW w:w="530" w:type="pct"/>
          </w:tcPr>
          <w:p w14:paraId="0E2B9AC9" w14:textId="77777777" w:rsidR="00552375" w:rsidRPr="000F7AFA" w:rsidRDefault="00552375" w:rsidP="00552375">
            <w:pPr>
              <w:pStyle w:val="TableText"/>
              <w:rPr>
                <w:szCs w:val="18"/>
              </w:rPr>
            </w:pPr>
            <w:r>
              <w:rPr>
                <w:b/>
                <w:szCs w:val="18"/>
              </w:rPr>
              <w:t>yes</w:t>
            </w:r>
          </w:p>
        </w:tc>
      </w:tr>
      <w:tr w:rsidR="00552375" w14:paraId="2235F125" w14:textId="77777777" w:rsidTr="00CB1EE0">
        <w:tc>
          <w:tcPr>
            <w:tcW w:w="5000" w:type="pct"/>
            <w:gridSpan w:val="8"/>
            <w:shd w:val="clear" w:color="auto" w:fill="auto"/>
          </w:tcPr>
          <w:p w14:paraId="0DE195A1" w14:textId="77777777" w:rsidR="00552375" w:rsidRPr="00B65638" w:rsidRDefault="00552375" w:rsidP="00552375">
            <w:pPr>
              <w:pStyle w:val="TableText"/>
              <w:jc w:val="center"/>
              <w:rPr>
                <w:b/>
                <w:lang w:val="en-US"/>
              </w:rPr>
            </w:pPr>
            <w:r w:rsidRPr="00B65638">
              <w:rPr>
                <w:b/>
                <w:lang w:val="en-US"/>
              </w:rPr>
              <w:t>nitrogen</w:t>
            </w:r>
          </w:p>
        </w:tc>
      </w:tr>
      <w:tr w:rsidR="003D096C" w14:paraId="628C90B0" w14:textId="77777777" w:rsidTr="00CB1EE0">
        <w:tc>
          <w:tcPr>
            <w:tcW w:w="499" w:type="pct"/>
            <w:shd w:val="clear" w:color="auto" w:fill="auto"/>
          </w:tcPr>
          <w:p w14:paraId="0A70E000" w14:textId="77777777" w:rsidR="00552375" w:rsidRDefault="00552375" w:rsidP="00552375">
            <w:pPr>
              <w:pStyle w:val="TableText"/>
            </w:pPr>
            <w:r>
              <w:rPr>
                <w:szCs w:val="18"/>
              </w:rPr>
              <w:t>1</w:t>
            </w:r>
          </w:p>
        </w:tc>
        <w:tc>
          <w:tcPr>
            <w:tcW w:w="753" w:type="pct"/>
          </w:tcPr>
          <w:p w14:paraId="274E2563" w14:textId="77777777" w:rsidR="00552375" w:rsidRDefault="00552375" w:rsidP="00552375">
            <w:pPr>
              <w:pStyle w:val="TableText"/>
              <w:rPr>
                <w:lang w:val="en-US"/>
              </w:rPr>
            </w:pPr>
            <w:r>
              <w:rPr>
                <w:szCs w:val="18"/>
              </w:rPr>
              <w:t>1</w:t>
            </w:r>
          </w:p>
        </w:tc>
        <w:tc>
          <w:tcPr>
            <w:tcW w:w="818" w:type="pct"/>
          </w:tcPr>
          <w:p w14:paraId="7BFD0214" w14:textId="77777777" w:rsidR="00552375" w:rsidRDefault="00552375" w:rsidP="00552375">
            <w:pPr>
              <w:pStyle w:val="TableText"/>
              <w:rPr>
                <w:lang w:val="en-US"/>
              </w:rPr>
            </w:pPr>
            <w:r>
              <w:rPr>
                <w:szCs w:val="18"/>
              </w:rPr>
              <w:t>350</w:t>
            </w:r>
          </w:p>
        </w:tc>
        <w:tc>
          <w:tcPr>
            <w:tcW w:w="746" w:type="pct"/>
          </w:tcPr>
          <w:p w14:paraId="3445C588" w14:textId="77777777" w:rsidR="00552375" w:rsidRDefault="00552375" w:rsidP="00552375">
            <w:pPr>
              <w:pStyle w:val="TableText"/>
              <w:rPr>
                <w:lang w:val="en-US"/>
              </w:rPr>
            </w:pPr>
            <w:r>
              <w:rPr>
                <w:szCs w:val="18"/>
              </w:rPr>
              <w:t>500</w:t>
            </w:r>
          </w:p>
        </w:tc>
        <w:tc>
          <w:tcPr>
            <w:tcW w:w="663" w:type="pct"/>
          </w:tcPr>
          <w:p w14:paraId="73B7CD71" w14:textId="77777777" w:rsidR="00552375" w:rsidRDefault="00552375" w:rsidP="00552375">
            <w:pPr>
              <w:pStyle w:val="TableText"/>
              <w:rPr>
                <w:lang w:val="en-US"/>
              </w:rPr>
            </w:pPr>
            <w:r>
              <w:rPr>
                <w:szCs w:val="18"/>
              </w:rPr>
              <w:t>396</w:t>
            </w:r>
          </w:p>
        </w:tc>
        <w:tc>
          <w:tcPr>
            <w:tcW w:w="579" w:type="pct"/>
          </w:tcPr>
          <w:p w14:paraId="6D515C7D" w14:textId="77777777" w:rsidR="00552375" w:rsidRDefault="00552375" w:rsidP="00552375">
            <w:pPr>
              <w:pStyle w:val="TableText"/>
              <w:rPr>
                <w:lang w:val="en-US"/>
              </w:rPr>
            </w:pPr>
            <w:r>
              <w:rPr>
                <w:szCs w:val="18"/>
              </w:rPr>
              <w:t>300</w:t>
            </w:r>
          </w:p>
        </w:tc>
        <w:tc>
          <w:tcPr>
            <w:tcW w:w="413" w:type="pct"/>
          </w:tcPr>
          <w:p w14:paraId="65560BBD" w14:textId="77777777" w:rsidR="00552375" w:rsidRDefault="00552375" w:rsidP="00552375">
            <w:pPr>
              <w:pStyle w:val="TableText"/>
              <w:rPr>
                <w:lang w:val="en-US"/>
              </w:rPr>
            </w:pPr>
            <w:r>
              <w:rPr>
                <w:szCs w:val="18"/>
              </w:rPr>
              <w:t>yes</w:t>
            </w:r>
          </w:p>
        </w:tc>
        <w:tc>
          <w:tcPr>
            <w:tcW w:w="530" w:type="pct"/>
          </w:tcPr>
          <w:p w14:paraId="310D33E4" w14:textId="77777777" w:rsidR="00552375" w:rsidRDefault="00552375" w:rsidP="00552375">
            <w:pPr>
              <w:pStyle w:val="TableText"/>
              <w:rPr>
                <w:lang w:val="en-US"/>
              </w:rPr>
            </w:pPr>
            <w:r>
              <w:rPr>
                <w:b/>
                <w:szCs w:val="18"/>
              </w:rPr>
              <w:t>no</w:t>
            </w:r>
          </w:p>
        </w:tc>
      </w:tr>
      <w:tr w:rsidR="003D096C" w14:paraId="75CB9305" w14:textId="77777777" w:rsidTr="00CB1EE0">
        <w:tc>
          <w:tcPr>
            <w:tcW w:w="499" w:type="pct"/>
            <w:shd w:val="clear" w:color="auto" w:fill="auto"/>
          </w:tcPr>
          <w:p w14:paraId="45978821" w14:textId="77777777" w:rsidR="00552375" w:rsidRDefault="00552375" w:rsidP="00552375">
            <w:pPr>
              <w:pStyle w:val="TableText"/>
            </w:pPr>
            <w:r>
              <w:rPr>
                <w:szCs w:val="18"/>
              </w:rPr>
              <w:t>2</w:t>
            </w:r>
          </w:p>
        </w:tc>
        <w:tc>
          <w:tcPr>
            <w:tcW w:w="753" w:type="pct"/>
          </w:tcPr>
          <w:p w14:paraId="614E2BCF" w14:textId="77777777" w:rsidR="00552375" w:rsidRDefault="00552375" w:rsidP="00552375">
            <w:pPr>
              <w:pStyle w:val="TableText"/>
              <w:rPr>
                <w:lang w:val="en-US"/>
              </w:rPr>
            </w:pPr>
            <w:r>
              <w:rPr>
                <w:szCs w:val="18"/>
              </w:rPr>
              <w:t>5</w:t>
            </w:r>
          </w:p>
        </w:tc>
        <w:tc>
          <w:tcPr>
            <w:tcW w:w="818" w:type="pct"/>
          </w:tcPr>
          <w:p w14:paraId="0EF38B87" w14:textId="77777777" w:rsidR="00552375" w:rsidRDefault="00552375" w:rsidP="00552375">
            <w:pPr>
              <w:pStyle w:val="TableText"/>
              <w:rPr>
                <w:lang w:val="en-US"/>
              </w:rPr>
            </w:pPr>
            <w:r>
              <w:rPr>
                <w:szCs w:val="18"/>
              </w:rPr>
              <w:t>350</w:t>
            </w:r>
          </w:p>
        </w:tc>
        <w:tc>
          <w:tcPr>
            <w:tcW w:w="746" w:type="pct"/>
          </w:tcPr>
          <w:p w14:paraId="303C8007" w14:textId="77777777" w:rsidR="00552375" w:rsidRDefault="00552375" w:rsidP="00552375">
            <w:pPr>
              <w:pStyle w:val="TableText"/>
              <w:rPr>
                <w:lang w:val="en-US"/>
              </w:rPr>
            </w:pPr>
            <w:r>
              <w:rPr>
                <w:szCs w:val="18"/>
              </w:rPr>
              <w:t>500</w:t>
            </w:r>
          </w:p>
        </w:tc>
        <w:tc>
          <w:tcPr>
            <w:tcW w:w="663" w:type="pct"/>
          </w:tcPr>
          <w:p w14:paraId="1C08590C" w14:textId="77777777" w:rsidR="00552375" w:rsidRDefault="00552375" w:rsidP="00552375">
            <w:pPr>
              <w:pStyle w:val="TableText"/>
              <w:rPr>
                <w:lang w:val="en-US"/>
              </w:rPr>
            </w:pPr>
            <w:r>
              <w:rPr>
                <w:szCs w:val="18"/>
              </w:rPr>
              <w:t>272</w:t>
            </w:r>
          </w:p>
        </w:tc>
        <w:tc>
          <w:tcPr>
            <w:tcW w:w="579" w:type="pct"/>
          </w:tcPr>
          <w:p w14:paraId="074CE64C" w14:textId="77777777" w:rsidR="00552375" w:rsidRDefault="00552375" w:rsidP="00552375">
            <w:pPr>
              <w:pStyle w:val="TableText"/>
              <w:rPr>
                <w:lang w:val="en-US"/>
              </w:rPr>
            </w:pPr>
            <w:r>
              <w:rPr>
                <w:szCs w:val="18"/>
              </w:rPr>
              <w:t>300</w:t>
            </w:r>
          </w:p>
        </w:tc>
        <w:tc>
          <w:tcPr>
            <w:tcW w:w="413" w:type="pct"/>
          </w:tcPr>
          <w:p w14:paraId="2C2BA948" w14:textId="77777777" w:rsidR="00552375" w:rsidRDefault="00552375" w:rsidP="00552375">
            <w:pPr>
              <w:pStyle w:val="TableText"/>
              <w:rPr>
                <w:lang w:val="en-US"/>
              </w:rPr>
            </w:pPr>
            <w:r>
              <w:rPr>
                <w:szCs w:val="18"/>
              </w:rPr>
              <w:t>no</w:t>
            </w:r>
          </w:p>
        </w:tc>
        <w:tc>
          <w:tcPr>
            <w:tcW w:w="530" w:type="pct"/>
          </w:tcPr>
          <w:p w14:paraId="220A076D" w14:textId="77777777" w:rsidR="00552375" w:rsidRDefault="00552375" w:rsidP="00552375">
            <w:pPr>
              <w:pStyle w:val="TableText"/>
              <w:rPr>
                <w:lang w:val="en-US"/>
              </w:rPr>
            </w:pPr>
            <w:r>
              <w:rPr>
                <w:b/>
                <w:szCs w:val="18"/>
              </w:rPr>
              <w:t>yes</w:t>
            </w:r>
          </w:p>
        </w:tc>
      </w:tr>
    </w:tbl>
    <w:p w14:paraId="1DD43063" w14:textId="77777777" w:rsidR="00552375" w:rsidRPr="00D13391" w:rsidRDefault="00552375" w:rsidP="003D096C">
      <w:pPr>
        <w:pStyle w:val="Note"/>
      </w:pPr>
      <w:r w:rsidRPr="00D13391">
        <w:rPr>
          <w:vertAlign w:val="superscript"/>
        </w:rPr>
        <w:t xml:space="preserve">a </w:t>
      </w:r>
      <w:r w:rsidRPr="00D13391">
        <w:t>based on NPS-FM TN and TP lake attribute numeric values the define the A/B band threshold;</w:t>
      </w:r>
      <w:r w:rsidRPr="00D13391">
        <w:rPr>
          <w:vertAlign w:val="superscript"/>
        </w:rPr>
        <w:t xml:space="preserve"> b</w:t>
      </w:r>
      <w:r w:rsidRPr="00D13391">
        <w:t xml:space="preserve"> based on results of the screening-level assessment, and assuming that the estuarine trophic-state objectives cannot be relaxed.</w:t>
      </w:r>
    </w:p>
    <w:p w14:paraId="691D623F" w14:textId="77777777" w:rsidR="00CB1EE0" w:rsidRPr="00CB1EE0" w:rsidRDefault="00CB1EE0" w:rsidP="00CB1EE0">
      <w:pPr>
        <w:pStyle w:val="BodyText"/>
      </w:pPr>
      <w:bookmarkStart w:id="174" w:name="_Toc520810803"/>
      <w:r w:rsidRPr="00CB1EE0">
        <w:br w:type="page"/>
      </w:r>
    </w:p>
    <w:p w14:paraId="70510C52" w14:textId="09F72399" w:rsidR="00552375" w:rsidRPr="003D096C" w:rsidRDefault="00552375" w:rsidP="001A6A20">
      <w:pPr>
        <w:pStyle w:val="Heading1"/>
        <w:spacing w:after="240"/>
      </w:pPr>
      <w:bookmarkStart w:id="175" w:name="_Toc73711456"/>
      <w:r>
        <w:t>References</w:t>
      </w:r>
      <w:bookmarkEnd w:id="174"/>
      <w:bookmarkEnd w:id="175"/>
    </w:p>
    <w:p w14:paraId="2B301032" w14:textId="54059469" w:rsidR="00552375" w:rsidRDefault="00552375" w:rsidP="001A6A20">
      <w:pPr>
        <w:pStyle w:val="References"/>
        <w:spacing w:after="100"/>
      </w:pPr>
      <w:r>
        <w:t xml:space="preserve">Ausseil, O., Clark, M. (2007) </w:t>
      </w:r>
      <w:r w:rsidRPr="003D096C">
        <w:rPr>
          <w:i/>
          <w:iCs/>
        </w:rPr>
        <w:t>Recommended Water Quality Standards for the Manawatu-Whanganui Region: Technical Report to Support Policy Development</w:t>
      </w:r>
      <w:r>
        <w:t>. Horizons Regional Council, 194p.</w:t>
      </w:r>
    </w:p>
    <w:p w14:paraId="48501F97" w14:textId="5347C1D3" w:rsidR="00552375" w:rsidRDefault="00552375" w:rsidP="001A6A20">
      <w:pPr>
        <w:pStyle w:val="References"/>
        <w:spacing w:after="100"/>
        <w:rPr>
          <w:rFonts w:asciiTheme="minorHAnsi" w:hAnsiTheme="minorHAnsi"/>
        </w:rPr>
      </w:pPr>
      <w:r>
        <w:t>Biggs, B.J.F. (1996</w:t>
      </w:r>
      <w:r w:rsidRPr="00B403E1">
        <w:t xml:space="preserve">) Patterns in benthic algae of streams. In: Algal Ecology: </w:t>
      </w:r>
      <w:r w:rsidRPr="00F83A5C">
        <w:rPr>
          <w:i/>
        </w:rPr>
        <w:t>Freshwater Benthic Ecosystems</w:t>
      </w:r>
      <w:r w:rsidRPr="00B403E1">
        <w:t xml:space="preserve"> (Eds. R.J. Stevenson, M.</w:t>
      </w:r>
      <w:r>
        <w:t xml:space="preserve">L. Bothwell and R.L. Lowe): </w:t>
      </w:r>
      <w:r w:rsidRPr="00B403E1">
        <w:t>31-56. Academic Press, San Diego.</w:t>
      </w:r>
    </w:p>
    <w:p w14:paraId="4B1D19E3" w14:textId="68C88287" w:rsidR="00552375" w:rsidRDefault="00552375" w:rsidP="001A6A20">
      <w:pPr>
        <w:pStyle w:val="References"/>
        <w:spacing w:after="100"/>
      </w:pPr>
      <w:r>
        <w:t xml:space="preserve">Biggs, B.J.F. (2000) </w:t>
      </w:r>
      <w:r w:rsidRPr="001B19D9">
        <w:rPr>
          <w:i/>
        </w:rPr>
        <w:t>New Zealand Periphyton Guideline: Detecting, Monitoring an</w:t>
      </w:r>
      <w:r>
        <w:rPr>
          <w:i/>
        </w:rPr>
        <w:t xml:space="preserve">d Managing Enrichment of Streams. </w:t>
      </w:r>
      <w:r w:rsidRPr="00B82591">
        <w:rPr>
          <w:rFonts w:asciiTheme="minorHAnsi" w:hAnsiTheme="minorHAnsi" w:cs="Arial"/>
        </w:rPr>
        <w:t xml:space="preserve">Ministry for the </w:t>
      </w:r>
      <w:r w:rsidRPr="00DC05A5">
        <w:t>Environment</w:t>
      </w:r>
      <w:r>
        <w:t xml:space="preserve">: 122. </w:t>
      </w:r>
      <w:hyperlink r:id="rId61" w:history="1">
        <w:r w:rsidRPr="00DB03FF">
          <w:rPr>
            <w:rStyle w:val="Hyperlink"/>
          </w:rPr>
          <w:t>http://www.mfe.govt.nz/sites/default/files/nz-periphyton-guide-jun00.pdf</w:t>
        </w:r>
      </w:hyperlink>
    </w:p>
    <w:p w14:paraId="0B52952B" w14:textId="1F800F16" w:rsidR="00552375" w:rsidRPr="00DC05A5" w:rsidRDefault="00552375" w:rsidP="001A6A20">
      <w:pPr>
        <w:pStyle w:val="References"/>
        <w:spacing w:after="100"/>
      </w:pPr>
      <w:r w:rsidRPr="00B403E1">
        <w:t>Biggs</w:t>
      </w:r>
      <w:r>
        <w:t>,</w:t>
      </w:r>
      <w:r w:rsidRPr="00B403E1">
        <w:t xml:space="preserve"> B.J.F.</w:t>
      </w:r>
      <w:r>
        <w:t>,</w:t>
      </w:r>
      <w:r w:rsidRPr="00B403E1">
        <w:t xml:space="preserve"> Price</w:t>
      </w:r>
      <w:r>
        <w:t>,</w:t>
      </w:r>
      <w:r w:rsidRPr="00B403E1">
        <w:t xml:space="preserve"> G.M. (1987) A survey of filamentous algal proliferations in New Zealand rivers. </w:t>
      </w:r>
      <w:r w:rsidRPr="00F83A5C">
        <w:rPr>
          <w:i/>
        </w:rPr>
        <w:t>New</w:t>
      </w:r>
      <w:r w:rsidR="00E81B87">
        <w:rPr>
          <w:i/>
        </w:rPr>
        <w:t> </w:t>
      </w:r>
      <w:r w:rsidRPr="00F83A5C">
        <w:rPr>
          <w:i/>
        </w:rPr>
        <w:t>Zealand Journal of Marine and Freshwater Research</w:t>
      </w:r>
      <w:r>
        <w:t>, 21:</w:t>
      </w:r>
      <w:r w:rsidRPr="00B403E1">
        <w:t xml:space="preserve"> 175-191.</w:t>
      </w:r>
    </w:p>
    <w:p w14:paraId="4FD97910" w14:textId="19E5107C" w:rsidR="00552375" w:rsidRDefault="00552375" w:rsidP="001A6A20">
      <w:pPr>
        <w:pStyle w:val="References"/>
        <w:spacing w:after="100"/>
        <w:rPr>
          <w:rStyle w:val="Hyperlink"/>
        </w:rPr>
      </w:pPr>
      <w:r>
        <w:t xml:space="preserve">Biggs, B.J.F., Kilroy, C. (2000) </w:t>
      </w:r>
      <w:r>
        <w:rPr>
          <w:i/>
          <w:iCs/>
        </w:rPr>
        <w:t>Stream Periphyton Monitoring Manual</w:t>
      </w:r>
      <w:r>
        <w:t xml:space="preserve">. Ministry for the Environment: 126. </w:t>
      </w:r>
      <w:hyperlink r:id="rId62" w:history="1">
        <w:r w:rsidRPr="007F6504">
          <w:rPr>
            <w:rStyle w:val="Hyperlink"/>
          </w:rPr>
          <w:t>https://</w:t>
        </w:r>
        <w:r w:rsidRPr="00743F82">
          <w:rPr>
            <w:rStyle w:val="Hyperlink"/>
          </w:rPr>
          <w:t>www</w:t>
        </w:r>
        <w:r w:rsidRPr="007F6504">
          <w:rPr>
            <w:rStyle w:val="Hyperlink"/>
          </w:rPr>
          <w:t>.niwa.co.nz/sites/niwa.co.nz/files/import/attachments/peri_complete.pdf</w:t>
        </w:r>
      </w:hyperlink>
    </w:p>
    <w:p w14:paraId="3BA5AAC1" w14:textId="6651E1DD" w:rsidR="00552375" w:rsidRPr="00DC05A5" w:rsidRDefault="00552375" w:rsidP="001A6A20">
      <w:pPr>
        <w:pStyle w:val="References"/>
        <w:spacing w:after="100"/>
        <w:rPr>
          <w:rFonts w:asciiTheme="minorHAnsi" w:hAnsiTheme="minorHAnsi" w:cs="Calibri"/>
          <w:iCs/>
        </w:rPr>
      </w:pPr>
      <w:r>
        <w:t xml:space="preserve">Booker, D., Snelder, T. (2012) Development of nutrient criteria for managing macrophytes in lowland and spring-fed Canterbury streams. </w:t>
      </w:r>
      <w:r w:rsidRPr="00F83A5C">
        <w:rPr>
          <w:i/>
        </w:rPr>
        <w:t>NIWA report for Environment Canterbury</w:t>
      </w:r>
      <w:r w:rsidR="00DC05A5">
        <w:rPr>
          <w:iCs/>
        </w:rPr>
        <w:t>.</w:t>
      </w:r>
    </w:p>
    <w:p w14:paraId="229E5671" w14:textId="38173D2D" w:rsidR="00552375" w:rsidRDefault="00552375" w:rsidP="001A6A20">
      <w:pPr>
        <w:pStyle w:val="References"/>
        <w:spacing w:after="100"/>
        <w:rPr>
          <w:rFonts w:asciiTheme="minorHAnsi" w:hAnsiTheme="minorHAnsi" w:cs="Calibri"/>
        </w:rPr>
      </w:pPr>
      <w:r>
        <w:t>Burger, D.F., Hamilton D.P., Pilditch, C.A. (2008) Modelling the relative importance of internal and external nutrient loads on water column nutrient concentrations and phytoplankton biomass in a shallow polymictic lake</w:t>
      </w:r>
      <w:r w:rsidR="00DD47E9">
        <w:t xml:space="preserve"> </w:t>
      </w:r>
      <w:r>
        <w:rPr>
          <w:i/>
          <w:iCs/>
        </w:rPr>
        <w:t>Ecological Modelling,</w:t>
      </w:r>
      <w:r>
        <w:t xml:space="preserve"> 211: 411-423.</w:t>
      </w:r>
    </w:p>
    <w:p w14:paraId="199AE2E4" w14:textId="72217EE2" w:rsidR="00552375" w:rsidRPr="00B403E1" w:rsidRDefault="00552375" w:rsidP="001A6A20">
      <w:pPr>
        <w:pStyle w:val="References"/>
        <w:spacing w:after="100"/>
      </w:pPr>
      <w:r w:rsidRPr="00B403E1">
        <w:t xml:space="preserve">Carr, G.M., Bod, S.A.E., Duthie, H.C., Taylor, W.D. (2003) Macrophyte biomass and water quality in Ontario rivers. </w:t>
      </w:r>
      <w:r w:rsidRPr="00F83A5C">
        <w:rPr>
          <w:rFonts w:cs="Calibri,Italic"/>
          <w:i/>
          <w:iCs/>
        </w:rPr>
        <w:t>Journal of the North American Benthological Society</w:t>
      </w:r>
      <w:r w:rsidRPr="00B403E1">
        <w:rPr>
          <w:rFonts w:cs="Calibri,Italic"/>
          <w:i/>
          <w:iCs/>
        </w:rPr>
        <w:t xml:space="preserve">, </w:t>
      </w:r>
      <w:r w:rsidRPr="00B403E1">
        <w:t>22</w:t>
      </w:r>
      <w:r>
        <w:t xml:space="preserve">: </w:t>
      </w:r>
      <w:r w:rsidRPr="00B403E1">
        <w:t>182-193.</w:t>
      </w:r>
    </w:p>
    <w:p w14:paraId="0085E5A7" w14:textId="58A00029" w:rsidR="00552375" w:rsidRDefault="00552375" w:rsidP="001A6A20">
      <w:pPr>
        <w:pStyle w:val="References"/>
        <w:spacing w:after="100"/>
      </w:pPr>
      <w:r w:rsidRPr="00AE1BF1">
        <w:t xml:space="preserve">Chapman, V.J., Cameron, H. (1967) </w:t>
      </w:r>
      <w:r w:rsidRPr="00AE1BF1">
        <w:rPr>
          <w:i/>
        </w:rPr>
        <w:t>Compsopogon</w:t>
      </w:r>
      <w:r w:rsidRPr="00AE1BF1">
        <w:t xml:space="preserve"> in New Zealand. </w:t>
      </w:r>
      <w:r w:rsidRPr="00F83A5C">
        <w:rPr>
          <w:i/>
        </w:rPr>
        <w:t>New Zealand Journal of Botany</w:t>
      </w:r>
      <w:r>
        <w:rPr>
          <w:i/>
        </w:rPr>
        <w:t>,</w:t>
      </w:r>
      <w:r w:rsidRPr="00F83A5C">
        <w:rPr>
          <w:i/>
        </w:rPr>
        <w:t xml:space="preserve"> </w:t>
      </w:r>
      <w:r w:rsidRPr="00FC0ACC">
        <w:t>5</w:t>
      </w:r>
      <w:r>
        <w:t xml:space="preserve">: </w:t>
      </w:r>
      <w:r w:rsidRPr="00AE1BF1">
        <w:t>548-552.</w:t>
      </w:r>
    </w:p>
    <w:p w14:paraId="2D9AD2E1" w14:textId="6AE5C98D" w:rsidR="00552375" w:rsidRDefault="00552375" w:rsidP="001A6A20">
      <w:pPr>
        <w:pStyle w:val="References"/>
        <w:spacing w:after="100"/>
        <w:rPr>
          <w:rFonts w:ascii="ArialUnicodeMS" w:hAnsi="ArialUnicodeMS"/>
          <w:szCs w:val="20"/>
        </w:rPr>
      </w:pPr>
      <w:r>
        <w:t xml:space="preserve">Chapra, S.C., Flynn, K.F., Rutherford, J.C. (2014). Parsimonious model for assessing nutrient impacts on periphyton-dominated streams. </w:t>
      </w:r>
      <w:r w:rsidRPr="00FC0ACC">
        <w:rPr>
          <w:i/>
        </w:rPr>
        <w:t>Journal of Environment Engineering</w:t>
      </w:r>
      <w:r>
        <w:t xml:space="preserve"> 140: </w:t>
      </w:r>
      <w:hyperlink r:id="rId63" w:history="1">
        <w:r w:rsidRPr="00DC05A5">
          <w:rPr>
            <w:rStyle w:val="Hyperlink"/>
          </w:rPr>
          <w:t>https://doi.org/10.1061/(ASCE)EE.1943-7870.0000834</w:t>
        </w:r>
      </w:hyperlink>
    </w:p>
    <w:p w14:paraId="298AD3C9" w14:textId="04098310" w:rsidR="00552375" w:rsidRDefault="00552375" w:rsidP="001A6A20">
      <w:pPr>
        <w:pStyle w:val="References"/>
        <w:spacing w:after="100"/>
      </w:pPr>
      <w:r w:rsidRPr="0031438E">
        <w:t xml:space="preserve">Clapcott, J.E., Young, R.G., Harding, J.S., </w:t>
      </w:r>
      <w:r>
        <w:t xml:space="preserve">Matthaei, C.D., Quinn, J.M., </w:t>
      </w:r>
      <w:r w:rsidRPr="0031438E">
        <w:t xml:space="preserve">Death, R.G. (2011) </w:t>
      </w:r>
      <w:r w:rsidRPr="00FC0ACC">
        <w:rPr>
          <w:i/>
        </w:rPr>
        <w:t>Sediment Assessment Methods: Protocols and guidelines for assessing the effects of deposited fine sediment on in-stream values</w:t>
      </w:r>
      <w:r w:rsidRPr="0031438E">
        <w:t xml:space="preserve">. </w:t>
      </w:r>
      <w:r w:rsidRPr="00FC0ACC">
        <w:t>Cawthron Institute</w:t>
      </w:r>
      <w:r w:rsidRPr="00F83A5C">
        <w:rPr>
          <w:i/>
        </w:rPr>
        <w:t>,</w:t>
      </w:r>
      <w:r w:rsidRPr="0031438E">
        <w:t xml:space="preserve"> Nelson, New Zealand.</w:t>
      </w:r>
    </w:p>
    <w:p w14:paraId="6239E9D9" w14:textId="1648A27F" w:rsidR="00552375" w:rsidRDefault="00552375" w:rsidP="001A6A20">
      <w:pPr>
        <w:pStyle w:val="References"/>
        <w:spacing w:after="100"/>
        <w:rPr>
          <w:rFonts w:cs="Calibri"/>
        </w:rPr>
      </w:pPr>
      <w:r w:rsidRPr="007556A6">
        <w:t>Clarkson, B</w:t>
      </w:r>
      <w:r>
        <w:t>., Peters, M. (2010)</w:t>
      </w:r>
      <w:r w:rsidRPr="007556A6">
        <w:t xml:space="preserve"> Wetland Types. In: </w:t>
      </w:r>
      <w:r w:rsidRPr="00F83A5C">
        <w:rPr>
          <w:i/>
        </w:rPr>
        <w:t>Wetland restoration: a handbook for New Zealand freshwater systems.</w:t>
      </w:r>
      <w:r w:rsidRPr="007556A6">
        <w:t xml:space="preserve"> Peters, M., C</w:t>
      </w:r>
      <w:r>
        <w:t>larkson, B. (eds). Lincoln, N.Z.</w:t>
      </w:r>
      <w:r w:rsidRPr="007556A6">
        <w:t xml:space="preserve"> Manaaki Whenua Press.</w:t>
      </w:r>
    </w:p>
    <w:p w14:paraId="70EFAE2D" w14:textId="4E5CB305" w:rsidR="00552375" w:rsidRDefault="00552375" w:rsidP="001A6A20">
      <w:pPr>
        <w:pStyle w:val="References"/>
        <w:spacing w:after="100"/>
      </w:pPr>
      <w:r>
        <w:t xml:space="preserve">Collier, K.J., Champion, P.D., Croker, G.F. (1999) Patch and reach scale dynamics of a macrophyte invertebrate system in a New Zealand lowland stream. </w:t>
      </w:r>
      <w:r w:rsidRPr="00F83A5C">
        <w:rPr>
          <w:rFonts w:ascii="Calibri,Italic" w:hAnsi="Calibri,Italic" w:cs="Calibri,Italic"/>
          <w:i/>
          <w:iCs/>
        </w:rPr>
        <w:t>Hydrobiologia</w:t>
      </w:r>
      <w:r>
        <w:rPr>
          <w:rFonts w:ascii="Calibri,Italic" w:hAnsi="Calibri,Italic" w:cs="Calibri,Italic"/>
          <w:iCs/>
        </w:rPr>
        <w:t>,</w:t>
      </w:r>
      <w:r w:rsidRPr="00C60FD3">
        <w:rPr>
          <w:rFonts w:ascii="Calibri,Italic" w:hAnsi="Calibri,Italic" w:cs="Calibri,Italic"/>
          <w:iCs/>
        </w:rPr>
        <w:t xml:space="preserve"> </w:t>
      </w:r>
      <w:r w:rsidRPr="00C60FD3">
        <w:t>392</w:t>
      </w:r>
      <w:r>
        <w:t>: 89-97.</w:t>
      </w:r>
    </w:p>
    <w:p w14:paraId="35F9E50A" w14:textId="77777777" w:rsidR="00552375" w:rsidRDefault="00552375" w:rsidP="001A6A20">
      <w:pPr>
        <w:pStyle w:val="References"/>
        <w:spacing w:after="100"/>
      </w:pPr>
      <w:r>
        <w:t xml:space="preserve">Davies-Colley, R.J., Meleason, M.A., Hall, R.M.J., Rutherford, J.C. (2009) Modelling the time course of shade, temperature, and wood recovery in streams with riparian forest restoration. </w:t>
      </w:r>
      <w:r>
        <w:rPr>
          <w:rFonts w:ascii="Calibri,Italic" w:hAnsi="Calibri,Italic" w:cs="Calibri,Italic"/>
          <w:i/>
          <w:iCs/>
        </w:rPr>
        <w:t xml:space="preserve">New Zealand </w:t>
      </w:r>
      <w:r w:rsidRPr="00F83A5C">
        <w:rPr>
          <w:rFonts w:ascii="Calibri,Italic" w:hAnsi="Calibri,Italic" w:cs="Calibri,Italic"/>
          <w:i/>
          <w:iCs/>
        </w:rPr>
        <w:t>Journal of Marine and Freshwater Research</w:t>
      </w:r>
      <w:r>
        <w:rPr>
          <w:rFonts w:ascii="Calibri,Italic" w:hAnsi="Calibri,Italic" w:cs="Calibri,Italic"/>
          <w:i/>
          <w:iCs/>
        </w:rPr>
        <w:t xml:space="preserve">, </w:t>
      </w:r>
      <w:r>
        <w:t>43: 673–688.</w:t>
      </w:r>
    </w:p>
    <w:p w14:paraId="2C9F5062" w14:textId="6C799AA8" w:rsidR="00552375" w:rsidRDefault="00552375" w:rsidP="001A6A20">
      <w:pPr>
        <w:pStyle w:val="References"/>
        <w:spacing w:after="100"/>
        <w:rPr>
          <w:lang w:val="en-GB"/>
        </w:rPr>
      </w:pPr>
      <w:r w:rsidRPr="006054DD">
        <w:rPr>
          <w:lang w:val="en-GB"/>
        </w:rPr>
        <w:t>Dawson, F.H.</w:t>
      </w:r>
      <w:r>
        <w:rPr>
          <w:lang w:val="en-GB"/>
        </w:rPr>
        <w:t>,</w:t>
      </w:r>
      <w:r w:rsidRPr="006054DD">
        <w:rPr>
          <w:lang w:val="en-GB"/>
        </w:rPr>
        <w:t xml:space="preserve"> Kern-Hansen, U. (1979) The effect of natural and artificial shade on the macrophytes of lowland streams and the use of shade as a management technique. </w:t>
      </w:r>
      <w:r w:rsidRPr="00505A76">
        <w:rPr>
          <w:i/>
          <w:lang w:val="en-GB"/>
        </w:rPr>
        <w:t>Internationale Revue Gesamten Hydrobiologie</w:t>
      </w:r>
      <w:r>
        <w:rPr>
          <w:lang w:val="en-GB"/>
        </w:rPr>
        <w:t>,</w:t>
      </w:r>
      <w:r w:rsidRPr="00C60FD3">
        <w:rPr>
          <w:lang w:val="en-GB"/>
        </w:rPr>
        <w:t xml:space="preserve"> 64</w:t>
      </w:r>
      <w:r>
        <w:rPr>
          <w:lang w:val="en-GB"/>
        </w:rPr>
        <w:t xml:space="preserve">: </w:t>
      </w:r>
      <w:r w:rsidRPr="00C60FD3">
        <w:rPr>
          <w:lang w:val="en-GB"/>
        </w:rPr>
        <w:t>437</w:t>
      </w:r>
      <w:r>
        <w:rPr>
          <w:lang w:val="en-GB"/>
        </w:rPr>
        <w:t>-</w:t>
      </w:r>
      <w:r w:rsidRPr="00C60FD3">
        <w:rPr>
          <w:lang w:val="en-GB"/>
        </w:rPr>
        <w:t>455.</w:t>
      </w:r>
    </w:p>
    <w:p w14:paraId="5F80CDE8" w14:textId="0C9D30F6" w:rsidR="00552375" w:rsidRDefault="00552375" w:rsidP="001A6A20">
      <w:pPr>
        <w:pStyle w:val="References"/>
        <w:spacing w:after="100"/>
        <w:rPr>
          <w:lang w:val="en-GB"/>
        </w:rPr>
      </w:pPr>
      <w:r w:rsidRPr="00DB06EB">
        <w:rPr>
          <w:rFonts w:cs="MSTT31c6c0"/>
        </w:rPr>
        <w:t xml:space="preserve">Ellenberg, H. </w:t>
      </w:r>
      <w:r>
        <w:rPr>
          <w:rFonts w:cs="MSTT31c6c0"/>
        </w:rPr>
        <w:t>(</w:t>
      </w:r>
      <w:r w:rsidRPr="00DB06EB">
        <w:t>1988</w:t>
      </w:r>
      <w:r>
        <w:t xml:space="preserve">) </w:t>
      </w:r>
      <w:r w:rsidRPr="00FC0ACC">
        <w:rPr>
          <w:rFonts w:cs="MSTT31c6da"/>
          <w:i/>
        </w:rPr>
        <w:t>Vegetation ecology of Central Europe</w:t>
      </w:r>
      <w:r w:rsidRPr="00DB06EB">
        <w:t>, 4 edition. Cambridge University Press.</w:t>
      </w:r>
    </w:p>
    <w:p w14:paraId="19C222FE" w14:textId="5479A158" w:rsidR="00552375" w:rsidRDefault="00552375" w:rsidP="001A6A20">
      <w:pPr>
        <w:pStyle w:val="References"/>
        <w:spacing w:after="100"/>
        <w:rPr>
          <w:rStyle w:val="Hyperlink"/>
          <w:rFonts w:asciiTheme="minorHAnsi" w:hAnsiTheme="minorHAnsi" w:cs="CalibriLight"/>
        </w:rPr>
      </w:pPr>
      <w:r w:rsidRPr="00F24418">
        <w:rPr>
          <w:rFonts w:cs="Calibri"/>
        </w:rPr>
        <w:t xml:space="preserve">Elliott, E., Wadhwa, S., Whitehead, A., Snelder, T, Muirhead, R., Monaghan, R., Bright, J. (2016) </w:t>
      </w:r>
      <w:r w:rsidRPr="00FC0ACC">
        <w:rPr>
          <w:i/>
        </w:rPr>
        <w:t>Modelling national land-use capacity. Exploring bottom lines and headroom under the NPS-FM 2014. Update Report</w:t>
      </w:r>
      <w:r w:rsidRPr="00C60FD3">
        <w:t xml:space="preserve">. </w:t>
      </w:r>
      <w:r w:rsidRPr="00FC0ACC">
        <w:t>NIWA Report for the Ministry for the Environment</w:t>
      </w:r>
      <w:r w:rsidRPr="00C60FD3">
        <w:t>: 102</w:t>
      </w:r>
      <w:r>
        <w:t>.</w:t>
      </w:r>
      <w:r w:rsidR="00E81B87">
        <w:t xml:space="preserve"> </w:t>
      </w:r>
      <w:hyperlink r:id="rId64" w:history="1">
        <w:r w:rsidRPr="00AB056B">
          <w:rPr>
            <w:rStyle w:val="Hyperlink"/>
            <w:rFonts w:asciiTheme="minorHAnsi" w:hAnsiTheme="minorHAnsi" w:cs="CalibriLight"/>
          </w:rPr>
          <w:t>http://www.mfe.govt.nz/sites/default/files/media/Fresh%20water/Landuse%20Capacity%20report%202016%20Final%2014%20October%202016.pdf</w:t>
        </w:r>
      </w:hyperlink>
    </w:p>
    <w:p w14:paraId="72AB228B" w14:textId="0B5A4AA9" w:rsidR="00552375" w:rsidRPr="00DC05A5" w:rsidRDefault="00552375" w:rsidP="001A6A20">
      <w:pPr>
        <w:pStyle w:val="References"/>
        <w:spacing w:after="100"/>
        <w:rPr>
          <w:rStyle w:val="Hyperlink"/>
          <w:color w:val="auto"/>
        </w:rPr>
      </w:pPr>
      <w:r w:rsidRPr="00DC05A5">
        <w:rPr>
          <w:rStyle w:val="Hyperlink"/>
          <w:color w:val="auto"/>
        </w:rPr>
        <w:t xml:space="preserve">Eppley, R.W., Rogers, J.N., McCarthy, J.J. (1969). Half-saturation constants for uptake of nitrate and ammonia by marine phytoplankton. </w:t>
      </w:r>
      <w:r w:rsidRPr="00DC05A5">
        <w:rPr>
          <w:rStyle w:val="Hyperlink"/>
          <w:i/>
          <w:iCs/>
          <w:color w:val="auto"/>
        </w:rPr>
        <w:t xml:space="preserve">Limnology and </w:t>
      </w:r>
      <w:r w:rsidRPr="00DC05A5">
        <w:rPr>
          <w:i/>
          <w:iCs/>
        </w:rPr>
        <w:t>Oceanography</w:t>
      </w:r>
      <w:r w:rsidRPr="00DC05A5">
        <w:rPr>
          <w:rStyle w:val="Hyperlink"/>
          <w:color w:val="auto"/>
        </w:rPr>
        <w:t>, 14: 912-920</w:t>
      </w:r>
      <w:r w:rsidR="00DC05A5">
        <w:rPr>
          <w:rStyle w:val="Hyperlink"/>
          <w:color w:val="auto"/>
        </w:rPr>
        <w:t>.</w:t>
      </w:r>
    </w:p>
    <w:p w14:paraId="3B612F31" w14:textId="540B4B1D" w:rsidR="00552375" w:rsidRPr="007E2181" w:rsidRDefault="00552375" w:rsidP="001A6A20">
      <w:pPr>
        <w:pStyle w:val="References"/>
        <w:spacing w:after="100"/>
      </w:pPr>
      <w:r w:rsidRPr="007E2181">
        <w:t xml:space="preserve">Ferreira, J.G., W.J. Wolff, T.C. Simas, Bricker, S.B. (2005) Does biodiversity of estuarine phytoplankton depend on hydrology? </w:t>
      </w:r>
      <w:r w:rsidRPr="007E2181">
        <w:rPr>
          <w:i/>
          <w:iCs/>
        </w:rPr>
        <w:t>Ecological Modelling</w:t>
      </w:r>
      <w:r w:rsidRPr="007E2181">
        <w:t>, 187: 513-523.</w:t>
      </w:r>
    </w:p>
    <w:p w14:paraId="1A5C2EB0" w14:textId="77777777" w:rsidR="00552375" w:rsidRDefault="00552375" w:rsidP="001A6A20">
      <w:pPr>
        <w:pStyle w:val="References"/>
        <w:spacing w:after="100"/>
      </w:pPr>
      <w:r>
        <w:t>Greenhalgh, S., Murphy, L. (2017)</w:t>
      </w:r>
      <w:r w:rsidRPr="003B7844">
        <w:t xml:space="preserve"> Freshwater contaminant limit assessment of the regions</w:t>
      </w:r>
      <w:r w:rsidRPr="00505A76">
        <w:rPr>
          <w:i/>
        </w:rPr>
        <w:t>. Technical Paper, Motu Economic and Public Policy Research</w:t>
      </w:r>
      <w:r>
        <w:t>, May 2017: 57.</w:t>
      </w:r>
    </w:p>
    <w:p w14:paraId="6C6EE764" w14:textId="659E5967" w:rsidR="00552375" w:rsidRDefault="00552375" w:rsidP="001A6A20">
      <w:pPr>
        <w:pStyle w:val="References"/>
        <w:spacing w:after="100"/>
      </w:pPr>
      <w:r>
        <w:t xml:space="preserve">Hamilton, D.P., Özkundakci, D., McBride, C.G., Ye, W., Luo, L., Silvester, W., White, P. (2011) </w:t>
      </w:r>
      <w:r w:rsidRPr="007E2181">
        <w:rPr>
          <w:i/>
          <w:iCs/>
        </w:rPr>
        <w:t>Predicting the effects of nutrient loads, management regimes and climate change on water quality of Lake Rotorua. University of Waikato ERI Report 005</w:t>
      </w:r>
      <w:r w:rsidRPr="003E4539">
        <w:rPr>
          <w:iCs/>
        </w:rPr>
        <w:t>, Prepared for</w:t>
      </w:r>
      <w:r>
        <w:rPr>
          <w:iCs/>
        </w:rPr>
        <w:t xml:space="preserve"> Bay of Plenty Regional Council.</w:t>
      </w:r>
    </w:p>
    <w:p w14:paraId="3114CED3" w14:textId="5EA39429" w:rsidR="00552375" w:rsidRPr="00FC0ACC" w:rsidRDefault="00552375" w:rsidP="001A6A20">
      <w:pPr>
        <w:pStyle w:val="References"/>
        <w:spacing w:after="100"/>
        <w:rPr>
          <w:sz w:val="22"/>
        </w:rPr>
      </w:pPr>
      <w:r w:rsidRPr="00FC0ACC">
        <w:t xml:space="preserve">Harding, J.S., Clapcott, J.E., Quinn, J.M., Hayes, J.W., Joy, M.K., Greig, H.S., James, T., Beech, M., Ozane, R., Hay, J., Meredith, A., Boothroyd, I.K.G. (2009) </w:t>
      </w:r>
      <w:r w:rsidRPr="00FC0ACC">
        <w:rPr>
          <w:i/>
        </w:rPr>
        <w:t>Stream habitat assessment protocols for wadeable rivers and streams of New Zealand</w:t>
      </w:r>
      <w:r w:rsidRPr="00FC0ACC">
        <w:t>. University of Canterbury Press: 133.</w:t>
      </w:r>
    </w:p>
    <w:p w14:paraId="064F341F" w14:textId="77777777" w:rsidR="00552375" w:rsidRDefault="00552375" w:rsidP="001A6A20">
      <w:pPr>
        <w:pStyle w:val="References"/>
        <w:spacing w:after="100"/>
      </w:pPr>
      <w:r w:rsidRPr="00956A9B">
        <w:t>Harrison J</w:t>
      </w:r>
      <w:r>
        <w:t>.</w:t>
      </w:r>
      <w:r w:rsidRPr="00956A9B">
        <w:t>A, Maranger R</w:t>
      </w:r>
      <w:r>
        <w:t>.</w:t>
      </w:r>
      <w:r w:rsidRPr="00956A9B">
        <w:t>J, Alexander R</w:t>
      </w:r>
      <w:r>
        <w:t>.</w:t>
      </w:r>
      <w:r w:rsidRPr="00956A9B">
        <w:t>B, Giblin A</w:t>
      </w:r>
      <w:r>
        <w:t>.</w:t>
      </w:r>
      <w:r w:rsidRPr="00956A9B">
        <w:t>E, Jacinthe P</w:t>
      </w:r>
      <w:r>
        <w:t>.</w:t>
      </w:r>
      <w:r w:rsidRPr="00956A9B">
        <w:t>A, Mayorga E, Seitzinger S</w:t>
      </w:r>
      <w:r>
        <w:t>.</w:t>
      </w:r>
      <w:r w:rsidRPr="00956A9B">
        <w:t>P, Sobota D</w:t>
      </w:r>
      <w:r>
        <w:t>.</w:t>
      </w:r>
      <w:r w:rsidRPr="00956A9B">
        <w:t>J, Wollheim W</w:t>
      </w:r>
      <w:r>
        <w:t>.</w:t>
      </w:r>
      <w:r w:rsidRPr="00956A9B">
        <w:t>M (2009)</w:t>
      </w:r>
      <w:r>
        <w:t>.</w:t>
      </w:r>
      <w:r w:rsidRPr="00956A9B">
        <w:t xml:space="preserve"> The regional and global significance of nitrogen removal in lakes and reservoirs. </w:t>
      </w:r>
      <w:r w:rsidRPr="00956A9B">
        <w:rPr>
          <w:i/>
        </w:rPr>
        <w:t>Biogeochemistry</w:t>
      </w:r>
      <w:r>
        <w:rPr>
          <w:i/>
        </w:rPr>
        <w:t>,</w:t>
      </w:r>
      <w:r w:rsidRPr="00956A9B">
        <w:t xml:space="preserve"> 93:</w:t>
      </w:r>
      <w:r>
        <w:t xml:space="preserve"> </w:t>
      </w:r>
      <w:r w:rsidRPr="00956A9B">
        <w:t>143–157</w:t>
      </w:r>
      <w:r>
        <w:t>.</w:t>
      </w:r>
    </w:p>
    <w:p w14:paraId="278F36F8" w14:textId="77777777" w:rsidR="00552375" w:rsidRDefault="00552375" w:rsidP="001A6A20">
      <w:pPr>
        <w:pStyle w:val="References"/>
        <w:spacing w:after="100"/>
      </w:pPr>
      <w:r w:rsidRPr="006054DD">
        <w:t xml:space="preserve">Haslam, S.M. (1978) </w:t>
      </w:r>
      <w:r w:rsidRPr="00FC0ACC">
        <w:t>River plants: the macrophytic vegetation of watercourses</w:t>
      </w:r>
      <w:r>
        <w:t>. Cambridge University Press: 396</w:t>
      </w:r>
      <w:r w:rsidRPr="00C60FD3">
        <w:t>.</w:t>
      </w:r>
    </w:p>
    <w:p w14:paraId="3C3C9A4A" w14:textId="77777777" w:rsidR="00552375" w:rsidRDefault="00552375" w:rsidP="001A6A20">
      <w:pPr>
        <w:pStyle w:val="References"/>
        <w:spacing w:after="100"/>
      </w:pPr>
      <w:r w:rsidRPr="001D3900">
        <w:t xml:space="preserve">Howarth, R.W., Marino, R. (2006) Nitrogen as the limiting nutrient for eutrophication in coastal marine ecosystems: evolving views over three decades. </w:t>
      </w:r>
      <w:r w:rsidRPr="00E445CE">
        <w:rPr>
          <w:i/>
        </w:rPr>
        <w:t>Limnology and Oceanography</w:t>
      </w:r>
      <w:r>
        <w:t>, 51:</w:t>
      </w:r>
      <w:r w:rsidRPr="001D3900">
        <w:t xml:space="preserve"> 364-376.</w:t>
      </w:r>
    </w:p>
    <w:p w14:paraId="7BF7ECAF" w14:textId="77777777" w:rsidR="00552375" w:rsidRDefault="00552375" w:rsidP="001A6A20">
      <w:pPr>
        <w:pStyle w:val="References"/>
        <w:spacing w:after="100"/>
      </w:pPr>
      <w:r>
        <w:t>Horizons Regional Council (2014</w:t>
      </w:r>
      <w:r w:rsidRPr="001305EB">
        <w:t xml:space="preserve">) </w:t>
      </w:r>
      <w:r w:rsidRPr="00FC0ACC">
        <w:t>One Plan. The Consolidated Regional Policy Statement, Regional Plan and Regional Coastal Plan for the Manawatu-Wanganui Region</w:t>
      </w:r>
      <w:r w:rsidRPr="001305EB">
        <w:t>.</w:t>
      </w:r>
    </w:p>
    <w:p w14:paraId="713FF3AD" w14:textId="77777777" w:rsidR="00552375" w:rsidRDefault="00552375" w:rsidP="001A6A20">
      <w:pPr>
        <w:pStyle w:val="References"/>
        <w:spacing w:after="100"/>
      </w:pPr>
      <w:r w:rsidRPr="001305EB">
        <w:t>Hoyle, J.T., Kilroy, C., Hicks, D.M., Brown, L. (2017) The influence of sediment mobility and channel geomorphology on periphyton abund</w:t>
      </w:r>
      <w:r>
        <w:t xml:space="preserve">ance. </w:t>
      </w:r>
      <w:r w:rsidRPr="00E445CE">
        <w:rPr>
          <w:i/>
        </w:rPr>
        <w:t>Freshwater Biology</w:t>
      </w:r>
      <w:r>
        <w:t>, 62:</w:t>
      </w:r>
      <w:r w:rsidRPr="001305EB">
        <w:t xml:space="preserve"> 258-273.</w:t>
      </w:r>
    </w:p>
    <w:p w14:paraId="2C48BC21" w14:textId="431CEA9F" w:rsidR="00552375" w:rsidRDefault="00552375" w:rsidP="001A6A20">
      <w:pPr>
        <w:pStyle w:val="References"/>
        <w:spacing w:after="100"/>
      </w:pPr>
      <w:r>
        <w:t xml:space="preserve">Kelly, D., Shearer, K., </w:t>
      </w:r>
      <w:r w:rsidRPr="007E2181">
        <w:t>Schallenberg</w:t>
      </w:r>
      <w:r>
        <w:t xml:space="preserve">, M. (2013) </w:t>
      </w:r>
      <w:r w:rsidRPr="007E2181">
        <w:rPr>
          <w:i/>
          <w:iCs/>
        </w:rPr>
        <w:t>Nutrient loading to shallow coastal lakes in Southland for sustaining ecological values</w:t>
      </w:r>
      <w:r>
        <w:t>. Cawthron Report prepared for Environment Southland: 41.</w:t>
      </w:r>
    </w:p>
    <w:p w14:paraId="7D660491" w14:textId="77777777" w:rsidR="00552375" w:rsidRDefault="00552375" w:rsidP="001A6A20">
      <w:pPr>
        <w:pStyle w:val="References"/>
        <w:spacing w:after="100"/>
      </w:pPr>
      <w:r w:rsidRPr="006054DD">
        <w:t>Kilroy, C.</w:t>
      </w:r>
      <w:r>
        <w:t>,</w:t>
      </w:r>
      <w:r w:rsidRPr="006054DD">
        <w:t xml:space="preserve"> Biggs, B.</w:t>
      </w:r>
      <w:r>
        <w:t>,</w:t>
      </w:r>
      <w:r w:rsidRPr="006054DD">
        <w:t xml:space="preserve"> Blair, N.</w:t>
      </w:r>
      <w:r>
        <w:t>,</w:t>
      </w:r>
      <w:r w:rsidRPr="006054DD">
        <w:t xml:space="preserve"> Lambert, P.</w:t>
      </w:r>
      <w:r>
        <w:t>,</w:t>
      </w:r>
      <w:r w:rsidRPr="006054DD">
        <w:t xml:space="preserve"> Jarvie, B.</w:t>
      </w:r>
      <w:r>
        <w:t>,</w:t>
      </w:r>
      <w:r w:rsidRPr="006054DD">
        <w:t xml:space="preserve"> Dey, K.</w:t>
      </w:r>
      <w:r>
        <w:t>,</w:t>
      </w:r>
      <w:r w:rsidRPr="006054DD">
        <w:t xml:space="preserve"> Robinson, K.</w:t>
      </w:r>
      <w:r>
        <w:t>,</w:t>
      </w:r>
      <w:r w:rsidRPr="006054DD">
        <w:t xml:space="preserve"> Smale, D. (2006) </w:t>
      </w:r>
      <w:r w:rsidRPr="00FC0ACC">
        <w:rPr>
          <w:i/>
        </w:rPr>
        <w:t>Ecological studies on Didymosphenia geminata</w:t>
      </w:r>
      <w:r w:rsidRPr="006054DD">
        <w:t xml:space="preserve">. </w:t>
      </w:r>
      <w:r w:rsidRPr="00FC0ACC">
        <w:t xml:space="preserve">NIWA Report for </w:t>
      </w:r>
      <w:r w:rsidRPr="007E2181">
        <w:t>Biosecurity</w:t>
      </w:r>
      <w:r w:rsidRPr="00FC0ACC">
        <w:t xml:space="preserve"> New Zealand</w:t>
      </w:r>
      <w:r>
        <w:t>: 66</w:t>
      </w:r>
      <w:r w:rsidRPr="006054DD">
        <w:t>.</w:t>
      </w:r>
    </w:p>
    <w:p w14:paraId="61107880" w14:textId="77777777" w:rsidR="00552375" w:rsidRDefault="00552375" w:rsidP="001A6A20">
      <w:pPr>
        <w:pStyle w:val="References"/>
        <w:spacing w:after="100"/>
      </w:pPr>
      <w:r w:rsidRPr="006054DD">
        <w:t>Kilroy, C.</w:t>
      </w:r>
      <w:r>
        <w:t>,</w:t>
      </w:r>
      <w:r w:rsidRPr="006054DD">
        <w:t xml:space="preserve"> Leathwick, J.</w:t>
      </w:r>
      <w:r>
        <w:t>,</w:t>
      </w:r>
      <w:r w:rsidRPr="006054DD">
        <w:t xml:space="preserve"> Dey, K.</w:t>
      </w:r>
      <w:r>
        <w:t>,</w:t>
      </w:r>
      <w:r w:rsidRPr="006054DD">
        <w:t xml:space="preserve"> Blair, N.</w:t>
      </w:r>
      <w:r>
        <w:t>,</w:t>
      </w:r>
      <w:r w:rsidRPr="006054DD">
        <w:t xml:space="preserve"> Roulston, H.</w:t>
      </w:r>
      <w:r>
        <w:t xml:space="preserve">, </w:t>
      </w:r>
      <w:r w:rsidRPr="007E2181">
        <w:t>Sykes</w:t>
      </w:r>
      <w:r w:rsidRPr="006054DD">
        <w:t>, J.</w:t>
      </w:r>
      <w:r>
        <w:t>,</w:t>
      </w:r>
      <w:r w:rsidRPr="006054DD">
        <w:t xml:space="preserve"> Sutherland, D. (2007) </w:t>
      </w:r>
      <w:r w:rsidRPr="007E2181">
        <w:rPr>
          <w:i/>
          <w:iCs/>
        </w:rPr>
        <w:t>Predicting the suitability of New Zealand rivers and lakes for colonisation and growth of the invasive, non-indigenous diatom, Didymosphenia geminata: an update</w:t>
      </w:r>
      <w:r w:rsidRPr="00C93154">
        <w:t xml:space="preserve">. </w:t>
      </w:r>
      <w:r w:rsidRPr="00FC0ACC">
        <w:t>NIWA Report for MAF Biosecurity New Zealand: 88</w:t>
      </w:r>
      <w:r>
        <w:t>.</w:t>
      </w:r>
    </w:p>
    <w:p w14:paraId="491AD984" w14:textId="66D6041C" w:rsidR="00552375" w:rsidRDefault="00552375" w:rsidP="001A6A20">
      <w:pPr>
        <w:pStyle w:val="References"/>
        <w:spacing w:after="100"/>
        <w:rPr>
          <w:rFonts w:asciiTheme="minorHAnsi" w:hAnsiTheme="minorHAnsi" w:cs="Segoe UI"/>
        </w:rPr>
      </w:pPr>
      <w:r>
        <w:t>Kilroy, C., Biggs, B.J.F.,</w:t>
      </w:r>
      <w:r w:rsidRPr="00396D05">
        <w:t xml:space="preserve"> Death, R. (2008) </w:t>
      </w:r>
      <w:r w:rsidRPr="00FC0ACC">
        <w:rPr>
          <w:i/>
        </w:rPr>
        <w:t>A periphyton monitoring plan for the Manawatu-Wanganui region</w:t>
      </w:r>
      <w:r w:rsidRPr="00396D05">
        <w:t xml:space="preserve">. </w:t>
      </w:r>
      <w:r w:rsidRPr="00FC0ACC">
        <w:t>NIWA Report</w:t>
      </w:r>
      <w:r>
        <w:t xml:space="preserve"> </w:t>
      </w:r>
      <w:r w:rsidRPr="00FC0ACC">
        <w:t>for Horizons Regional Council</w:t>
      </w:r>
      <w:r>
        <w:t>: 43.</w:t>
      </w:r>
    </w:p>
    <w:p w14:paraId="70543776" w14:textId="0DAB6FE4" w:rsidR="00552375" w:rsidRDefault="00552375" w:rsidP="001A6A20">
      <w:pPr>
        <w:pStyle w:val="References"/>
        <w:spacing w:after="100"/>
      </w:pPr>
      <w:r w:rsidRPr="00AF608B">
        <w:t>K</w:t>
      </w:r>
      <w:r>
        <w:t>ilroy, C., Booker, D., Drummond</w:t>
      </w:r>
      <w:r w:rsidRPr="00AF608B">
        <w:t xml:space="preserve">, L., Wech, J., Snelder, T. (2013) Estimating periphyton standing crop in streams: a comparison of chlorophyll </w:t>
      </w:r>
      <w:r w:rsidRPr="00FC0ACC">
        <w:rPr>
          <w:i/>
        </w:rPr>
        <w:t>a</w:t>
      </w:r>
      <w:r w:rsidRPr="00AF608B">
        <w:t xml:space="preserve"> sampling and visual assessments. </w:t>
      </w:r>
      <w:r w:rsidRPr="00AF608B">
        <w:rPr>
          <w:i/>
          <w:iCs/>
        </w:rPr>
        <w:t>New Zealand Journal of Marine and Freshwater Research,</w:t>
      </w:r>
      <w:r w:rsidRPr="00AF608B">
        <w:t xml:space="preserve"> 47: 208-224.</w:t>
      </w:r>
      <w:r w:rsidR="00DD47E9">
        <w:t xml:space="preserve"> </w:t>
      </w:r>
    </w:p>
    <w:p w14:paraId="6BA13E02" w14:textId="23351E85" w:rsidR="00552375" w:rsidRPr="00B00562" w:rsidRDefault="00552375" w:rsidP="001A6A20">
      <w:pPr>
        <w:pStyle w:val="References"/>
        <w:spacing w:after="100"/>
      </w:pPr>
      <w:r w:rsidRPr="00B00562">
        <w:t xml:space="preserve">Kilroy, C., Wech, J., Kelly, D., Clarke, G. (2017) </w:t>
      </w:r>
      <w:r w:rsidRPr="00B00562">
        <w:rPr>
          <w:i/>
          <w:iCs/>
        </w:rPr>
        <w:t>Analysis of a three-year dataset of periphyton biomass and cover in Canterbury Rivers</w:t>
      </w:r>
      <w:r w:rsidRPr="00B00562">
        <w:t>. NIWA Report (Draft) for Environment Canterbury: 112.</w:t>
      </w:r>
    </w:p>
    <w:p w14:paraId="1BF44CF5" w14:textId="63189E89" w:rsidR="00552375" w:rsidRDefault="00552375" w:rsidP="001A6A20">
      <w:pPr>
        <w:pStyle w:val="References"/>
        <w:spacing w:after="100"/>
      </w:pPr>
      <w:r>
        <w:t xml:space="preserve">Kilroy, C., Greenwood, M., Wech, J. A., Stephens, T., Brown, L., Matthews, M., Patterson, M. (2018) </w:t>
      </w:r>
      <w:r w:rsidRPr="00FC0ACC">
        <w:rPr>
          <w:i/>
        </w:rPr>
        <w:t>Periphyton - environment relationships in the Horizons region.</w:t>
      </w:r>
      <w:r>
        <w:t xml:space="preserve"> </w:t>
      </w:r>
      <w:r w:rsidRPr="00FC0ACC">
        <w:t>NIWA Report for Dairy NZ/Horizons Regional Council</w:t>
      </w:r>
      <w:r>
        <w:t>: 204.</w:t>
      </w:r>
      <w:r w:rsidR="00B00562">
        <w:t xml:space="preserve"> </w:t>
      </w:r>
      <w:hyperlink r:id="rId65" w:history="1">
        <w:r w:rsidRPr="008342C0">
          <w:rPr>
            <w:rStyle w:val="Hyperlink"/>
            <w:szCs w:val="21"/>
          </w:rPr>
          <w:t>https://www.horizons.govt.nz/publications-feedback/publications/water-quality-and-quantity</w:t>
        </w:r>
      </w:hyperlink>
    </w:p>
    <w:p w14:paraId="547B3133" w14:textId="19009D44" w:rsidR="00552375" w:rsidRDefault="00552375" w:rsidP="001A6A20">
      <w:pPr>
        <w:pStyle w:val="References"/>
        <w:spacing w:after="100"/>
      </w:pPr>
      <w:r>
        <w:t xml:space="preserve">Janus L.L., </w:t>
      </w:r>
      <w:r w:rsidRPr="00E57FB2">
        <w:t xml:space="preserve">Vollenweider, R.A. </w:t>
      </w:r>
      <w:r>
        <w:t>(</w:t>
      </w:r>
      <w:r w:rsidRPr="00E57FB2">
        <w:t>1981</w:t>
      </w:r>
      <w:r>
        <w:t>)</w:t>
      </w:r>
      <w:r w:rsidRPr="00E57FB2">
        <w:t xml:space="preserve">. </w:t>
      </w:r>
      <w:r w:rsidRPr="00FC0ACC">
        <w:rPr>
          <w:i/>
        </w:rPr>
        <w:t>Summary Report, The OECD Cooperative Programme on Eutrophication, Canadian Contribution</w:t>
      </w:r>
      <w:r w:rsidRPr="00E57FB2">
        <w:t>. Environment Canada, National Water Research Institute, Canada Centre for Inland Waters</w:t>
      </w:r>
      <w:r>
        <w:t>, Burlington, Ontario: 394</w:t>
      </w:r>
      <w:r w:rsidRPr="00E57FB2">
        <w:t>.</w:t>
      </w:r>
    </w:p>
    <w:p w14:paraId="552C8F8A" w14:textId="579469FD" w:rsidR="00552375" w:rsidRDefault="00552375" w:rsidP="001A6A20">
      <w:pPr>
        <w:pStyle w:val="References"/>
        <w:spacing w:after="100"/>
      </w:pPr>
      <w:r w:rsidRPr="001D3900">
        <w:t>Jo</w:t>
      </w:r>
      <w:r>
        <w:t xml:space="preserve">hnson, P., Gerbeaux, P. (2004) </w:t>
      </w:r>
      <w:r w:rsidRPr="00FC0ACC">
        <w:rPr>
          <w:i/>
        </w:rPr>
        <w:t>Wetland types in New Zealand</w:t>
      </w:r>
      <w:r w:rsidRPr="001D3900">
        <w:t>. Wellington, Department of Conservation, Te Papa Atawhai.</w:t>
      </w:r>
    </w:p>
    <w:p w14:paraId="6AB988EF" w14:textId="3A514229" w:rsidR="00552375" w:rsidRDefault="00552375" w:rsidP="001A6A20">
      <w:pPr>
        <w:pStyle w:val="References"/>
        <w:spacing w:after="100"/>
      </w:pPr>
      <w:r w:rsidRPr="006054DD">
        <w:t>Lacoul, P.</w:t>
      </w:r>
      <w:r>
        <w:t>,</w:t>
      </w:r>
      <w:r w:rsidRPr="006054DD">
        <w:t xml:space="preserve"> Freedman, B. (2006</w:t>
      </w:r>
      <w:r>
        <w:t>)</w:t>
      </w:r>
      <w:r w:rsidRPr="00C60FD3">
        <w:t xml:space="preserve"> </w:t>
      </w:r>
      <w:r w:rsidRPr="00FC0ACC">
        <w:rPr>
          <w:i/>
        </w:rPr>
        <w:t>Environmental Influences on Aquatic Plants in Freshwater Ecosystems</w:t>
      </w:r>
      <w:r w:rsidRPr="00C60FD3">
        <w:t>. Na</w:t>
      </w:r>
      <w:r>
        <w:t>tional Research Council, Canada: 38</w:t>
      </w:r>
      <w:r w:rsidRPr="00C60FD3">
        <w:t>.</w:t>
      </w:r>
    </w:p>
    <w:p w14:paraId="057AB418" w14:textId="62FAC900" w:rsidR="00552375" w:rsidRDefault="00552375" w:rsidP="001A6A20">
      <w:pPr>
        <w:pStyle w:val="References"/>
        <w:spacing w:after="100"/>
      </w:pPr>
      <w:r>
        <w:t xml:space="preserve">Larned, S., Hamilton, D., Zeldis, J., Howard–Williams, C. (2011) </w:t>
      </w:r>
      <w:r w:rsidRPr="00FC0ACC">
        <w:rPr>
          <w:i/>
        </w:rPr>
        <w:t>Nutrient–limitation in New Zealand rivers,</w:t>
      </w:r>
      <w:r w:rsidR="00491464">
        <w:rPr>
          <w:i/>
        </w:rPr>
        <w:t> </w:t>
      </w:r>
      <w:r w:rsidRPr="00FC0ACC">
        <w:rPr>
          <w:i/>
        </w:rPr>
        <w:t>lakes and estuaries</w:t>
      </w:r>
      <w:r>
        <w:t xml:space="preserve">. </w:t>
      </w:r>
      <w:r w:rsidRPr="00FC0ACC">
        <w:t xml:space="preserve">Discussion paper prepared for </w:t>
      </w:r>
      <w:r>
        <w:t xml:space="preserve">the </w:t>
      </w:r>
      <w:r w:rsidRPr="00FC0ACC">
        <w:t>Land and Water Forum</w:t>
      </w:r>
      <w:r w:rsidRPr="00270551">
        <w:rPr>
          <w:i/>
        </w:rPr>
        <w:t>,</w:t>
      </w:r>
      <w:r>
        <w:t xml:space="preserve"> Wellington, New</w:t>
      </w:r>
      <w:r w:rsidR="00491464">
        <w:t> </w:t>
      </w:r>
      <w:r>
        <w:t>Zealand: 19.</w:t>
      </w:r>
    </w:p>
    <w:p w14:paraId="4D897779" w14:textId="7AA9E72E" w:rsidR="00552375" w:rsidRDefault="00552375" w:rsidP="001A6A20">
      <w:pPr>
        <w:pStyle w:val="References"/>
        <w:spacing w:after="100"/>
      </w:pPr>
      <w:r>
        <w:t xml:space="preserve">Larned, S., Snelder, T., Unwin, M., McBride, G., Verburg, P., McMillan, H. (2015) </w:t>
      </w:r>
      <w:r w:rsidRPr="00491464">
        <w:rPr>
          <w:i/>
          <w:iCs/>
        </w:rPr>
        <w:t>Analysis of</w:t>
      </w:r>
      <w:r w:rsidR="00491464" w:rsidRPr="00491464">
        <w:rPr>
          <w:i/>
          <w:iCs/>
        </w:rPr>
        <w:t xml:space="preserve"> </w:t>
      </w:r>
      <w:r w:rsidRPr="00491464">
        <w:rPr>
          <w:i/>
          <w:iCs/>
        </w:rPr>
        <w:t>Water Quality in New Zealand Lakes and Rivers: Data sources, datasets, assumptions,</w:t>
      </w:r>
      <w:r w:rsidR="00491464" w:rsidRPr="00491464">
        <w:rPr>
          <w:i/>
          <w:iCs/>
        </w:rPr>
        <w:t xml:space="preserve"> </w:t>
      </w:r>
      <w:r w:rsidRPr="00491464">
        <w:rPr>
          <w:i/>
          <w:iCs/>
        </w:rPr>
        <w:t>limitations, methods and results</w:t>
      </w:r>
      <w:r>
        <w:t xml:space="preserve">. </w:t>
      </w:r>
      <w:r w:rsidRPr="00FC0ACC">
        <w:t>NIWA Report for Ministry for the Environment</w:t>
      </w:r>
      <w:r>
        <w:t xml:space="preserve">: </w:t>
      </w:r>
      <w:r w:rsidRPr="00C60FD3">
        <w:t>17.</w:t>
      </w:r>
    </w:p>
    <w:p w14:paraId="354FDA99" w14:textId="7FADD812" w:rsidR="00552375" w:rsidRDefault="00552375" w:rsidP="001A6A20">
      <w:pPr>
        <w:pStyle w:val="References"/>
        <w:spacing w:after="100"/>
        <w:rPr>
          <w:rFonts w:ascii="MyriadPro-Light" w:hAnsi="MyriadPro-Light" w:cs="MyriadPro-Light"/>
        </w:rPr>
      </w:pPr>
      <w:r w:rsidRPr="005525BF">
        <w:t xml:space="preserve">Leathwick J.R., Snelder T., Chadderton W.L., Elith J., Julian K., Ferrier S. (2011) Use of generalised dissimilarity modelling to improve the biological discrimination of river and stream classifications. </w:t>
      </w:r>
      <w:r w:rsidRPr="005525BF">
        <w:rPr>
          <w:i/>
        </w:rPr>
        <w:t>Freshwater Biology</w:t>
      </w:r>
      <w:r>
        <w:t>,</w:t>
      </w:r>
      <w:r w:rsidRPr="005525BF">
        <w:t xml:space="preserve"> 56</w:t>
      </w:r>
      <w:r>
        <w:t>:</w:t>
      </w:r>
      <w:r w:rsidRPr="005525BF">
        <w:t xml:space="preserve"> 21-38.</w:t>
      </w:r>
    </w:p>
    <w:p w14:paraId="5381DCDF" w14:textId="77777777" w:rsidR="00552375" w:rsidRPr="00C60FD3" w:rsidRDefault="00552375" w:rsidP="001A6A20">
      <w:pPr>
        <w:pStyle w:val="References"/>
        <w:spacing w:after="100"/>
        <w:rPr>
          <w:rFonts w:ascii="MyriadPro-Light" w:hAnsi="MyriadPro-Light" w:cs="MyriadPro-Light"/>
        </w:rPr>
      </w:pPr>
      <w:r>
        <w:t xml:space="preserve">Matheson, F., Hickey, C., Costley, K., Smith, J., Taumoepeau, A., Nagels, J., Croker, G., Safi, K. (2009) </w:t>
      </w:r>
      <w:r w:rsidRPr="00FC0ACC">
        <w:rPr>
          <w:i/>
        </w:rPr>
        <w:t>Morrinsville wastewater treatment plant outfall effects on the Piako river</w:t>
      </w:r>
      <w:r>
        <w:t xml:space="preserve">. </w:t>
      </w:r>
      <w:r w:rsidRPr="00FC0ACC">
        <w:rPr>
          <w:rFonts w:ascii="Calibri,Italic" w:hAnsi="Calibri,Italic" w:cs="Calibri,Italic"/>
          <w:iCs/>
        </w:rPr>
        <w:t>NIWA Report for Matamata Piako District Council</w:t>
      </w:r>
      <w:r w:rsidRPr="00FC0ACC">
        <w:t>: 44</w:t>
      </w:r>
      <w:r w:rsidRPr="00C60FD3">
        <w:t>.</w:t>
      </w:r>
    </w:p>
    <w:p w14:paraId="3E041D75" w14:textId="6488FE48" w:rsidR="00552375" w:rsidRDefault="00552375" w:rsidP="001A6A20">
      <w:pPr>
        <w:pStyle w:val="References"/>
        <w:spacing w:after="100"/>
        <w:rPr>
          <w:rStyle w:val="Hyperlink"/>
        </w:rPr>
      </w:pPr>
      <w:r>
        <w:t xml:space="preserve">Matheson, F., Quinn, J., Hickey, C. (2012) </w:t>
      </w:r>
      <w:r w:rsidRPr="00491464">
        <w:rPr>
          <w:i/>
          <w:iCs/>
        </w:rPr>
        <w:t>Review of the New Zealand instream plant and nutrient guidelines and development of an extended decision making framework: Phases 1 and 2 final report</w:t>
      </w:r>
      <w:r>
        <w:t xml:space="preserve">. </w:t>
      </w:r>
      <w:r w:rsidRPr="00FC0ACC">
        <w:t>NIWA Report for the Ministry of Science and Innovation Envirolink Fund:</w:t>
      </w:r>
      <w:r>
        <w:t xml:space="preserve"> 127.</w:t>
      </w:r>
      <w:r w:rsidRPr="00434EC5">
        <w:t xml:space="preserve"> </w:t>
      </w:r>
      <w:hyperlink r:id="rId66" w:history="1">
        <w:r w:rsidRPr="00DB03FF">
          <w:rPr>
            <w:rStyle w:val="Hyperlink"/>
          </w:rPr>
          <w:t>http://www.envirolink.govt.nz/assets/Uploads/Review-of-the-NZ-instream-plant-and-nutrient-guidelines-and-development-of-an-extended-decision-making-framework.pdf</w:t>
        </w:r>
      </w:hyperlink>
    </w:p>
    <w:p w14:paraId="53147A81" w14:textId="77777777" w:rsidR="00552375" w:rsidRDefault="00552375" w:rsidP="001A6A20">
      <w:pPr>
        <w:pStyle w:val="References"/>
        <w:spacing w:after="100"/>
        <w:rPr>
          <w:rStyle w:val="Hyperlink"/>
        </w:rPr>
      </w:pPr>
      <w:r>
        <w:t xml:space="preserve">Matheson, F., Quinn, J., Unwin, M. (2016) </w:t>
      </w:r>
      <w:r w:rsidRPr="00491464">
        <w:rPr>
          <w:i/>
          <w:iCs/>
        </w:rPr>
        <w:t>Review of the New Zealand instream plant and nutrient guidelines and development of an extended decision-making framework: Phase 3 final report</w:t>
      </w:r>
      <w:r w:rsidRPr="00FC0ACC">
        <w:t>. NIWA Report for the Ministry of Science and Innovation Envirolink Fund: 117</w:t>
      </w:r>
      <w:r w:rsidRPr="00C60FD3">
        <w:t xml:space="preserve">. </w:t>
      </w:r>
      <w:hyperlink r:id="rId67" w:history="1">
        <w:r w:rsidRPr="00DB03FF">
          <w:rPr>
            <w:rStyle w:val="Hyperlink"/>
          </w:rPr>
          <w:t>http://www.envirolink.govt.nz/assets/Uploads/R9-3-Instream-plant-and-nutrient-guidelines-Phase-3-report3.pdf</w:t>
        </w:r>
      </w:hyperlink>
    </w:p>
    <w:p w14:paraId="1E89EBC5" w14:textId="77777777" w:rsidR="00552375" w:rsidRDefault="00552375" w:rsidP="001A6A20">
      <w:pPr>
        <w:pStyle w:val="References"/>
        <w:spacing w:after="100"/>
        <w:rPr>
          <w:rStyle w:val="Hyperlink"/>
        </w:rPr>
      </w:pPr>
      <w:r>
        <w:t xml:space="preserve">Matheson, F., Quinn, J., Haidekker, S., Madarasz-Smith, A., Wilding, T., Clapcott, J., Harding, J., Wilcock, B., Young, R., Baker, M., Clode, G., Heath, N., Hicks, A., Rutherford, K. (2017) </w:t>
      </w:r>
      <w:r w:rsidRPr="00F75EC7">
        <w:rPr>
          <w:i/>
        </w:rPr>
        <w:t>Ecosystem health in disturbed lowland catchments: Karamū catchment, Hawkes Bay</w:t>
      </w:r>
      <w:r w:rsidRPr="00F411B6">
        <w:rPr>
          <w:i/>
        </w:rPr>
        <w:t xml:space="preserve">. </w:t>
      </w:r>
      <w:r w:rsidRPr="00F75EC7">
        <w:t>NIWA Report for the Ministry of Science and Innovation Envirolink Fund: 49</w:t>
      </w:r>
      <w:r w:rsidRPr="00C60FD3">
        <w:t>.</w:t>
      </w:r>
      <w:r>
        <w:t xml:space="preserve"> </w:t>
      </w:r>
      <w:hyperlink r:id="rId68" w:history="1">
        <w:r w:rsidRPr="00DB03FF">
          <w:rPr>
            <w:rStyle w:val="Hyperlink"/>
          </w:rPr>
          <w:t>http://www.envirolink.govt.nz/assets/Uploads/1733-HBRC223-Ecosystem-health-in-highly-modified-lowland-catchments-Karamu-catchment-Hawkes-Bay.pdf</w:t>
        </w:r>
      </w:hyperlink>
    </w:p>
    <w:p w14:paraId="5F98302F" w14:textId="77777777" w:rsidR="00552375" w:rsidRPr="00C60FD3" w:rsidRDefault="00552375" w:rsidP="001A6A20">
      <w:pPr>
        <w:pStyle w:val="References"/>
        <w:spacing w:after="100"/>
      </w:pPr>
      <w:r>
        <w:t xml:space="preserve">Matheson, F., Wells, R. (2017) </w:t>
      </w:r>
      <w:r w:rsidRPr="00491464">
        <w:rPr>
          <w:i/>
          <w:iCs/>
        </w:rPr>
        <w:t>Periphyton and macrophytes in seven Hauraki-Coromandel rivers: initial assessment of seasonal abundance, provisional attribute state and management options</w:t>
      </w:r>
      <w:r>
        <w:t xml:space="preserve">. </w:t>
      </w:r>
      <w:r w:rsidRPr="00F75EC7">
        <w:t>NIWA Report for Waikato Regional Council</w:t>
      </w:r>
      <w:r w:rsidRPr="00C60FD3">
        <w:t>: 70.</w:t>
      </w:r>
    </w:p>
    <w:p w14:paraId="275F7F34" w14:textId="266F8E90" w:rsidR="00552375" w:rsidRDefault="00552375" w:rsidP="001A6A20">
      <w:pPr>
        <w:pStyle w:val="References"/>
        <w:spacing w:after="100"/>
      </w:pPr>
      <w:r w:rsidRPr="004E3E38">
        <w:t xml:space="preserve">McAllister, T.G., Wood, S.A., Hawes, I. (2016) The rise of toxic benthic </w:t>
      </w:r>
      <w:r w:rsidRPr="00C60FD3">
        <w:rPr>
          <w:rFonts w:cs="AdvP4DF60F"/>
          <w:i/>
        </w:rPr>
        <w:t>Phormidium</w:t>
      </w:r>
      <w:r w:rsidRPr="004E3E38">
        <w:rPr>
          <w:rFonts w:cs="AdvP4DF60F"/>
        </w:rPr>
        <w:t xml:space="preserve"> </w:t>
      </w:r>
      <w:r w:rsidRPr="004E3E38">
        <w:t xml:space="preserve">proliferations: A review of their taxonomy, distribution, toxin content and factors regulating prevalence and increased severity. </w:t>
      </w:r>
      <w:r w:rsidRPr="001910AD">
        <w:rPr>
          <w:i/>
        </w:rPr>
        <w:t>Harmful algae,</w:t>
      </w:r>
      <w:r>
        <w:t xml:space="preserve"> 55:</w:t>
      </w:r>
      <w:r w:rsidRPr="004E3E38">
        <w:t xml:space="preserve"> 282-294.</w:t>
      </w:r>
    </w:p>
    <w:p w14:paraId="2C84D0B4" w14:textId="592F963E" w:rsidR="00552375" w:rsidRDefault="00552375" w:rsidP="001A6A20">
      <w:pPr>
        <w:pStyle w:val="References"/>
        <w:spacing w:after="100"/>
        <w:rPr>
          <w:rFonts w:asciiTheme="majorHAnsi" w:hAnsiTheme="majorHAnsi"/>
        </w:rPr>
      </w:pPr>
      <w:r>
        <w:t xml:space="preserve">McDonald, J.H. (2014) </w:t>
      </w:r>
      <w:r w:rsidRPr="00F75EC7">
        <w:rPr>
          <w:i/>
        </w:rPr>
        <w:t>Handbook of Biological Statistics (3rd ed.)</w:t>
      </w:r>
      <w:r>
        <w:t>. Sparky House Publishing, Baltimore, Maryland</w:t>
      </w:r>
      <w:r w:rsidR="00E81B87">
        <w:t>.</w:t>
      </w:r>
    </w:p>
    <w:p w14:paraId="7E47579D" w14:textId="77777777" w:rsidR="00552375" w:rsidRDefault="00552375" w:rsidP="001A6A20">
      <w:pPr>
        <w:pStyle w:val="References"/>
        <w:spacing w:after="100"/>
      </w:pPr>
      <w:r w:rsidRPr="00473A95">
        <w:t>McKergow</w:t>
      </w:r>
      <w:r w:rsidRPr="007019D2">
        <w:t>, L.M., Matheson, F.E., Quinn, J.M. (2016) Riparian management: A restoration tool for New</w:t>
      </w:r>
      <w:r>
        <w:t xml:space="preserve"> Zealand streams. </w:t>
      </w:r>
      <w:r w:rsidRPr="007019D2">
        <w:rPr>
          <w:i/>
        </w:rPr>
        <w:t>Ecological Management and Restoration</w:t>
      </w:r>
      <w:r>
        <w:t>, 17: 218-227.</w:t>
      </w:r>
    </w:p>
    <w:p w14:paraId="1B86E839" w14:textId="77777777" w:rsidR="00552375" w:rsidRDefault="00552375" w:rsidP="001A6A20">
      <w:pPr>
        <w:pStyle w:val="References"/>
        <w:spacing w:after="100"/>
        <w:rPr>
          <w:lang w:val="en-GB"/>
        </w:rPr>
      </w:pPr>
      <w:r w:rsidRPr="006054DD">
        <w:rPr>
          <w:lang w:val="en-GB"/>
        </w:rPr>
        <w:t xml:space="preserve">Ministry for the Environment (MfE) (1992) </w:t>
      </w:r>
      <w:r w:rsidRPr="00473A95">
        <w:rPr>
          <w:i/>
          <w:iCs/>
          <w:lang w:val="en-GB"/>
        </w:rPr>
        <w:t>Water Quality Guidelines No. 1. Guidelines for the Control of Undesirable Biological Growths in Water</w:t>
      </w:r>
      <w:r>
        <w:rPr>
          <w:lang w:val="en-GB"/>
        </w:rPr>
        <w:t>:</w:t>
      </w:r>
      <w:r w:rsidRPr="006054DD">
        <w:rPr>
          <w:lang w:val="en-GB"/>
        </w:rPr>
        <w:t xml:space="preserve"> 60.</w:t>
      </w:r>
    </w:p>
    <w:p w14:paraId="14232870" w14:textId="5DCF37C2" w:rsidR="00552375" w:rsidRPr="00473A95" w:rsidRDefault="00552375" w:rsidP="001A6A20">
      <w:pPr>
        <w:pStyle w:val="References"/>
        <w:spacing w:after="100"/>
        <w:rPr>
          <w:rFonts w:asciiTheme="minorHAnsi" w:hAnsiTheme="minorHAnsi" w:cs="Calibri,Bold"/>
          <w:bCs/>
          <w:iCs/>
        </w:rPr>
      </w:pPr>
      <w:r w:rsidRPr="006054DD">
        <w:rPr>
          <w:lang w:val="en-GB"/>
        </w:rPr>
        <w:t>Ministry</w:t>
      </w:r>
      <w:r>
        <w:rPr>
          <w:lang w:val="en-GB"/>
        </w:rPr>
        <w:t xml:space="preserve"> for the Environment (MfE) (2016a</w:t>
      </w:r>
      <w:r w:rsidRPr="006054DD">
        <w:rPr>
          <w:lang w:val="en-GB"/>
        </w:rPr>
        <w:t xml:space="preserve">) </w:t>
      </w:r>
      <w:r w:rsidRPr="00473A95">
        <w:rPr>
          <w:i/>
          <w:iCs/>
        </w:rPr>
        <w:t>A Draft Guide to Communicating and Managing Uncertainty When Implementing the National Policy Statement for Freshwater Management 2014</w:t>
      </w:r>
      <w:r w:rsidRPr="00B30997">
        <w:rPr>
          <w:lang w:val="en-GB"/>
        </w:rPr>
        <w:t>:</w:t>
      </w:r>
      <w:r>
        <w:rPr>
          <w:lang w:val="en-GB"/>
        </w:rPr>
        <w:t xml:space="preserve"> </w:t>
      </w:r>
      <w:r>
        <w:rPr>
          <w:rFonts w:cs="Calibri"/>
        </w:rPr>
        <w:t>Wellington: Ministry for the Environment.</w:t>
      </w:r>
      <w:r w:rsidR="00473A95">
        <w:rPr>
          <w:rFonts w:cs="Calibri"/>
        </w:rPr>
        <w:t xml:space="preserve"> </w:t>
      </w:r>
      <w:hyperlink r:id="rId69" w:history="1">
        <w:r w:rsidRPr="002F695F">
          <w:rPr>
            <w:rStyle w:val="Hyperlink"/>
            <w:lang w:val="en-GB"/>
          </w:rPr>
          <w:t>http://www.mfe.govt.nz/sites/default/files/media/Fresh%20water/fresh-water-guidance-on-uncertainty.pdf</w:t>
        </w:r>
      </w:hyperlink>
    </w:p>
    <w:p w14:paraId="21A8AFB9" w14:textId="0099DBB0" w:rsidR="00552375" w:rsidRDefault="00552375" w:rsidP="001A6A20">
      <w:pPr>
        <w:pStyle w:val="References"/>
        <w:spacing w:after="100"/>
        <w:rPr>
          <w:rStyle w:val="Hyperlink"/>
          <w:lang w:val="en-GB"/>
        </w:rPr>
      </w:pPr>
      <w:r w:rsidRPr="00FF3F63">
        <w:rPr>
          <w:lang w:val="en-GB"/>
        </w:rPr>
        <w:t>Ministry for the Environment</w:t>
      </w:r>
      <w:r>
        <w:rPr>
          <w:lang w:val="en-GB"/>
        </w:rPr>
        <w:t xml:space="preserve"> (MfE)</w:t>
      </w:r>
      <w:r w:rsidRPr="00FF3F63">
        <w:rPr>
          <w:lang w:val="en-GB"/>
        </w:rPr>
        <w:t xml:space="preserve"> </w:t>
      </w:r>
      <w:r>
        <w:rPr>
          <w:lang w:val="en-GB"/>
        </w:rPr>
        <w:t>(2016b)</w:t>
      </w:r>
      <w:r w:rsidRPr="00FF3F63">
        <w:rPr>
          <w:lang w:val="en-GB"/>
        </w:rPr>
        <w:t xml:space="preserve"> </w:t>
      </w:r>
      <w:r w:rsidRPr="00F75EC7">
        <w:rPr>
          <w:i/>
          <w:lang w:val="en-GB"/>
        </w:rPr>
        <w:t>A Guide to Identifying Freshwater Management Units Under</w:t>
      </w:r>
      <w:r w:rsidR="00473A95">
        <w:rPr>
          <w:i/>
          <w:lang w:val="en-GB"/>
        </w:rPr>
        <w:t> </w:t>
      </w:r>
      <w:r w:rsidRPr="00F75EC7">
        <w:rPr>
          <w:i/>
          <w:lang w:val="en-GB"/>
        </w:rPr>
        <w:t>the national Policy Statement for Freshwater Management 2014</w:t>
      </w:r>
      <w:r w:rsidRPr="00FF3F63">
        <w:rPr>
          <w:lang w:val="en-GB"/>
        </w:rPr>
        <w:t>. Wellington: Ministry for the Environment.</w:t>
      </w:r>
      <w:r w:rsidR="00473A95">
        <w:rPr>
          <w:lang w:val="en-GB"/>
        </w:rPr>
        <w:t xml:space="preserve"> </w:t>
      </w:r>
      <w:hyperlink r:id="rId70" w:history="1">
        <w:r w:rsidRPr="002F695F">
          <w:rPr>
            <w:rStyle w:val="Hyperlink"/>
            <w:lang w:val="en-GB"/>
          </w:rPr>
          <w:t>http://www.mfe.govt.nz/sites/default/files/media/Fresh%20water/guide-to-freshwater-management-units_0.pdf</w:t>
        </w:r>
      </w:hyperlink>
    </w:p>
    <w:p w14:paraId="14CA1E88" w14:textId="1D024E1A" w:rsidR="00552375" w:rsidRDefault="00552375" w:rsidP="001A6A20">
      <w:pPr>
        <w:pStyle w:val="References"/>
        <w:spacing w:after="100"/>
      </w:pPr>
      <w:r>
        <w:t xml:space="preserve">Ministry for the Environment (2017) </w:t>
      </w:r>
      <w:r w:rsidRPr="00F75EC7">
        <w:rPr>
          <w:i/>
          <w:iCs/>
        </w:rPr>
        <w:t>A Guide to the National Policy Statement for Freshwater Management 2014 (as amended 2017)</w:t>
      </w:r>
      <w:r w:rsidRPr="00891499">
        <w:rPr>
          <w:iCs/>
        </w:rPr>
        <w:t>.</w:t>
      </w:r>
      <w:r>
        <w:rPr>
          <w:i/>
          <w:iCs/>
        </w:rPr>
        <w:t xml:space="preserve"> </w:t>
      </w:r>
      <w:r>
        <w:t xml:space="preserve">Wellington: Ministry for the Environment. </w:t>
      </w:r>
      <w:hyperlink r:id="rId71" w:history="1">
        <w:r w:rsidRPr="00F75EC7">
          <w:rPr>
            <w:rStyle w:val="Hyperlink"/>
          </w:rPr>
          <w:t>http://www.mfe.govt.nz/sites/default/files/media/Fresh%20water/nps-fm-guide-2017-final.pdf</w:t>
        </w:r>
      </w:hyperlink>
    </w:p>
    <w:p w14:paraId="4B2AF6F9" w14:textId="229DBED7" w:rsidR="00552375" w:rsidRDefault="00552375" w:rsidP="001A6A20">
      <w:pPr>
        <w:pStyle w:val="References"/>
        <w:spacing w:after="100"/>
        <w:rPr>
          <w:rStyle w:val="Hyperlink"/>
        </w:rPr>
      </w:pPr>
      <w:r>
        <w:t xml:space="preserve">Ministry for the Environment (2018) </w:t>
      </w:r>
      <w:r w:rsidRPr="00F75EC7">
        <w:rPr>
          <w:i/>
          <w:iCs/>
        </w:rPr>
        <w:t>A Draft Guide to Attributes in Appendix 2 of the National Policy Statement for Freshwater Management (as amended 2017)</w:t>
      </w:r>
      <w:r>
        <w:t xml:space="preserve">. Wellington: Ministry for the Environment </w:t>
      </w:r>
      <w:hyperlink r:id="rId72" w:history="1">
        <w:r w:rsidRPr="00CC6AD1">
          <w:rPr>
            <w:rStyle w:val="Hyperlink"/>
          </w:rPr>
          <w:t>http://www.mfe.govt.nz/sites/default/files/media/Fresh%20water/a-draft-guide-to-attributes.pdf</w:t>
        </w:r>
      </w:hyperlink>
    </w:p>
    <w:p w14:paraId="2D449DB9" w14:textId="349C1EF0" w:rsidR="00552375" w:rsidRDefault="00552375" w:rsidP="001A6A20">
      <w:pPr>
        <w:pStyle w:val="References"/>
        <w:spacing w:after="100"/>
        <w:rPr>
          <w:rStyle w:val="Hyperlink"/>
          <w:rFonts w:asciiTheme="minorHAnsi" w:hAnsiTheme="minorHAnsi"/>
        </w:rPr>
      </w:pPr>
      <w:r w:rsidRPr="00B82591">
        <w:t xml:space="preserve">Ministry for the Environment (MfE) and Ministry of Health (MoH). </w:t>
      </w:r>
      <w:r>
        <w:t>(</w:t>
      </w:r>
      <w:r w:rsidRPr="00B82591">
        <w:t>2009</w:t>
      </w:r>
      <w:r>
        <w:t>)</w:t>
      </w:r>
      <w:r w:rsidRPr="00B82591">
        <w:t xml:space="preserve"> </w:t>
      </w:r>
      <w:r w:rsidRPr="00F75EC7">
        <w:rPr>
          <w:i/>
          <w:iCs/>
        </w:rPr>
        <w:t>New Zealand Guidelines for Cyanobacteria in Recreational Fresh Waters – Interim Guidelines</w:t>
      </w:r>
      <w:r w:rsidRPr="00B82591">
        <w:t>. Prepared for the Ministry for the Environment</w:t>
      </w:r>
      <w:r>
        <w:t xml:space="preserve"> and the Ministry of Health by </w:t>
      </w:r>
      <w:r w:rsidRPr="00B82591">
        <w:t xml:space="preserve">Wood, </w:t>
      </w:r>
      <w:r>
        <w:t xml:space="preserve">S.A., </w:t>
      </w:r>
      <w:r w:rsidRPr="00B82591">
        <w:t xml:space="preserve">Hamilton, </w:t>
      </w:r>
      <w:r>
        <w:t xml:space="preserve">D.P., </w:t>
      </w:r>
      <w:r w:rsidRPr="00B82591">
        <w:t xml:space="preserve">Paul, </w:t>
      </w:r>
      <w:r>
        <w:t xml:space="preserve">W.J., </w:t>
      </w:r>
      <w:r w:rsidRPr="00B82591">
        <w:t>Safi</w:t>
      </w:r>
      <w:r>
        <w:t>, K.A.,</w:t>
      </w:r>
      <w:r w:rsidRPr="00B82591">
        <w:t xml:space="preserve"> Williamson</w:t>
      </w:r>
      <w:r>
        <w:t>, W.M</w:t>
      </w:r>
      <w:r w:rsidRPr="00B82591">
        <w:t>. Wellington: Ministry for the Environment</w:t>
      </w:r>
      <w:r>
        <w:t xml:space="preserve">: </w:t>
      </w:r>
      <w:r w:rsidRPr="00B82591">
        <w:t>82.</w:t>
      </w:r>
      <w:r w:rsidR="00473A95">
        <w:t xml:space="preserve"> </w:t>
      </w:r>
      <w:hyperlink r:id="rId73" w:history="1">
        <w:r w:rsidRPr="00AB056B">
          <w:rPr>
            <w:rStyle w:val="Hyperlink"/>
            <w:rFonts w:asciiTheme="minorHAnsi" w:hAnsiTheme="minorHAnsi"/>
          </w:rPr>
          <w:t>https://www.mfe.govt.nz/sites/default/files/nz-guidelines-cyanobacteria-recreational-fresh-waters.pdf</w:t>
        </w:r>
      </w:hyperlink>
    </w:p>
    <w:p w14:paraId="645BA08C" w14:textId="6BCF6997" w:rsidR="0048541E" w:rsidRDefault="0048541E" w:rsidP="001A6A20">
      <w:pPr>
        <w:pStyle w:val="References"/>
        <w:spacing w:after="100"/>
        <w:rPr>
          <w:rFonts w:asciiTheme="minorHAnsi" w:hAnsiTheme="minorHAnsi"/>
        </w:rPr>
      </w:pPr>
      <w:r>
        <w:t xml:space="preserve">Ministry for the Environment. 2020. Action for healthy waterways: Guidance on look-up tables for setting nutrient targets for periphyton. Wellington: Ministry for the Environment. </w:t>
      </w:r>
      <w:hyperlink r:id="rId74" w:history="1">
        <w:r w:rsidRPr="0048541E">
          <w:rPr>
            <w:rStyle w:val="Hyperlink"/>
          </w:rPr>
          <w:t>https://environment.govt.nz/assets/Publications/Files/action-for-healthy-waterways-guidance-on-look-up-tables-for-setting-nutrient-targets-for-periphyton.pdf</w:t>
        </w:r>
      </w:hyperlink>
      <w:r w:rsidRPr="0048541E">
        <w:rPr>
          <w:rStyle w:val="Hyperlink"/>
        </w:rPr>
        <w:t xml:space="preserve"> </w:t>
      </w:r>
    </w:p>
    <w:p w14:paraId="50DCD2C5" w14:textId="77892E58" w:rsidR="00552375" w:rsidRDefault="00552375" w:rsidP="001A6A20">
      <w:pPr>
        <w:pStyle w:val="References"/>
        <w:spacing w:after="100"/>
      </w:pPr>
      <w:r>
        <w:t xml:space="preserve">O’Hare, M.T., Clarke, R.T., Bowes, M.J., Cailes, C., Henville, P., Bissett, N., McGahey, C., Neal, M. (2010) Eutrophication impacts on a river macrophyte. </w:t>
      </w:r>
      <w:r w:rsidRPr="00891499">
        <w:rPr>
          <w:rFonts w:ascii="Calibri,Italic" w:hAnsi="Calibri,Italic" w:cs="Calibri,Italic"/>
          <w:i/>
          <w:iCs/>
        </w:rPr>
        <w:t>Aquatic Botany</w:t>
      </w:r>
      <w:r>
        <w:rPr>
          <w:rFonts w:ascii="Calibri,Italic" w:hAnsi="Calibri,Italic" w:cs="Calibri,Italic"/>
          <w:iCs/>
        </w:rPr>
        <w:t xml:space="preserve">, </w:t>
      </w:r>
      <w:r w:rsidRPr="00C60FD3">
        <w:t>92</w:t>
      </w:r>
      <w:r>
        <w:t>: 173-178.</w:t>
      </w:r>
    </w:p>
    <w:p w14:paraId="7505F7F6" w14:textId="58507108" w:rsidR="00552375" w:rsidRDefault="00552375" w:rsidP="001A6A20">
      <w:pPr>
        <w:pStyle w:val="References"/>
        <w:spacing w:after="100"/>
      </w:pPr>
      <w:r w:rsidRPr="00041451">
        <w:t xml:space="preserve">OECD (1982) </w:t>
      </w:r>
      <w:r w:rsidRPr="00473A95">
        <w:rPr>
          <w:i/>
          <w:iCs/>
        </w:rPr>
        <w:t>Eutrophication of waters. Monitoring, assessment and control</w:t>
      </w:r>
      <w:r w:rsidRPr="00041451">
        <w:t>. OECD, Paris</w:t>
      </w:r>
      <w:r>
        <w:t>.</w:t>
      </w:r>
    </w:p>
    <w:p w14:paraId="727FE895" w14:textId="3F8C07EA" w:rsidR="00552375" w:rsidRDefault="00552375" w:rsidP="001A6A20">
      <w:pPr>
        <w:pStyle w:val="References"/>
        <w:spacing w:after="100"/>
      </w:pPr>
      <w:r>
        <w:t xml:space="preserve">Picard, R.R., Cook, R.D. (1984) Cross-validation of regression models. </w:t>
      </w:r>
      <w:r w:rsidRPr="00891499">
        <w:rPr>
          <w:i/>
        </w:rPr>
        <w:t>Journal of the American Statistical Association,</w:t>
      </w:r>
      <w:r>
        <w:t xml:space="preserve"> 79: 575-583.</w:t>
      </w:r>
    </w:p>
    <w:p w14:paraId="2FF1F1BE" w14:textId="00C3D3BF" w:rsidR="00552375" w:rsidRDefault="00552375" w:rsidP="001A6A20">
      <w:pPr>
        <w:pStyle w:val="References"/>
        <w:spacing w:after="100"/>
      </w:pPr>
      <w:r>
        <w:t xml:space="preserve">Plew, D., Zeldis, J., Whitehead, A., Storey, R., Burge, O., Madarasz-Smith, A., Oliver, M., Stevens, L., Robertson, B. (2017) </w:t>
      </w:r>
      <w:r w:rsidRPr="003E4539">
        <w:rPr>
          <w:i/>
        </w:rPr>
        <w:t>The New Zealand Estuary Trophic Index (ETI) Tools</w:t>
      </w:r>
      <w:r>
        <w:t>. CERF2017 - Coastal and Estuarine Research Foundation 24th Biennial Conference. Providence, RI.</w:t>
      </w:r>
    </w:p>
    <w:p w14:paraId="29776A0D" w14:textId="2733BA86" w:rsidR="00552375" w:rsidRDefault="00552375" w:rsidP="001A6A20">
      <w:pPr>
        <w:pStyle w:val="References"/>
        <w:spacing w:after="100"/>
        <w:rPr>
          <w:rFonts w:cs="Calibri"/>
        </w:rPr>
      </w:pPr>
      <w:r w:rsidRPr="00F75EC7">
        <w:t xml:space="preserve">Plew, D., Dudley B. (2018) </w:t>
      </w:r>
      <w:r w:rsidRPr="00473A95">
        <w:rPr>
          <w:i/>
          <w:iCs/>
        </w:rPr>
        <w:t>Eutrophication susceptibility of Pounawea (Catlins) Estuary and Shag River Estuary</w:t>
      </w:r>
      <w:r w:rsidRPr="00F75EC7">
        <w:t>. NIWA Report for Otago Regional Counci</w:t>
      </w:r>
      <w:r>
        <w:t>l:</w:t>
      </w:r>
      <w:r w:rsidRPr="00F75EC7">
        <w:t xml:space="preserve"> 32.</w:t>
      </w:r>
    </w:p>
    <w:p w14:paraId="6E5ECC89" w14:textId="2F3B4652" w:rsidR="00552375" w:rsidRDefault="00552375" w:rsidP="001A6A20">
      <w:pPr>
        <w:pStyle w:val="References"/>
        <w:spacing w:after="100"/>
      </w:pPr>
      <w:r w:rsidRPr="00B403E1">
        <w:t>Quinn</w:t>
      </w:r>
      <w:r>
        <w:t>,</w:t>
      </w:r>
      <w:r w:rsidRPr="00B403E1">
        <w:t xml:space="preserve"> J.M., Cooper</w:t>
      </w:r>
      <w:r>
        <w:t>,</w:t>
      </w:r>
      <w:r w:rsidRPr="00B403E1">
        <w:t xml:space="preserve"> A.B., Stroud</w:t>
      </w:r>
      <w:r>
        <w:t xml:space="preserve">, M.J., </w:t>
      </w:r>
      <w:r w:rsidRPr="00B403E1">
        <w:t xml:space="preserve">Burrell G.P. </w:t>
      </w:r>
      <w:r>
        <w:t xml:space="preserve">(1997) Shade effects on stream </w:t>
      </w:r>
      <w:r w:rsidRPr="00B403E1">
        <w:t>periphyton and invertebrates: an experiment in streamsid</w:t>
      </w:r>
      <w:r>
        <w:t>e channels</w:t>
      </w:r>
      <w:r w:rsidRPr="00891499">
        <w:rPr>
          <w:i/>
        </w:rPr>
        <w:t>. New Zealand Journal of Marine and Freshwater Research</w:t>
      </w:r>
      <w:r>
        <w:rPr>
          <w:i/>
        </w:rPr>
        <w:t>,</w:t>
      </w:r>
      <w:r w:rsidRPr="00891499">
        <w:rPr>
          <w:i/>
        </w:rPr>
        <w:t xml:space="preserve"> </w:t>
      </w:r>
      <w:r>
        <w:t xml:space="preserve">31: </w:t>
      </w:r>
      <w:r w:rsidRPr="00B403E1">
        <w:t>665-683</w:t>
      </w:r>
    </w:p>
    <w:p w14:paraId="47F32A89" w14:textId="739EEC73" w:rsidR="00552375" w:rsidRDefault="00552375" w:rsidP="001A6A20">
      <w:pPr>
        <w:pStyle w:val="References"/>
        <w:spacing w:after="100"/>
        <w:rPr>
          <w:rFonts w:asciiTheme="minorHAnsi" w:hAnsiTheme="minorHAnsi" w:cs="Arial"/>
        </w:rPr>
      </w:pPr>
      <w:bookmarkStart w:id="176" w:name="_Hlk517964631"/>
      <w:r w:rsidRPr="001B676B">
        <w:t xml:space="preserve">Quinn, J., Rutherford, K., Wilcock, B., Depree, C., Young, R., Schiff, S. (2018) </w:t>
      </w:r>
      <w:r>
        <w:t xml:space="preserve">Nutrient-periphyton </w:t>
      </w:r>
      <w:r w:rsidRPr="001B676B">
        <w:t xml:space="preserve">interactions along a temperate river and response to phosphorus input reduction. </w:t>
      </w:r>
      <w:r w:rsidRPr="001B676B">
        <w:rPr>
          <w:rFonts w:asciiTheme="minorHAnsi" w:hAnsiTheme="minorHAnsi"/>
        </w:rPr>
        <w:t xml:space="preserve">Proceedings of </w:t>
      </w:r>
      <w:r w:rsidRPr="001B676B">
        <w:rPr>
          <w:rFonts w:asciiTheme="minorHAnsi" w:hAnsiTheme="minorHAnsi" w:cs="Segoe UI"/>
        </w:rPr>
        <w:t>4th International Conference on Water Resources and Wetlands, Tulcea, Romania, 5-9 September 2018</w:t>
      </w:r>
      <w:bookmarkEnd w:id="176"/>
      <w:r w:rsidR="00473A95">
        <w:rPr>
          <w:rFonts w:asciiTheme="minorHAnsi" w:hAnsiTheme="minorHAnsi" w:cs="Segoe UI"/>
        </w:rPr>
        <w:t>.</w:t>
      </w:r>
    </w:p>
    <w:p w14:paraId="299B706F" w14:textId="010E0987" w:rsidR="00552375" w:rsidRPr="004841E8" w:rsidRDefault="00552375" w:rsidP="001A6A20">
      <w:pPr>
        <w:pStyle w:val="References"/>
        <w:spacing w:after="100"/>
        <w:rPr>
          <w:rStyle w:val="Hyperlink"/>
          <w:rFonts w:asciiTheme="minorHAnsi" w:hAnsiTheme="minorHAnsi"/>
        </w:rPr>
      </w:pPr>
      <w:r w:rsidRPr="003E4539">
        <w:t>Robertson, B., Stevens, L., Robertson, B., Zeldis, J., Green, M., Madarasz-Smith, A., Plew, D., Storey, R., Hume, T., Oliver, M. (2016</w:t>
      </w:r>
      <w:r>
        <w:t>a</w:t>
      </w:r>
      <w:r w:rsidRPr="003E4539">
        <w:t xml:space="preserve">) </w:t>
      </w:r>
      <w:r w:rsidRPr="003E4539">
        <w:rPr>
          <w:i/>
        </w:rPr>
        <w:t>NZ Estuary Trophic Index Screening Tool 1. Determining eutrophication susceptibility using physical and nutrient load data</w:t>
      </w:r>
      <w:r w:rsidRPr="003E4539">
        <w:t xml:space="preserve">. </w:t>
      </w:r>
      <w:r w:rsidRPr="003E4539">
        <w:rPr>
          <w:rStyle w:val="Emphasis"/>
          <w:rFonts w:asciiTheme="minorHAnsi" w:hAnsiTheme="minorHAnsi"/>
          <w:i w:val="0"/>
          <w:iCs w:val="0"/>
        </w:rPr>
        <w:t>Prepared for Envirolink Tools Project: Estuarine Trophic Index, MBIE/NIWA Contract No: C01X1420</w:t>
      </w:r>
      <w:r w:rsidRPr="003E4539">
        <w:t>: 47.</w:t>
      </w:r>
      <w:r>
        <w:t xml:space="preserve"> </w:t>
      </w:r>
      <w:r w:rsidRPr="004841E8">
        <w:rPr>
          <w:rStyle w:val="Hyperlink"/>
          <w:rFonts w:asciiTheme="minorHAnsi" w:hAnsiTheme="minorHAnsi"/>
        </w:rPr>
        <w:t>http://www.envirolink.govt.nz/envirolink-tools/marine-tools</w:t>
      </w:r>
    </w:p>
    <w:p w14:paraId="3145600A" w14:textId="33055D5E" w:rsidR="00552375" w:rsidRPr="004841E8" w:rsidRDefault="00552375" w:rsidP="001A6A20">
      <w:pPr>
        <w:pStyle w:val="References"/>
        <w:spacing w:after="100"/>
        <w:rPr>
          <w:rStyle w:val="Hyperlink"/>
          <w:rFonts w:asciiTheme="minorHAnsi" w:hAnsiTheme="minorHAnsi"/>
        </w:rPr>
      </w:pPr>
      <w:r w:rsidRPr="004841E8">
        <w:t>Robertson, B.M, Stevens, L., Robertson, B., Zeldis, J., Green, M., Madarasz-Smith, A., Plew, D., Storey, R., Oliver, M. (2016</w:t>
      </w:r>
      <w:r>
        <w:t>b</w:t>
      </w:r>
      <w:r w:rsidRPr="004841E8">
        <w:t xml:space="preserve">) </w:t>
      </w:r>
      <w:r w:rsidRPr="004841E8">
        <w:rPr>
          <w:i/>
        </w:rPr>
        <w:t>NZ Estuary Trophic Index Screening Tool 2. Determining Monitoring Indicators and Assessing Estuary Trophic State.</w:t>
      </w:r>
      <w:r w:rsidRPr="004841E8">
        <w:t xml:space="preserve"> Prepared for Envirolink Tools Project: Estuarine Trophic Index, MBIE/NIWA Contract No: C01X1420. 68p.</w:t>
      </w:r>
      <w:r>
        <w:t xml:space="preserve"> </w:t>
      </w:r>
      <w:hyperlink r:id="rId75" w:history="1">
        <w:r w:rsidRPr="002F695F">
          <w:rPr>
            <w:rStyle w:val="Hyperlink"/>
            <w:rFonts w:asciiTheme="minorHAnsi" w:hAnsiTheme="minorHAnsi"/>
          </w:rPr>
          <w:t>http://www.envirolink.govt.nz/envirolink-tools/marine-tools/</w:t>
        </w:r>
      </w:hyperlink>
    </w:p>
    <w:p w14:paraId="13601C9F" w14:textId="2F5A3C36" w:rsidR="00552375" w:rsidRPr="004F0B17" w:rsidRDefault="00552375" w:rsidP="001A6A20">
      <w:pPr>
        <w:pStyle w:val="References"/>
        <w:spacing w:after="100"/>
      </w:pPr>
      <w:r w:rsidRPr="00B15986">
        <w:t xml:space="preserve">Rutherford, J.C. (2011). </w:t>
      </w:r>
      <w:r w:rsidRPr="00473A95">
        <w:rPr>
          <w:i/>
          <w:iCs/>
        </w:rPr>
        <w:t xml:space="preserve">Computer modelling of nutrient dynamics and periphyton biomass </w:t>
      </w:r>
      <w:r w:rsidR="00AF55A8">
        <w:rPr>
          <w:i/>
          <w:iCs/>
        </w:rPr>
        <w:t>–</w:t>
      </w:r>
      <w:r w:rsidRPr="00473A95">
        <w:rPr>
          <w:i/>
          <w:iCs/>
        </w:rPr>
        <w:t xml:space="preserve"> Model development, calibration and testing in the Tukituki River, Hawkes Bay</w:t>
      </w:r>
      <w:r w:rsidRPr="00B15986">
        <w:t xml:space="preserve">. </w:t>
      </w:r>
      <w:r w:rsidRPr="00F75EC7">
        <w:t>NIWA Report for Central Hawke</w:t>
      </w:r>
      <w:r w:rsidR="00AF55A8">
        <w:t>’</w:t>
      </w:r>
      <w:r w:rsidRPr="00F75EC7">
        <w:t>s Bay District Council</w:t>
      </w:r>
      <w:r w:rsidRPr="00F75EC7">
        <w:rPr>
          <w:iCs/>
        </w:rPr>
        <w:t>.</w:t>
      </w:r>
    </w:p>
    <w:p w14:paraId="7383F173" w14:textId="7DF33566" w:rsidR="00552375" w:rsidRPr="004F0B17" w:rsidRDefault="00552375" w:rsidP="001A6A20">
      <w:pPr>
        <w:pStyle w:val="References"/>
        <w:spacing w:after="100"/>
      </w:pPr>
      <w:r w:rsidRPr="00B15986">
        <w:t xml:space="preserve">Rutherford, J.C. (2012). </w:t>
      </w:r>
      <w:r w:rsidRPr="00473A95">
        <w:rPr>
          <w:i/>
          <w:iCs/>
        </w:rPr>
        <w:t>Modelling the effects of land use on nutrients entering the Tukituki River, Hawke’s Bay</w:t>
      </w:r>
      <w:r w:rsidRPr="00AD02F0">
        <w:t xml:space="preserve">. </w:t>
      </w:r>
      <w:r w:rsidRPr="00AD02F0">
        <w:rPr>
          <w:iCs/>
        </w:rPr>
        <w:t xml:space="preserve">NIWA Report </w:t>
      </w:r>
      <w:r w:rsidRPr="00B15986">
        <w:t>for Hawkes Bay Region</w:t>
      </w:r>
      <w:r w:rsidRPr="00AD02F0">
        <w:t>al Council.</w:t>
      </w:r>
    </w:p>
    <w:p w14:paraId="59C8F5B5" w14:textId="527A55D9" w:rsidR="00552375" w:rsidRDefault="00552375" w:rsidP="001A6A20">
      <w:pPr>
        <w:pStyle w:val="References"/>
        <w:spacing w:after="100"/>
      </w:pPr>
      <w:r w:rsidRPr="00535514">
        <w:t>Rut</w:t>
      </w:r>
      <w:r w:rsidR="00D61035">
        <w:t>h</w:t>
      </w:r>
      <w:r w:rsidRPr="00535514">
        <w:t xml:space="preserve">erford, K. </w:t>
      </w:r>
      <w:r>
        <w:t>(</w:t>
      </w:r>
      <w:r w:rsidRPr="00535514">
        <w:t>2013a</w:t>
      </w:r>
      <w:r>
        <w:t>)</w:t>
      </w:r>
      <w:r w:rsidRPr="00535514">
        <w:t xml:space="preserve">. </w:t>
      </w:r>
      <w:r w:rsidRPr="00473A95">
        <w:rPr>
          <w:i/>
          <w:iCs/>
        </w:rPr>
        <w:t>Effects of Land Use on Nutrients: Phase 2 Studies in the Tukituki River, Hawke</w:t>
      </w:r>
      <w:r w:rsidR="00473A95">
        <w:rPr>
          <w:i/>
          <w:iCs/>
        </w:rPr>
        <w:t>’</w:t>
      </w:r>
      <w:r w:rsidRPr="00473A95">
        <w:rPr>
          <w:i/>
          <w:iCs/>
        </w:rPr>
        <w:t>s Bay</w:t>
      </w:r>
      <w:r>
        <w:rPr>
          <w:rFonts w:cs="Arial"/>
          <w:iCs/>
        </w:rPr>
        <w:t xml:space="preserve">. </w:t>
      </w:r>
      <w:r w:rsidRPr="00C03BB2">
        <w:rPr>
          <w:rFonts w:cs="Arial"/>
          <w:iCs/>
        </w:rPr>
        <w:t xml:space="preserve">NIWA </w:t>
      </w:r>
      <w:r>
        <w:rPr>
          <w:rFonts w:cs="Arial"/>
          <w:iCs/>
        </w:rPr>
        <w:t xml:space="preserve">Report </w:t>
      </w:r>
      <w:r w:rsidRPr="00B15986">
        <w:rPr>
          <w:rFonts w:cs="Arial"/>
        </w:rPr>
        <w:t>for Hawkes Bay Region</w:t>
      </w:r>
      <w:r w:rsidRPr="00C03BB2">
        <w:rPr>
          <w:rFonts w:cs="Arial"/>
        </w:rPr>
        <w:t xml:space="preserve">al </w:t>
      </w:r>
      <w:r>
        <w:rPr>
          <w:rFonts w:cs="Arial"/>
        </w:rPr>
        <w:t>Investment Company</w:t>
      </w:r>
      <w:r w:rsidRPr="00C03BB2">
        <w:rPr>
          <w:rFonts w:cs="Arial"/>
        </w:rPr>
        <w:t>.</w:t>
      </w:r>
    </w:p>
    <w:p w14:paraId="12841A23" w14:textId="4EC66DE1" w:rsidR="00552375" w:rsidRDefault="00552375" w:rsidP="001A6A20">
      <w:pPr>
        <w:pStyle w:val="References"/>
        <w:spacing w:after="100"/>
      </w:pPr>
      <w:r w:rsidRPr="00535514">
        <w:t xml:space="preserve">Rutherford, K. </w:t>
      </w:r>
      <w:r>
        <w:t>(</w:t>
      </w:r>
      <w:r w:rsidRPr="00535514">
        <w:t>2013b</w:t>
      </w:r>
      <w:r>
        <w:t>)</w:t>
      </w:r>
      <w:r w:rsidRPr="00535514">
        <w:t xml:space="preserve">. </w:t>
      </w:r>
      <w:r w:rsidRPr="00473A95">
        <w:rPr>
          <w:i/>
          <w:iCs/>
        </w:rPr>
        <w:t>Effects of Land Use on Streams - Phase 2 Modelling Studies in the Tukituki River, Hawke</w:t>
      </w:r>
      <w:r w:rsidR="00473A95">
        <w:rPr>
          <w:i/>
          <w:iCs/>
        </w:rPr>
        <w:t>’</w:t>
      </w:r>
      <w:r w:rsidRPr="00473A95">
        <w:rPr>
          <w:i/>
          <w:iCs/>
        </w:rPr>
        <w:t>s Bay</w:t>
      </w:r>
      <w:r>
        <w:t>.</w:t>
      </w:r>
      <w:r w:rsidRPr="00535514">
        <w:t xml:space="preserve"> </w:t>
      </w:r>
      <w:r w:rsidRPr="00C03BB2">
        <w:rPr>
          <w:rFonts w:cs="Arial"/>
          <w:iCs/>
        </w:rPr>
        <w:t xml:space="preserve">NIWA </w:t>
      </w:r>
      <w:r>
        <w:rPr>
          <w:rFonts w:cs="Arial"/>
          <w:iCs/>
        </w:rPr>
        <w:t xml:space="preserve">Report </w:t>
      </w:r>
      <w:r w:rsidRPr="00B15986">
        <w:rPr>
          <w:rFonts w:cs="Arial"/>
        </w:rPr>
        <w:t>for Hawkes Bay Region</w:t>
      </w:r>
      <w:r w:rsidRPr="00C03BB2">
        <w:rPr>
          <w:rFonts w:cs="Arial"/>
        </w:rPr>
        <w:t xml:space="preserve">al </w:t>
      </w:r>
      <w:r>
        <w:rPr>
          <w:rFonts w:cs="Arial"/>
        </w:rPr>
        <w:t>Investment Company</w:t>
      </w:r>
      <w:r w:rsidR="00E81B87">
        <w:t>.</w:t>
      </w:r>
    </w:p>
    <w:p w14:paraId="1440FD04" w14:textId="74D206BB" w:rsidR="00552375" w:rsidRDefault="00552375" w:rsidP="001A6A20">
      <w:pPr>
        <w:pStyle w:val="References"/>
        <w:spacing w:after="100"/>
        <w:rPr>
          <w:rFonts w:ascii="Times New Roman" w:hAnsi="Times New Roman"/>
          <w:sz w:val="24"/>
          <w:szCs w:val="24"/>
        </w:rPr>
      </w:pPr>
      <w:r w:rsidRPr="00570C4F">
        <w:t>Saunders</w:t>
      </w:r>
      <w:r>
        <w:t>,</w:t>
      </w:r>
      <w:r w:rsidRPr="00570C4F">
        <w:t xml:space="preserve"> D</w:t>
      </w:r>
      <w:r>
        <w:t>.</w:t>
      </w:r>
      <w:r w:rsidRPr="00570C4F">
        <w:t>L</w:t>
      </w:r>
      <w:r>
        <w:t>.</w:t>
      </w:r>
      <w:r w:rsidRPr="00570C4F">
        <w:t>, Kalff</w:t>
      </w:r>
      <w:r>
        <w:t>,</w:t>
      </w:r>
      <w:r w:rsidRPr="00570C4F">
        <w:t xml:space="preserve"> J</w:t>
      </w:r>
      <w:r>
        <w:t>.</w:t>
      </w:r>
      <w:r w:rsidRPr="00570C4F">
        <w:t xml:space="preserve"> (2001) Nitrogen retention in wetlands, lakes and rivers. </w:t>
      </w:r>
      <w:r w:rsidRPr="00570C4F">
        <w:rPr>
          <w:i/>
        </w:rPr>
        <w:t>Hydrobiologia</w:t>
      </w:r>
      <w:r>
        <w:t xml:space="preserve">, 443: </w:t>
      </w:r>
      <w:r w:rsidR="00AE608C">
        <w:br/>
      </w:r>
      <w:r>
        <w:t>205-</w:t>
      </w:r>
      <w:r w:rsidRPr="00570C4F">
        <w:t>212</w:t>
      </w:r>
      <w:r w:rsidR="001A6A20">
        <w:t>.</w:t>
      </w:r>
    </w:p>
    <w:p w14:paraId="0D44FB53" w14:textId="3582A8FA" w:rsidR="00552375" w:rsidRDefault="00552375" w:rsidP="001A6A20">
      <w:pPr>
        <w:pStyle w:val="References"/>
        <w:spacing w:after="100"/>
        <w:rPr>
          <w:rFonts w:cs="Calibri"/>
        </w:rPr>
      </w:pPr>
      <w:r w:rsidRPr="003B42F7">
        <w:t>Sorrel</w:t>
      </w:r>
      <w:r>
        <w:t>, B. (2010) Nutrients, Chapter 8. I</w:t>
      </w:r>
      <w:r w:rsidRPr="003B42F7">
        <w:t>n</w:t>
      </w:r>
      <w:r>
        <w:t>:</w:t>
      </w:r>
      <w:r w:rsidRPr="003B42F7">
        <w:t xml:space="preserve"> </w:t>
      </w:r>
      <w:r w:rsidRPr="00C06153">
        <w:rPr>
          <w:i/>
        </w:rPr>
        <w:t>Wetland Restoration: A handbook for New Zealand freshwater systems</w:t>
      </w:r>
      <w:r>
        <w:t xml:space="preserve">. Peters, M., </w:t>
      </w:r>
      <w:r w:rsidRPr="003B42F7">
        <w:t>Clarkson, B. (eds.) Linco</w:t>
      </w:r>
      <w:r>
        <w:t>ln, N.Z., Manaaki Whenua Press: 273</w:t>
      </w:r>
      <w:r w:rsidRPr="003B42F7">
        <w:t>.</w:t>
      </w:r>
    </w:p>
    <w:p w14:paraId="4EB99C16" w14:textId="6EEB8CB8" w:rsidR="00552375" w:rsidRPr="0031438E" w:rsidRDefault="00552375" w:rsidP="001A6A20">
      <w:pPr>
        <w:pStyle w:val="References"/>
        <w:spacing w:after="100"/>
        <w:rPr>
          <w:rFonts w:asciiTheme="majorHAnsi" w:hAnsiTheme="majorHAnsi" w:cs="MyriadPro-Light"/>
        </w:rPr>
      </w:pPr>
      <w:r>
        <w:t xml:space="preserve">Soziak, A. (2002) Long-term response of periphyton and macrophytes to reduced municipal nutrient loading to the Bow River (Alberta, Canada). </w:t>
      </w:r>
      <w:r w:rsidRPr="00891499">
        <w:rPr>
          <w:rFonts w:ascii="Calibri,Italic" w:hAnsi="Calibri,Italic" w:cs="Calibri,Italic"/>
          <w:i/>
          <w:iCs/>
        </w:rPr>
        <w:t>Canadian Journal of Fisheries and</w:t>
      </w:r>
      <w:r w:rsidRPr="00891499">
        <w:rPr>
          <w:i/>
        </w:rPr>
        <w:t xml:space="preserve"> </w:t>
      </w:r>
      <w:r w:rsidRPr="00891499">
        <w:rPr>
          <w:rFonts w:ascii="Calibri,Italic" w:hAnsi="Calibri,Italic" w:cs="Calibri,Italic"/>
          <w:i/>
          <w:iCs/>
        </w:rPr>
        <w:t>Aquatic Sciences</w:t>
      </w:r>
      <w:r>
        <w:rPr>
          <w:rFonts w:ascii="Calibri,Italic" w:hAnsi="Calibri,Italic" w:cs="Calibri,Italic"/>
          <w:iCs/>
        </w:rPr>
        <w:t>,</w:t>
      </w:r>
      <w:r w:rsidRPr="00C60FD3">
        <w:rPr>
          <w:rFonts w:ascii="Calibri,Italic" w:hAnsi="Calibri,Italic" w:cs="Calibri,Italic"/>
          <w:iCs/>
        </w:rPr>
        <w:t xml:space="preserve"> </w:t>
      </w:r>
      <w:r w:rsidR="00AF55A8">
        <w:rPr>
          <w:rFonts w:ascii="Calibri,Italic" w:hAnsi="Calibri,Italic" w:cs="Calibri,Italic"/>
          <w:iCs/>
        </w:rPr>
        <w:br/>
      </w:r>
      <w:r w:rsidRPr="00C60FD3">
        <w:t>59</w:t>
      </w:r>
      <w:r>
        <w:t>:</w:t>
      </w:r>
      <w:r w:rsidRPr="00C60FD3">
        <w:t xml:space="preserve"> 987–1001.</w:t>
      </w:r>
    </w:p>
    <w:p w14:paraId="136F5309" w14:textId="3A956EE1" w:rsidR="00552375" w:rsidRDefault="00552375" w:rsidP="001A6A20">
      <w:pPr>
        <w:pStyle w:val="References"/>
        <w:spacing w:after="100"/>
      </w:pPr>
      <w:r>
        <w:t>Sneld</w:t>
      </w:r>
      <w:r w:rsidR="00D61035">
        <w:t>e</w:t>
      </w:r>
      <w:r>
        <w:t xml:space="preserve">r, T.H, Biggs, B.J.F. (2002) Multiscale river environment classification for water resources management. </w:t>
      </w:r>
      <w:r w:rsidRPr="00891499">
        <w:rPr>
          <w:i/>
        </w:rPr>
        <w:t>Journal of the American Water Resources Association</w:t>
      </w:r>
      <w:r>
        <w:t>, 38: 1225-1239.</w:t>
      </w:r>
    </w:p>
    <w:p w14:paraId="63F780DA" w14:textId="71465C19" w:rsidR="00552375" w:rsidRDefault="00552375" w:rsidP="001A6A20">
      <w:pPr>
        <w:pStyle w:val="References"/>
        <w:spacing w:after="100"/>
      </w:pPr>
      <w:r>
        <w:t>Snelder, T.H., Booker, D.J., Quinn, J.M., Kilroy, C. (2014) Predicting periphyton cover frequency distributions across New Zealand rivers.</w:t>
      </w:r>
      <w:r w:rsidRPr="00637AF2">
        <w:rPr>
          <w:i/>
        </w:rPr>
        <w:t xml:space="preserve"> </w:t>
      </w:r>
      <w:r w:rsidRPr="00891499">
        <w:rPr>
          <w:i/>
        </w:rPr>
        <w:t>Journal of the American Water Resources Association</w:t>
      </w:r>
      <w:r>
        <w:t xml:space="preserve">, </w:t>
      </w:r>
      <w:r w:rsidR="00AF55A8">
        <w:br/>
      </w:r>
      <w:r>
        <w:t>50: 111</w:t>
      </w:r>
      <w:r w:rsidR="00AF55A8">
        <w:t>–</w:t>
      </w:r>
      <w:r>
        <w:t>127.</w:t>
      </w:r>
    </w:p>
    <w:p w14:paraId="29171046" w14:textId="77777777" w:rsidR="00552375" w:rsidRPr="003E4539" w:rsidRDefault="00552375" w:rsidP="001A6A20">
      <w:pPr>
        <w:pStyle w:val="References"/>
        <w:spacing w:after="100"/>
      </w:pPr>
      <w:r w:rsidRPr="003E4539">
        <w:t>Spigel</w:t>
      </w:r>
      <w:r>
        <w:t>,</w:t>
      </w:r>
      <w:r w:rsidRPr="003E4539">
        <w:t xml:space="preserve"> R., Howard-Williams, C., James, M., Gibbs, M.M. (2001) A coupled hydrodynamic-ecosystem study of Lake Taupo: A preliminary model. NIWA Report for Environment Waikato, Ministry for the Environment, Genesis Power Ltd., Dairy Research Institute and Tuwharetoa Maori Trust Board. </w:t>
      </w:r>
    </w:p>
    <w:p w14:paraId="4F071B44" w14:textId="313D846E" w:rsidR="00552375" w:rsidRDefault="00552375" w:rsidP="001A6A20">
      <w:pPr>
        <w:pStyle w:val="References"/>
        <w:spacing w:after="100"/>
        <w:rPr>
          <w:rFonts w:asciiTheme="minorHAnsi" w:hAnsiTheme="minorHAnsi" w:cs="Garamond"/>
        </w:rPr>
      </w:pPr>
      <w:r>
        <w:t>Stark, J.</w:t>
      </w:r>
      <w:r w:rsidRPr="00811CAA">
        <w:t>D.</w:t>
      </w:r>
      <w:r>
        <w:t>,</w:t>
      </w:r>
      <w:r w:rsidRPr="00811CAA">
        <w:t xml:space="preserve"> Boothroyd, I.K.G</w:t>
      </w:r>
      <w:r>
        <w:t>, Harding, J.</w:t>
      </w:r>
      <w:r w:rsidRPr="00811CAA">
        <w:t>S.</w:t>
      </w:r>
      <w:r>
        <w:t>,</w:t>
      </w:r>
      <w:r w:rsidRPr="00811CAA">
        <w:t xml:space="preserve"> Maxted, J.R.</w:t>
      </w:r>
      <w:r>
        <w:t>,</w:t>
      </w:r>
      <w:r w:rsidRPr="00811CAA">
        <w:t xml:space="preserve"> Scarsbrook, M.R. </w:t>
      </w:r>
      <w:r>
        <w:t>(</w:t>
      </w:r>
      <w:r w:rsidRPr="00811CAA">
        <w:t>2001</w:t>
      </w:r>
      <w:r>
        <w:t>)</w:t>
      </w:r>
      <w:r w:rsidRPr="00811CAA">
        <w:t xml:space="preserve"> </w:t>
      </w:r>
      <w:r w:rsidRPr="00F75EC7">
        <w:rPr>
          <w:i/>
        </w:rPr>
        <w:t>Protocols for sampling macroinvertebrates in wadeable streams</w:t>
      </w:r>
      <w:r w:rsidRPr="00811CAA">
        <w:t>. New Zealand Macroinvertebrate Working</w:t>
      </w:r>
      <w:r w:rsidR="00AF55A8">
        <w:t xml:space="preserve"> </w:t>
      </w:r>
      <w:r w:rsidRPr="00811CAA">
        <w:rPr>
          <w:rFonts w:asciiTheme="minorHAnsi" w:hAnsiTheme="minorHAnsi" w:cs="Garamond"/>
        </w:rPr>
        <w:t xml:space="preserve">Group Report No. 1. </w:t>
      </w:r>
      <w:r w:rsidRPr="00F75EC7">
        <w:rPr>
          <w:rFonts w:asciiTheme="minorHAnsi" w:hAnsiTheme="minorHAnsi" w:cs="Garamond"/>
        </w:rPr>
        <w:t>Prepared for the Ministry for the Environment. Sustainable Management Fund Project, N</w:t>
      </w:r>
      <w:r>
        <w:rPr>
          <w:rFonts w:asciiTheme="minorHAnsi" w:hAnsiTheme="minorHAnsi" w:cs="Garamond"/>
        </w:rPr>
        <w:t>o. 5103: 57</w:t>
      </w:r>
      <w:r w:rsidRPr="00811CAA">
        <w:rPr>
          <w:rFonts w:asciiTheme="minorHAnsi" w:hAnsiTheme="minorHAnsi" w:cs="Garamond"/>
        </w:rPr>
        <w:t>.</w:t>
      </w:r>
      <w:r w:rsidR="00AF55A8">
        <w:rPr>
          <w:rFonts w:asciiTheme="minorHAnsi" w:hAnsiTheme="minorHAnsi" w:cs="Garamond"/>
        </w:rPr>
        <w:t xml:space="preserve"> </w:t>
      </w:r>
      <w:r w:rsidRPr="00C86A8E">
        <w:rPr>
          <w:rStyle w:val="Hyperlink"/>
          <w:rFonts w:asciiTheme="minorHAnsi" w:hAnsiTheme="minorHAnsi"/>
        </w:rPr>
        <w:t>http://www.mfe.govt.nz/publications/fresh-water-environmental-reporting/protocols-sampling-macroinvertebrates-wadeable</w:t>
      </w:r>
    </w:p>
    <w:p w14:paraId="4E4BBD7F" w14:textId="4C3864DA" w:rsidR="00552375" w:rsidRDefault="00552375" w:rsidP="001A6A20">
      <w:pPr>
        <w:pStyle w:val="References"/>
        <w:spacing w:after="100"/>
        <w:rPr>
          <w:rFonts w:cs="Calibri"/>
        </w:rPr>
      </w:pPr>
      <w:r w:rsidRPr="00A72D13">
        <w:rPr>
          <w:rFonts w:cs="Garamond"/>
        </w:rPr>
        <w:t xml:space="preserve">Storey, R., </w:t>
      </w:r>
      <w:r w:rsidRPr="00A72D13">
        <w:rPr>
          <w:rFonts w:cs="Calibri"/>
        </w:rPr>
        <w:t xml:space="preserve">Perrie, A., Wood, S., Hicks, M. (2017) </w:t>
      </w:r>
      <w:r w:rsidRPr="00F75EC7">
        <w:rPr>
          <w:i/>
        </w:rPr>
        <w:t>Effects of land and water management on ecological aspects of major rivers in the Ruamahanga River catchment</w:t>
      </w:r>
      <w:r w:rsidRPr="00A72D13">
        <w:t xml:space="preserve">. </w:t>
      </w:r>
      <w:r w:rsidRPr="00F75EC7">
        <w:t xml:space="preserve">NIWA Report </w:t>
      </w:r>
      <w:r w:rsidRPr="00F75EC7">
        <w:rPr>
          <w:rFonts w:cs="Calibri"/>
        </w:rPr>
        <w:t>for Greater Wellington Regional Council: 113.</w:t>
      </w:r>
    </w:p>
    <w:p w14:paraId="17BA6FAB" w14:textId="2CE41A3E" w:rsidR="00552375" w:rsidRPr="003E4539" w:rsidRDefault="00552375" w:rsidP="001A6A20">
      <w:pPr>
        <w:pStyle w:val="References"/>
        <w:spacing w:after="100"/>
      </w:pPr>
      <w:r w:rsidRPr="003E4539">
        <w:t>Trolle, D., Spigel, B., Hamilton, D.P., Norton, N., Sutherland, D., Plew, D., Allen, M.G. (2014)</w:t>
      </w:r>
      <w:r>
        <w:t xml:space="preserve"> </w:t>
      </w:r>
      <w:r w:rsidRPr="003E4539">
        <w:t xml:space="preserve">Application of a three-dimensional water quality model as a decision support tool for the management of land-use changes in the catchemnt of an oligotrophic lake. </w:t>
      </w:r>
      <w:r w:rsidRPr="00AF55A8">
        <w:rPr>
          <w:i/>
          <w:iCs/>
        </w:rPr>
        <w:t>Environmental Management</w:t>
      </w:r>
      <w:r w:rsidRPr="003E4539">
        <w:t xml:space="preserve">, 54: 479-493. </w:t>
      </w:r>
    </w:p>
    <w:p w14:paraId="4D4FB40A" w14:textId="02B1D9D6" w:rsidR="00552375" w:rsidRDefault="00552375" w:rsidP="001A6A20">
      <w:pPr>
        <w:pStyle w:val="References"/>
        <w:spacing w:after="100"/>
      </w:pPr>
      <w:r w:rsidRPr="003B42F7">
        <w:t xml:space="preserve">United States Environmental Protection Agency (US EPA) (2008) </w:t>
      </w:r>
      <w:r w:rsidRPr="00F75EC7">
        <w:rPr>
          <w:i/>
        </w:rPr>
        <w:t>Nutrient Criteria Technical Guidance Manual: Wetlands</w:t>
      </w:r>
      <w:r w:rsidRPr="003B42F7">
        <w:t>. Off</w:t>
      </w:r>
      <w:r>
        <w:t>ice of Water, EPA-822-B-08-001: 156</w:t>
      </w:r>
      <w:r w:rsidRPr="003B42F7">
        <w:t>.</w:t>
      </w:r>
      <w:r w:rsidR="00AF55A8">
        <w:t xml:space="preserve"> </w:t>
      </w:r>
      <w:r w:rsidRPr="0019283C">
        <w:rPr>
          <w:rStyle w:val="Hyperlink"/>
          <w:rFonts w:asciiTheme="minorHAnsi" w:hAnsiTheme="minorHAnsi"/>
        </w:rPr>
        <w:t>https://nepis.epa.gov/Exe/ZyPDF.cgi/P1002DY6.PDF?Dockey=P1002DY6.PDF</w:t>
      </w:r>
    </w:p>
    <w:p w14:paraId="68B8B47B" w14:textId="7677BE2D" w:rsidR="00552375" w:rsidRDefault="00552375" w:rsidP="001A6A20">
      <w:pPr>
        <w:pStyle w:val="References"/>
        <w:spacing w:after="100"/>
      </w:pPr>
      <w:r w:rsidRPr="004218F8">
        <w:t>Verburg, P., Elliott,</w:t>
      </w:r>
      <w:r>
        <w:t xml:space="preserve"> S.,</w:t>
      </w:r>
      <w:r w:rsidRPr="004218F8">
        <w:t xml:space="preserve"> Schallenberg, </w:t>
      </w:r>
      <w:r>
        <w:t>M., McBride, C.</w:t>
      </w:r>
      <w:r w:rsidRPr="004218F8">
        <w:t xml:space="preserve"> </w:t>
      </w:r>
      <w:r>
        <w:t>(</w:t>
      </w:r>
      <w:r w:rsidRPr="004218F8">
        <w:t>2018</w:t>
      </w:r>
      <w:r>
        <w:t>)</w:t>
      </w:r>
      <w:r w:rsidRPr="004218F8">
        <w:t xml:space="preserve">. Nutrient budgets in lakes. In: </w:t>
      </w:r>
      <w:r w:rsidRPr="00F75EC7">
        <w:rPr>
          <w:i/>
        </w:rPr>
        <w:t>Lake Restoration Handbook</w:t>
      </w:r>
      <w:r>
        <w:t xml:space="preserve">, </w:t>
      </w:r>
      <w:r w:rsidRPr="004218F8">
        <w:t xml:space="preserve">Hamilton, </w:t>
      </w:r>
      <w:r>
        <w:t xml:space="preserve">D., </w:t>
      </w:r>
      <w:r w:rsidRPr="004218F8">
        <w:t xml:space="preserve">Collier, </w:t>
      </w:r>
      <w:r>
        <w:t xml:space="preserve">K., </w:t>
      </w:r>
      <w:r w:rsidRPr="004218F8">
        <w:t xml:space="preserve">Howard-Williams, </w:t>
      </w:r>
      <w:r>
        <w:t xml:space="preserve">C., </w:t>
      </w:r>
      <w:r w:rsidRPr="004218F8">
        <w:t>Quinn</w:t>
      </w:r>
      <w:r>
        <w:t>, J.</w:t>
      </w:r>
      <w:r w:rsidRPr="004218F8">
        <w:t xml:space="preserve"> (eds), Springer.</w:t>
      </w:r>
    </w:p>
    <w:p w14:paraId="7D5C33BC" w14:textId="7BFE8ED3" w:rsidR="00552375" w:rsidRDefault="00552375" w:rsidP="001A6A20">
      <w:pPr>
        <w:pStyle w:val="References"/>
        <w:spacing w:after="100"/>
        <w:rPr>
          <w:rFonts w:cs="Calibri"/>
        </w:rPr>
      </w:pPr>
      <w:r w:rsidRPr="00F91EAC">
        <w:t>Vollenweider R</w:t>
      </w:r>
      <w:r>
        <w:t>.</w:t>
      </w:r>
      <w:r w:rsidRPr="00F91EAC">
        <w:t>A (1976)</w:t>
      </w:r>
      <w:r>
        <w:t>.</w:t>
      </w:r>
      <w:r w:rsidRPr="00F91EAC">
        <w:t xml:space="preserve"> Advances on defining critical loading levels for phosphorus in lake eutrophication. </w:t>
      </w:r>
      <w:r w:rsidRPr="00D67814">
        <w:rPr>
          <w:i/>
          <w:iCs/>
        </w:rPr>
        <w:t>Memorie dell’Istituio Italiano di Idrobiologia</w:t>
      </w:r>
      <w:r w:rsidRPr="00F91EAC">
        <w:t xml:space="preserve"> 33:53–83</w:t>
      </w:r>
      <w:r w:rsidR="00AF55A8">
        <w:t>.</w:t>
      </w:r>
    </w:p>
    <w:p w14:paraId="20CAB148" w14:textId="18FAE893" w:rsidR="00552375" w:rsidRDefault="00552375" w:rsidP="001A6A20">
      <w:pPr>
        <w:pStyle w:val="References"/>
        <w:spacing w:after="100"/>
      </w:pPr>
      <w:r>
        <w:t xml:space="preserve">Waikato River Collaborative Stakeholder Group (2016) </w:t>
      </w:r>
      <w:r w:rsidRPr="00F75EC7">
        <w:rPr>
          <w:i/>
        </w:rPr>
        <w:t xml:space="preserve">Protecting and restoring our water: Te whakapaipai me te tiaki i </w:t>
      </w:r>
      <w:r w:rsidRPr="00F75EC7">
        <w:rPr>
          <w:rFonts w:asciiTheme="minorHAnsi" w:hAnsiTheme="minorHAnsi"/>
          <w:i/>
        </w:rPr>
        <w:t>ō</w:t>
      </w:r>
      <w:r w:rsidRPr="00F75EC7">
        <w:rPr>
          <w:i/>
        </w:rPr>
        <w:t xml:space="preserve"> tātou wai</w:t>
      </w:r>
      <w:r>
        <w:t>. Overview of Collaborative Stakeholder Group’s Recommendations for Waikato Regional Plan Change No. 1. Waikato and Waipa River Catchments. March 2016: 78.</w:t>
      </w:r>
    </w:p>
    <w:p w14:paraId="65A27144" w14:textId="549A7841" w:rsidR="00552375" w:rsidRPr="00C8307B" w:rsidRDefault="00552375" w:rsidP="001A6A20">
      <w:pPr>
        <w:pStyle w:val="References"/>
        <w:spacing w:after="100"/>
        <w:rPr>
          <w:rFonts w:asciiTheme="minorHAnsi" w:hAnsiTheme="minorHAnsi" w:cs="Arial"/>
        </w:rPr>
      </w:pPr>
      <w:r>
        <w:t>Welch, E.B., Quinn, J.M.,</w:t>
      </w:r>
      <w:r w:rsidRPr="00576C38">
        <w:t xml:space="preserve"> Hickey, C.W. (1992) Periphyton biomass related to point-source nutrient enrichment in seven New Zeala</w:t>
      </w:r>
      <w:r>
        <w:t xml:space="preserve">nd streams. </w:t>
      </w:r>
      <w:r w:rsidRPr="006E3B16">
        <w:rPr>
          <w:i/>
        </w:rPr>
        <w:t>Water Research</w:t>
      </w:r>
      <w:r>
        <w:t xml:space="preserve">, 26: </w:t>
      </w:r>
      <w:r w:rsidRPr="00576C38">
        <w:t>669-675.</w:t>
      </w:r>
    </w:p>
    <w:p w14:paraId="6B18B172" w14:textId="6C55BEA4" w:rsidR="00552375" w:rsidRDefault="00552375" w:rsidP="001A6A20">
      <w:pPr>
        <w:pStyle w:val="References"/>
        <w:spacing w:after="100"/>
      </w:pPr>
      <w:r>
        <w:t>Westlake, D.F.</w:t>
      </w:r>
      <w:r w:rsidRPr="00C8307B">
        <w:t xml:space="preserve"> </w:t>
      </w:r>
      <w:r>
        <w:t>(1981)</w:t>
      </w:r>
      <w:r w:rsidRPr="00C8307B">
        <w:t xml:space="preserve"> Temporal changes in aquatic macrophytes and their </w:t>
      </w:r>
      <w:r>
        <w:t xml:space="preserve">environment. In: Hoestlandt, H. </w:t>
      </w:r>
      <w:r w:rsidRPr="00C8307B">
        <w:t xml:space="preserve">(Ed.), </w:t>
      </w:r>
      <w:r w:rsidRPr="00F75EC7">
        <w:rPr>
          <w:i/>
        </w:rPr>
        <w:t>Dynamique de Populations et Quality de l'Eau, Actes Symp</w:t>
      </w:r>
      <w:r w:rsidRPr="00C8307B">
        <w:t xml:space="preserve">. </w:t>
      </w:r>
      <w:r w:rsidRPr="00F75EC7">
        <w:t>Inst. Ecol. Bassin Somme,</w:t>
      </w:r>
      <w:r>
        <w:t xml:space="preserve"> Chantilly, 1979</w:t>
      </w:r>
      <w:r w:rsidRPr="00F75EC7">
        <w:t>: 111-138</w:t>
      </w:r>
      <w:r w:rsidR="00D67814">
        <w:t>.</w:t>
      </w:r>
    </w:p>
    <w:p w14:paraId="4882E449" w14:textId="00F619BD" w:rsidR="00552375" w:rsidRDefault="00552375" w:rsidP="001A6A20">
      <w:pPr>
        <w:pStyle w:val="References"/>
        <w:spacing w:after="100"/>
      </w:pPr>
      <w:r w:rsidRPr="00570C4F">
        <w:t>Wetzel</w:t>
      </w:r>
      <w:r>
        <w:t>,</w:t>
      </w:r>
      <w:r w:rsidRPr="00570C4F">
        <w:t xml:space="preserve"> R</w:t>
      </w:r>
      <w:r>
        <w:t>.</w:t>
      </w:r>
      <w:r w:rsidRPr="00570C4F">
        <w:t>G</w:t>
      </w:r>
      <w:r>
        <w:t>.</w:t>
      </w:r>
      <w:r w:rsidRPr="00570C4F">
        <w:t xml:space="preserve"> (2001) Limnology, Lake and river e</w:t>
      </w:r>
      <w:r>
        <w:t>cosystems. Academic Press, 3rd</w:t>
      </w:r>
      <w:r w:rsidRPr="00570C4F">
        <w:t xml:space="preserve"> edition</w:t>
      </w:r>
      <w:r>
        <w:t>.</w:t>
      </w:r>
    </w:p>
    <w:p w14:paraId="2E8EDE39" w14:textId="01D460BF" w:rsidR="00552375" w:rsidRDefault="00552375" w:rsidP="001A6A20">
      <w:pPr>
        <w:pStyle w:val="References"/>
        <w:spacing w:after="100"/>
        <w:rPr>
          <w:rFonts w:asciiTheme="minorHAnsi" w:hAnsiTheme="minorHAnsi"/>
        </w:rPr>
      </w:pPr>
      <w:r>
        <w:t xml:space="preserve">WFD-UKTAG (2014). </w:t>
      </w:r>
      <w:r w:rsidRPr="00DB7600">
        <w:t xml:space="preserve">UKTAG Transitional and Coastal Water Assessment Method – Macroalgae. </w:t>
      </w:r>
      <w:r w:rsidRPr="00DB7600">
        <w:rPr>
          <w:i/>
        </w:rPr>
        <w:t>Opportunistic Macroalgal Blooming Tool</w:t>
      </w:r>
      <w:r>
        <w:t>. Water Framework Directive – United Kingdom Technical Advisory Group. Stirling, Scotland: 24.</w:t>
      </w:r>
    </w:p>
    <w:p w14:paraId="389088F6" w14:textId="59734778" w:rsidR="00552375" w:rsidRDefault="00552375" w:rsidP="00CB1EE0">
      <w:pPr>
        <w:pStyle w:val="References"/>
        <w:spacing w:after="100"/>
      </w:pPr>
      <w:r>
        <w:t xml:space="preserve">Wood, S.A., Hawes, I., McBride, G., Truman, P., Dietrich, D. (2015) </w:t>
      </w:r>
      <w:r w:rsidRPr="00F75EC7">
        <w:rPr>
          <w:i/>
        </w:rPr>
        <w:t>Advice to inform the development of a</w:t>
      </w:r>
      <w:r w:rsidR="001A6A20">
        <w:rPr>
          <w:i/>
        </w:rPr>
        <w:t> </w:t>
      </w:r>
      <w:r w:rsidRPr="00F75EC7">
        <w:rPr>
          <w:i/>
        </w:rPr>
        <w:t>benthic cyanobacteria attribute</w:t>
      </w:r>
      <w:r>
        <w:t xml:space="preserve">. </w:t>
      </w:r>
      <w:r w:rsidRPr="00F75EC7">
        <w:t>Cawthron Report</w:t>
      </w:r>
      <w:r w:rsidRPr="00C60FD3">
        <w:t xml:space="preserve"> for Ministry for the Environment</w:t>
      </w:r>
      <w:r>
        <w:t>: 91.</w:t>
      </w:r>
      <w:r w:rsidR="00D67814">
        <w:t xml:space="preserve"> </w:t>
      </w:r>
      <w:r w:rsidRPr="003C50D5">
        <w:rPr>
          <w:rStyle w:val="Hyperlink"/>
          <w:rFonts w:asciiTheme="minorHAnsi" w:hAnsiTheme="minorHAnsi"/>
        </w:rPr>
        <w:t>http://www.mfe.govt.nz/publications/fresh-water/advice-inform-development-benthic-cyanobacteria-attribute</w:t>
      </w:r>
      <w:bookmarkEnd w:id="2"/>
    </w:p>
    <w:sectPr w:rsidR="00552375" w:rsidSect="0089216B">
      <w:headerReference w:type="even" r:id="rId76"/>
      <w:headerReference w:type="default" r:id="rId77"/>
      <w:footerReference w:type="even" r:id="rId78"/>
      <w:footerReference w:type="default" r:id="rId79"/>
      <w:headerReference w:type="first" r:id="rId8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0DEC9" w14:textId="77777777" w:rsidR="00D5359F" w:rsidRDefault="00D5359F" w:rsidP="0080531E">
      <w:pPr>
        <w:spacing w:before="0" w:after="0" w:line="240" w:lineRule="auto"/>
      </w:pPr>
      <w:r>
        <w:separator/>
      </w:r>
    </w:p>
    <w:p w14:paraId="265F823D" w14:textId="77777777" w:rsidR="00D5359F" w:rsidRDefault="00D5359F"/>
  </w:endnote>
  <w:endnote w:type="continuationSeparator" w:id="0">
    <w:p w14:paraId="5442B160" w14:textId="77777777" w:rsidR="00D5359F" w:rsidRDefault="00D5359F" w:rsidP="0080531E">
      <w:pPr>
        <w:spacing w:before="0" w:after="0" w:line="240" w:lineRule="auto"/>
      </w:pPr>
      <w:r>
        <w:continuationSeparator/>
      </w:r>
    </w:p>
    <w:p w14:paraId="1D9B8871" w14:textId="77777777" w:rsidR="00D5359F" w:rsidRDefault="00D5359F"/>
  </w:endnote>
  <w:endnote w:type="continuationNotice" w:id="1">
    <w:p w14:paraId="697BC06A" w14:textId="77777777" w:rsidR="00D5359F" w:rsidRDefault="00D535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E10002FF" w:usb1="5000ECFF" w:usb2="0000002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Light">
    <w:charset w:val="00"/>
    <w:family w:val="swiss"/>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GoudyMaori-Regular">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Italic">
    <w:altName w:val="Calibri"/>
    <w:charset w:val="00"/>
    <w:family w:val="swiss"/>
    <w:pitch w:val="default"/>
    <w:sig w:usb0="00000003" w:usb1="00000000" w:usb2="00000000" w:usb3="00000000" w:csb0="00000001" w:csb1="00000000"/>
  </w:font>
  <w:font w:name="ArialUnicodeMS">
    <w:altName w:val="Arial"/>
    <w:charset w:val="00"/>
    <w:family w:val="auto"/>
    <w:pitch w:val="default"/>
    <w:sig w:usb0="00000003" w:usb1="00000000" w:usb2="00000000" w:usb3="00000000" w:csb0="00000001" w:csb1="00000000"/>
  </w:font>
  <w:font w:name="MSTT31c6c0">
    <w:altName w:val="Calibri"/>
    <w:charset w:val="00"/>
    <w:family w:val="auto"/>
    <w:pitch w:val="default"/>
    <w:sig w:usb0="00000003" w:usb1="00000000" w:usb2="00000000" w:usb3="00000000" w:csb0="00000001" w:csb1="00000000"/>
  </w:font>
  <w:font w:name="MSTT31c6da">
    <w:altName w:val="Calibri"/>
    <w:charset w:val="00"/>
    <w:family w:val="auto"/>
    <w:pitch w:val="default"/>
    <w:sig w:usb0="00000003" w:usb1="00000000" w:usb2="00000000" w:usb3="00000000" w:csb0="00000001" w:csb1="00000000"/>
  </w:font>
  <w:font w:name="CalibriLight">
    <w:altName w:val="Calibri"/>
    <w:charset w:val="00"/>
    <w:family w:val="auto"/>
    <w:pitch w:val="default"/>
    <w:sig w:usb0="00000003" w:usb1="00000000" w:usb2="00000000" w:usb3="00000000" w:csb0="00000001" w:csb1="00000000"/>
  </w:font>
  <w:font w:name="MyriadPro-Light">
    <w:altName w:val="Calibri"/>
    <w:charset w:val="00"/>
    <w:family w:val="swiss"/>
    <w:pitch w:val="default"/>
    <w:sig w:usb0="00000003" w:usb1="00000000" w:usb2="00000000" w:usb3="00000000" w:csb0="00000001" w:csb1="00000000"/>
  </w:font>
  <w:font w:name="AdvP4DF60F">
    <w:altName w:val="Calibri"/>
    <w:charset w:val="00"/>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D1F1" w14:textId="77777777" w:rsidR="00732BA1" w:rsidRDefault="00732BA1">
    <w:pPr>
      <w:pStyle w:val="Footer"/>
    </w:pPr>
    <w:r>
      <w:rPr>
        <w:noProof/>
      </w:rPr>
      <mc:AlternateContent>
        <mc:Choice Requires="wps">
          <w:drawing>
            <wp:anchor distT="0" distB="0" distL="114300" distR="114300" simplePos="0" relativeHeight="251658240" behindDoc="0" locked="0" layoutInCell="0" allowOverlap="1" wp14:anchorId="206645F3" wp14:editId="222906E9">
              <wp:simplePos x="0" y="0"/>
              <wp:positionH relativeFrom="page">
                <wp:posOffset>0</wp:posOffset>
              </wp:positionH>
              <wp:positionV relativeFrom="page">
                <wp:posOffset>10229850</wp:posOffset>
              </wp:positionV>
              <wp:extent cx="7560945" cy="273050"/>
              <wp:effectExtent l="0" t="0" r="0" b="12700"/>
              <wp:wrapNone/>
              <wp:docPr id="24" name="Text Box 24" descr="{&quot;HashCode&quot;:-33801332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9F7F83" w14:textId="78211F24"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6645F3" id="_x0000_t202" coordsize="21600,21600" o:spt="202" path="m,l,21600r21600,l21600,xe">
              <v:stroke joinstyle="miter"/>
              <v:path gradientshapeok="t" o:connecttype="rect"/>
            </v:shapetype>
            <v:shape id="Text Box 24" o:spid="_x0000_s1029" type="#_x0000_t202" alt="{&quot;HashCode&quot;:-338013328,&quot;Height&quot;:842.0,&quot;Width&quot;:595.0,&quot;Placement&quot;:&quot;Footer&quot;,&quot;Index&quot;:&quot;OddAndEven&quot;,&quot;Section&quot;:1,&quot;Top&quot;:0.0,&quot;Left&quot;:0.0}" style="position:absolute;left:0;text-align:left;margin-left:0;margin-top:805.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ACYmz6GAIAACsEAAAOAAAAAAAAAAAAAAAAAC4CAABkcnMvZTJvRG9jLnhtbFBLAQItABQA&#10;BgAIAAAAIQA6h7a53wAAAAsBAAAPAAAAAAAAAAAAAAAAAHIEAABkcnMvZG93bnJldi54bWxQSwUG&#10;AAAAAAQABADzAAAAfgUAAAAA&#10;" o:allowincell="f" filled="f" stroked="f" strokeweight=".5pt">
              <v:textbox inset=",0,,0">
                <w:txbxContent>
                  <w:p w14:paraId="369F7F83" w14:textId="78211F24"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047B" w14:textId="0A2ABA8F" w:rsidR="00732BA1" w:rsidRDefault="00732BA1" w:rsidP="00734B9A">
    <w:pPr>
      <w:spacing w:before="0" w:after="0" w:line="240" w:lineRule="auto"/>
      <w:ind w:left="-57"/>
      <w:jc w:val="left"/>
    </w:pPr>
    <w:r>
      <w:rPr>
        <w:noProof/>
      </w:rPr>
      <mc:AlternateContent>
        <mc:Choice Requires="wps">
          <w:drawing>
            <wp:anchor distT="0" distB="0" distL="114300" distR="114300" simplePos="0" relativeHeight="251658244" behindDoc="0" locked="0" layoutInCell="0" allowOverlap="1" wp14:anchorId="2443AB1C" wp14:editId="70E81027">
              <wp:simplePos x="0" y="0"/>
              <wp:positionH relativeFrom="page">
                <wp:posOffset>0</wp:posOffset>
              </wp:positionH>
              <wp:positionV relativeFrom="page">
                <wp:posOffset>10229850</wp:posOffset>
              </wp:positionV>
              <wp:extent cx="7560945" cy="273050"/>
              <wp:effectExtent l="0" t="0" r="0" b="12700"/>
              <wp:wrapNone/>
              <wp:docPr id="3" name="Text Box 3" descr="{&quot;HashCode&quot;:-33801332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D1E3A" w14:textId="7F7AFAFC"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43AB1C" id="_x0000_t202" coordsize="21600,21600" o:spt="202" path="m,l,21600r21600,l21600,xe">
              <v:stroke joinstyle="miter"/>
              <v:path gradientshapeok="t" o:connecttype="rect"/>
            </v:shapetype>
            <v:shape id="Text Box 3" o:spid="_x0000_s1030" type="#_x0000_t202" alt="{&quot;HashCode&quot;:-338013328,&quot;Height&quot;:842.0,&quot;Width&quot;:595.0,&quot;Placement&quot;:&quot;Footer&quot;,&quot;Index&quot;:&quot;Primary&quot;,&quot;Section&quot;:1,&quot;Top&quot;:0.0,&quot;Left&quot;:0.0}" style="position:absolute;left:0;text-align:left;margin-left:0;margin-top:805.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y7e1yGAIAACsEAAAOAAAAAAAAAAAAAAAAAC4CAABkcnMvZTJvRG9jLnhtbFBLAQItABQA&#10;BgAIAAAAIQA6h7a53wAAAAsBAAAPAAAAAAAAAAAAAAAAAHIEAABkcnMvZG93bnJldi54bWxQSwUG&#10;AAAAAAQABADzAAAAfgUAAAAA&#10;" o:allowincell="f" filled="f" stroked="f" strokeweight=".5pt">
              <v:textbox inset=",0,,0">
                <w:txbxContent>
                  <w:p w14:paraId="006D1E3A" w14:textId="7F7AFAFC"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r>
      <w:rPr>
        <w:noProof/>
      </w:rPr>
      <w:drawing>
        <wp:inline distT="0" distB="0" distL="0" distR="0" wp14:anchorId="44C0D6F6" wp14:editId="5D30C25C">
          <wp:extent cx="2498785" cy="535459"/>
          <wp:effectExtent l="0" t="0" r="0" b="0"/>
          <wp:docPr id="7" name="Picture 7"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
                    <a:extLst>
                      <a:ext uri="{28A0092B-C50C-407E-A947-70E740481C1C}">
                        <a14:useLocalDpi xmlns:a14="http://schemas.microsoft.com/office/drawing/2010/main" val="0"/>
                      </a:ext>
                    </a:extLst>
                  </a:blip>
                  <a:srcRect l="6376" b="21339"/>
                  <a:stretch/>
                </pic:blipFill>
                <pic:spPr bwMode="auto">
                  <a:xfrm>
                    <a:off x="0" y="0"/>
                    <a:ext cx="2501116" cy="5359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FD0D" w14:textId="656A7377" w:rsidR="00732BA1" w:rsidRDefault="00732BA1" w:rsidP="00E65427">
    <w:pPr>
      <w:spacing w:before="240" w:after="0" w:line="240" w:lineRule="auto"/>
    </w:pPr>
    <w:r>
      <w:rPr>
        <w:noProof/>
      </w:rPr>
      <mc:AlternateContent>
        <mc:Choice Requires="wps">
          <w:drawing>
            <wp:anchor distT="0" distB="0" distL="114300" distR="114300" simplePos="0" relativeHeight="251658245" behindDoc="0" locked="0" layoutInCell="0" allowOverlap="1" wp14:anchorId="3FDC8102" wp14:editId="2B3D0253">
              <wp:simplePos x="0" y="0"/>
              <wp:positionH relativeFrom="page">
                <wp:posOffset>0</wp:posOffset>
              </wp:positionH>
              <wp:positionV relativeFrom="page">
                <wp:posOffset>10229850</wp:posOffset>
              </wp:positionV>
              <wp:extent cx="7560945" cy="273050"/>
              <wp:effectExtent l="0" t="0" r="0" b="12700"/>
              <wp:wrapNone/>
              <wp:docPr id="5" name="Text Box 5" descr="{&quot;HashCode&quot;:-33801332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15578E" w14:textId="2BFB9B38"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DC8102" id="_x0000_t202" coordsize="21600,21600" o:spt="202" path="m,l,21600r21600,l21600,xe">
              <v:stroke joinstyle="miter"/>
              <v:path gradientshapeok="t" o:connecttype="rect"/>
            </v:shapetype>
            <v:shape id="Text Box 5" o:spid="_x0000_s1033" type="#_x0000_t202" alt="{&quot;HashCode&quot;:-338013328,&quot;Height&quot;:842.0,&quot;Width&quot;:595.0,&quot;Placement&quot;:&quot;Footer&quot;,&quot;Index&quot;:&quot;OddAndEven&quot;,&quot;Section&quot;:2,&quot;Top&quot;:0.0,&quot;Left&quot;:0.0}" style="position:absolute;left:0;text-align:left;margin-left:0;margin-top:805.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ABV/m1GAIAACsEAAAOAAAAAAAAAAAAAAAAAC4CAABkcnMvZTJvRG9jLnhtbFBLAQItABQA&#10;BgAIAAAAIQA6h7a53wAAAAsBAAAPAAAAAAAAAAAAAAAAAHIEAABkcnMvZG93bnJldi54bWxQSwUG&#10;AAAAAAQABADzAAAAfgUAAAAA&#10;" o:allowincell="f" filled="f" stroked="f" strokeweight=".5pt">
              <v:textbox inset=",0,,0">
                <w:txbxContent>
                  <w:p w14:paraId="5C15578E" w14:textId="2BFB9B38"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02B7" w14:textId="77777777" w:rsidR="00732BA1" w:rsidRDefault="00732BA1">
    <w:r>
      <w:rPr>
        <w:noProof/>
      </w:rPr>
      <mc:AlternateContent>
        <mc:Choice Requires="wps">
          <w:drawing>
            <wp:anchor distT="0" distB="0" distL="114300" distR="114300" simplePos="0" relativeHeight="251658241" behindDoc="0" locked="0" layoutInCell="0" allowOverlap="1" wp14:anchorId="5F013C17" wp14:editId="5F8BE556">
              <wp:simplePos x="0" y="0"/>
              <wp:positionH relativeFrom="page">
                <wp:posOffset>0</wp:posOffset>
              </wp:positionH>
              <wp:positionV relativeFrom="page">
                <wp:posOffset>10229850</wp:posOffset>
              </wp:positionV>
              <wp:extent cx="7560945" cy="273050"/>
              <wp:effectExtent l="0" t="0" r="0" b="12700"/>
              <wp:wrapNone/>
              <wp:docPr id="25" name="Text Box 25" descr="{&quot;HashCode&quot;:-33801332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5E1F59" w14:textId="29B4951A"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013C17" id="_x0000_t202" coordsize="21600,21600" o:spt="202" path="m,l,21600r21600,l21600,xe">
              <v:stroke joinstyle="miter"/>
              <v:path gradientshapeok="t" o:connecttype="rect"/>
            </v:shapetype>
            <v:shape id="Text Box 25" o:spid="_x0000_s1034" type="#_x0000_t202" alt="{&quot;HashCode&quot;:-338013328,&quot;Height&quot;:842.0,&quot;Width&quot;:595.0,&quot;Placement&quot;:&quot;Footer&quot;,&quot;Index&quot;:&quot;Primary&quot;,&quot;Section&quot;:2,&quot;Top&quot;:0.0,&quot;Left&quot;:0.0}" style="position:absolute;left:0;text-align:left;margin-left:0;margin-top:805.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x2Hg9GAIAACsEAAAOAAAAAAAAAAAAAAAAAC4CAABkcnMvZTJvRG9jLnhtbFBLAQItABQA&#10;BgAIAAAAIQA6h7a53wAAAAsBAAAPAAAAAAAAAAAAAAAAAHIEAABkcnMvZG93bnJldi54bWxQSwUG&#10;AAAAAAQABADzAAAAfgUAAAAA&#10;" o:allowincell="f" filled="f" stroked="f" strokeweight=".5pt">
              <v:textbox inset=",0,,0">
                <w:txbxContent>
                  <w:p w14:paraId="295E1F59" w14:textId="29B4951A"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9E41" w14:textId="25308F39" w:rsidR="00732BA1" w:rsidRDefault="00732BA1" w:rsidP="00CD25E1">
    <w:pPr>
      <w:pStyle w:val="Footereven"/>
    </w:pPr>
    <w:r>
      <w:rPr>
        <w:b/>
        <w:noProof/>
      </w:rPr>
      <mc:AlternateContent>
        <mc:Choice Requires="wps">
          <w:drawing>
            <wp:anchor distT="0" distB="0" distL="114300" distR="114300" simplePos="0" relativeHeight="251658247" behindDoc="0" locked="0" layoutInCell="0" allowOverlap="1" wp14:anchorId="6BBAF391" wp14:editId="07E2A82A">
              <wp:simplePos x="0" y="0"/>
              <wp:positionH relativeFrom="page">
                <wp:posOffset>0</wp:posOffset>
              </wp:positionH>
              <wp:positionV relativeFrom="page">
                <wp:posOffset>10229850</wp:posOffset>
              </wp:positionV>
              <wp:extent cx="7560945" cy="273050"/>
              <wp:effectExtent l="0" t="0" r="0" b="12700"/>
              <wp:wrapNone/>
              <wp:docPr id="8" name="Text Box 8" descr="{&quot;HashCode&quot;:-33801332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7C24E3" w14:textId="084012A5"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BAF391" id="_x0000_t202" coordsize="21600,21600" o:spt="202" path="m,l,21600r21600,l21600,xe">
              <v:stroke joinstyle="miter"/>
              <v:path gradientshapeok="t" o:connecttype="rect"/>
            </v:shapetype>
            <v:shape id="Text Box 8" o:spid="_x0000_s1037" type="#_x0000_t202" alt="{&quot;HashCode&quot;:-338013328,&quot;Height&quot;:842.0,&quot;Width&quot;:595.0,&quot;Placement&quot;:&quot;Footer&quot;,&quot;Index&quot;:&quot;OddAndEven&quot;,&quot;Section&quot;:3,&quot;Top&quot;:0.0,&quot;Left&quot;:0.0}" style="position:absolute;left:0;text-align:left;margin-left:0;margin-top:805.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" o:allowincell="f" filled="f" stroked="f" strokeweight=".5pt">
              <v:textbox inset=",0,,0">
                <w:txbxContent>
                  <w:p w14:paraId="217C24E3" w14:textId="084012A5"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r w:rsidRPr="004F458A">
      <w:rPr>
        <w:b/>
      </w:rPr>
      <w:fldChar w:fldCharType="begin"/>
    </w:r>
    <w:r w:rsidRPr="004F458A">
      <w:instrText xml:space="preserve"> PAGE </w:instrText>
    </w:r>
    <w:r w:rsidRPr="004F458A">
      <w:rPr>
        <w:b/>
      </w:rPr>
      <w:fldChar w:fldCharType="separate"/>
    </w:r>
    <w:r w:rsidR="00B422A9">
      <w:rPr>
        <w:noProof/>
      </w:rPr>
      <w:t>10</w:t>
    </w:r>
    <w:r w:rsidRPr="004F458A">
      <w:rPr>
        <w:b/>
      </w:rPr>
      <w:fldChar w:fldCharType="end"/>
    </w:r>
    <w:r>
      <w:tab/>
      <w:t xml:space="preserve">A </w:t>
    </w:r>
    <w:r w:rsidRPr="00732015">
      <w:t xml:space="preserve">draft guide to setting instream nutrient concentrations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3F03" w14:textId="16B3506D" w:rsidR="00732BA1" w:rsidRDefault="00732BA1" w:rsidP="00CD25E1">
    <w:pPr>
      <w:pStyle w:val="Footerodd"/>
    </w:pPr>
    <w:r>
      <w:rPr>
        <w:noProof/>
      </w:rPr>
      <mc:AlternateContent>
        <mc:Choice Requires="wps">
          <w:drawing>
            <wp:anchor distT="0" distB="0" distL="114300" distR="114300" simplePos="0" relativeHeight="251658246" behindDoc="0" locked="0" layoutInCell="0" allowOverlap="1" wp14:anchorId="54F6F342" wp14:editId="6A042C22">
              <wp:simplePos x="0" y="0"/>
              <wp:positionH relativeFrom="page">
                <wp:posOffset>0</wp:posOffset>
              </wp:positionH>
              <wp:positionV relativeFrom="page">
                <wp:posOffset>10229850</wp:posOffset>
              </wp:positionV>
              <wp:extent cx="7560945" cy="273050"/>
              <wp:effectExtent l="0" t="0" r="0" b="12700"/>
              <wp:wrapNone/>
              <wp:docPr id="6" name="Text Box 6" descr="{&quot;HashCode&quot;:-33801332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1C616F" w14:textId="6E7E8EFB"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F6F342" id="_x0000_t202" coordsize="21600,21600" o:spt="202" path="m,l,21600r21600,l21600,xe">
              <v:stroke joinstyle="miter"/>
              <v:path gradientshapeok="t" o:connecttype="rect"/>
            </v:shapetype>
            <v:shape id="Text Box 6" o:spid="_x0000_s1038" type="#_x0000_t202" alt="{&quot;HashCode&quot;:-338013328,&quot;Height&quot;:842.0,&quot;Width&quot;:595.0,&quot;Placement&quot;:&quot;Footer&quot;,&quot;Index&quot;:&quot;Primary&quot;,&quot;Section&quot;:3,&quot;Top&quot;:0.0,&quot;Left&quot;:0.0}" style="position:absolute;margin-left:0;margin-top:805.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oixP/GAIAACwEAAAOAAAAAAAAAAAAAAAAAC4CAABkcnMvZTJvRG9jLnhtbFBLAQItABQA&#10;BgAIAAAAIQA6h7a53wAAAAsBAAAPAAAAAAAAAAAAAAAAAHIEAABkcnMvZG93bnJldi54bWxQSwUG&#10;AAAAAAQABADzAAAAfgUAAAAA&#10;" o:allowincell="f" filled="f" stroked="f" strokeweight=".5pt">
              <v:textbox inset=",0,,0">
                <w:txbxContent>
                  <w:p w14:paraId="511C616F" w14:textId="6E7E8EFB"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r>
      <w:tab/>
    </w:r>
    <w:r w:rsidR="0089216B" w:rsidRPr="0089216B">
      <w:t>A guide to setting instream nutrient concentrations</w:t>
    </w:r>
    <w:r>
      <w:tab/>
    </w:r>
    <w:r>
      <w:fldChar w:fldCharType="begin"/>
    </w:r>
    <w:r>
      <w:instrText xml:space="preserve"> PAGE   \* MERGEFORMAT </w:instrText>
    </w:r>
    <w:r>
      <w:fldChar w:fldCharType="separate"/>
    </w:r>
    <w:r w:rsidR="00B422A9">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B767" w14:textId="77777777" w:rsidR="00D5359F" w:rsidRDefault="00D5359F" w:rsidP="00CB5C5F">
      <w:pPr>
        <w:spacing w:before="0" w:after="80" w:line="240" w:lineRule="auto"/>
      </w:pPr>
      <w:r>
        <w:separator/>
      </w:r>
    </w:p>
  </w:footnote>
  <w:footnote w:type="continuationSeparator" w:id="0">
    <w:p w14:paraId="5587F830" w14:textId="77777777" w:rsidR="00D5359F" w:rsidRDefault="00D5359F" w:rsidP="0080531E">
      <w:pPr>
        <w:spacing w:before="0" w:after="0" w:line="240" w:lineRule="auto"/>
      </w:pPr>
      <w:r>
        <w:continuationSeparator/>
      </w:r>
    </w:p>
    <w:p w14:paraId="5C493602" w14:textId="77777777" w:rsidR="00D5359F" w:rsidRDefault="00D5359F"/>
  </w:footnote>
  <w:footnote w:type="continuationNotice" w:id="1">
    <w:p w14:paraId="30091349" w14:textId="77777777" w:rsidR="00D5359F" w:rsidRDefault="00D5359F">
      <w:pPr>
        <w:spacing w:before="0" w:after="0" w:line="240" w:lineRule="auto"/>
      </w:pPr>
    </w:p>
  </w:footnote>
  <w:footnote w:id="2">
    <w:p w14:paraId="22E002B6" w14:textId="03A18314" w:rsidR="00732BA1" w:rsidRDefault="00732BA1" w:rsidP="00B40F18">
      <w:pPr>
        <w:pStyle w:val="FootnoteText"/>
        <w:spacing w:after="0"/>
      </w:pPr>
      <w:r>
        <w:rPr>
          <w:rStyle w:val="FootnoteReference"/>
        </w:rPr>
        <w:footnoteRef/>
      </w:r>
      <w:r>
        <w:t xml:space="preserve"> </w:t>
      </w:r>
      <w:r>
        <w:tab/>
        <w:t xml:space="preserve">Noting that instream nutrient concentrations are usually expressed in terms of tons per year, while the DRP attribute in the NPS-FM 2020 is measured in </w:t>
      </w:r>
      <w:r w:rsidRPr="00175194">
        <w:t>milligrams per lit</w:t>
      </w:r>
      <w:r>
        <w:t>re</w:t>
      </w:r>
      <w:r w:rsidRPr="00175194">
        <w:t xml:space="preserve"> </w:t>
      </w:r>
      <w:r>
        <w:t xml:space="preserve">(mg/L), and must be derived from a median of of monthly monitoring over 5 years. </w:t>
      </w:r>
    </w:p>
  </w:footnote>
  <w:footnote w:id="3">
    <w:p w14:paraId="57D5C0BF" w14:textId="3DD0F692" w:rsidR="00732BA1" w:rsidRDefault="00732BA1" w:rsidP="00897081">
      <w:pPr>
        <w:pStyle w:val="FootnoteText"/>
      </w:pPr>
      <w:r>
        <w:rPr>
          <w:rStyle w:val="FootnoteReference"/>
        </w:rPr>
        <w:footnoteRef/>
      </w:r>
      <w:r>
        <w:t xml:space="preserve"> </w:t>
      </w:r>
      <w:r>
        <w:tab/>
        <w:t>It is important that the measure of central tendency used (median, mean or geometric mean) is consistent with that used in the predictive model of periphyton biomass adopted.</w:t>
      </w:r>
    </w:p>
  </w:footnote>
  <w:footnote w:id="4">
    <w:p w14:paraId="3E5044C4" w14:textId="6E6C5159" w:rsidR="00732BA1" w:rsidRDefault="00732BA1" w:rsidP="00552375">
      <w:pPr>
        <w:pStyle w:val="FootnoteText"/>
      </w:pPr>
      <w:r>
        <w:rPr>
          <w:rStyle w:val="FootnoteReference"/>
        </w:rPr>
        <w:footnoteRef/>
      </w:r>
      <w:r>
        <w:t xml:space="preserve"> </w:t>
      </w:r>
      <w:r>
        <w:tab/>
        <w:t xml:space="preserve">Note that shading which reduces periphyton biomass will reduce instream nutrient uptake during the period of active growth. The effect that this has on instream nutrient concentrations likely depends on how the level of uptake compares to the flux of nutrients through the waterway at this time – it may or </w:t>
      </w:r>
      <w:r w:rsidRPr="00182398">
        <w:t>may not be significant (see McKergow et al. 2016 for</w:t>
      </w:r>
      <w:r>
        <w:t xml:space="preserve"> further discussion).</w:t>
      </w:r>
    </w:p>
  </w:footnote>
  <w:footnote w:id="5">
    <w:p w14:paraId="286AE3D4" w14:textId="3508730D" w:rsidR="00732BA1" w:rsidRPr="00684836" w:rsidRDefault="00732BA1" w:rsidP="00552375">
      <w:pPr>
        <w:pStyle w:val="FootnoteText"/>
      </w:pPr>
      <w:r>
        <w:rPr>
          <w:rStyle w:val="FootnoteReference"/>
        </w:rPr>
        <w:footnoteRef/>
      </w:r>
      <w:r>
        <w:t xml:space="preserve"> </w:t>
      </w:r>
      <w:r>
        <w:tab/>
        <w:t xml:space="preserve">Models were also developed to predict the mean and mean annual maximum periphyton filamentous and </w:t>
      </w:r>
      <w:r w:rsidRPr="00684836">
        <w:t>mat cover and periphyton cover frequency distributions across New Zealand rivers (Snelder et al., 2014).</w:t>
      </w:r>
    </w:p>
  </w:footnote>
  <w:footnote w:id="6">
    <w:p w14:paraId="27B30094" w14:textId="01905FCD" w:rsidR="00732BA1" w:rsidRDefault="00732BA1" w:rsidP="00552375">
      <w:pPr>
        <w:pStyle w:val="FootnoteText"/>
      </w:pPr>
      <w:r>
        <w:rPr>
          <w:rStyle w:val="FootnoteReference"/>
        </w:rPr>
        <w:footnoteRef/>
      </w:r>
      <w:r>
        <w:t xml:space="preserve"> </w:t>
      </w:r>
      <w:r>
        <w:tab/>
        <w:t>An effective flow event is t</w:t>
      </w:r>
      <w:r w:rsidRPr="00F17234">
        <w:t xml:space="preserve">he magnitude of flow event </w:t>
      </w:r>
      <w:r>
        <w:t xml:space="preserve">sufficient </w:t>
      </w:r>
      <w:r w:rsidRPr="00F17234">
        <w:t>to scour periphyton from the bed.</w:t>
      </w:r>
    </w:p>
  </w:footnote>
  <w:footnote w:id="7">
    <w:p w14:paraId="2A9AF0DD" w14:textId="7E72080D" w:rsidR="00732BA1" w:rsidRDefault="00732BA1">
      <w:pPr>
        <w:pStyle w:val="FootnoteText"/>
      </w:pPr>
      <w:r>
        <w:rPr>
          <w:rStyle w:val="FootnoteReference"/>
        </w:rPr>
        <w:footnoteRef/>
      </w:r>
      <w:r>
        <w:t xml:space="preserve"> </w:t>
      </w:r>
      <w:r>
        <w:tab/>
      </w:r>
      <w:hyperlink r:id="rId1" w:history="1">
        <w:r w:rsidRPr="00795011">
          <w:rPr>
            <w:rStyle w:val="Hyperlink"/>
          </w:rPr>
          <w:t>https://environment.govt.nz/publications/action-for-healthy-waterways-decisions-on-national-direction-and-regulations-for-freshwater-management/</w:t>
        </w:r>
      </w:hyperlink>
      <w:r>
        <w:t xml:space="preserve"> </w:t>
      </w:r>
    </w:p>
  </w:footnote>
  <w:footnote w:id="8">
    <w:p w14:paraId="1929E8F6" w14:textId="602F4267" w:rsidR="00732BA1" w:rsidRDefault="00732BA1" w:rsidP="00552375">
      <w:pPr>
        <w:pStyle w:val="FootnoteText"/>
      </w:pPr>
      <w:r>
        <w:rPr>
          <w:rStyle w:val="FootnoteReference"/>
        </w:rPr>
        <w:footnoteRef/>
      </w:r>
      <w:r>
        <w:t xml:space="preserve"> </w:t>
      </w:r>
      <w:r>
        <w:tab/>
        <w:t>Note that if sprawling macrophytes shade the river bed then this factor needs to be accounted for in measurement or estimation of shade at the water surface.</w:t>
      </w:r>
    </w:p>
  </w:footnote>
  <w:footnote w:id="9">
    <w:p w14:paraId="77DAEBDF" w14:textId="3E4CC6FC" w:rsidR="00732BA1" w:rsidRPr="00F65841" w:rsidRDefault="00732BA1" w:rsidP="00552375">
      <w:pPr>
        <w:pStyle w:val="FootnoteText"/>
        <w:rPr>
          <w:lang w:val="en-US"/>
        </w:rPr>
      </w:pPr>
      <w:r>
        <w:rPr>
          <w:rStyle w:val="FootnoteReference"/>
        </w:rPr>
        <w:footnoteRef/>
      </w:r>
      <w:r>
        <w:t xml:space="preserve"> </w:t>
      </w:r>
      <w:r>
        <w:tab/>
      </w:r>
      <w:r>
        <w:rPr>
          <w:lang w:val="en-US"/>
        </w:rPr>
        <w:t>Alternative in-lake concentrations would only be for reconciling FMU instream nutrient criteria against criteria that better relate to the lake trophic-state objective/s sought for particular lakes. NPS-FM lake trophic state for State of Environment reporting would still need to be assessed using the thresholds specified in the lake nutrient attribute tables.</w:t>
      </w:r>
    </w:p>
  </w:footnote>
  <w:footnote w:id="10">
    <w:p w14:paraId="6F569915" w14:textId="507889F4" w:rsidR="00732BA1" w:rsidRPr="009F768C" w:rsidRDefault="00732BA1" w:rsidP="00BD12A5">
      <w:pPr>
        <w:pStyle w:val="FootnoteText"/>
        <w:rPr>
          <w:lang w:val="en-US"/>
        </w:rPr>
      </w:pPr>
      <w:r>
        <w:rPr>
          <w:rStyle w:val="FootnoteReference"/>
        </w:rPr>
        <w:footnoteRef/>
      </w:r>
      <w:r>
        <w:t xml:space="preserve"> </w:t>
      </w:r>
      <w:r>
        <w:tab/>
      </w:r>
      <w:r>
        <w:rPr>
          <w:lang w:val="en-US"/>
        </w:rPr>
        <w:t>Catchment Land-use for Environmental Sustainability.</w:t>
      </w:r>
    </w:p>
  </w:footnote>
  <w:footnote w:id="11">
    <w:p w14:paraId="4E851074" w14:textId="3B51272A" w:rsidR="00732BA1" w:rsidRPr="00F43C77" w:rsidRDefault="00732BA1" w:rsidP="00125D40">
      <w:pPr>
        <w:pStyle w:val="FootnoteText"/>
        <w:rPr>
          <w:lang w:val="en-US"/>
        </w:rPr>
      </w:pPr>
      <w:r>
        <w:rPr>
          <w:rStyle w:val="FootnoteReference"/>
        </w:rPr>
        <w:footnoteRef/>
      </w:r>
      <w:r>
        <w:t xml:space="preserve"> </w:t>
      </w:r>
      <w:r>
        <w:tab/>
        <w:t>L</w:t>
      </w:r>
      <w:r>
        <w:rPr>
          <w:lang w:val="en-US"/>
        </w:rPr>
        <w:t>imited to SSRTREs with longer flushing times.</w:t>
      </w:r>
    </w:p>
  </w:footnote>
  <w:footnote w:id="12">
    <w:p w14:paraId="61D516C5" w14:textId="33584D2D" w:rsidR="00732BA1" w:rsidRPr="003B41AE" w:rsidRDefault="00732BA1" w:rsidP="00125D40">
      <w:pPr>
        <w:pStyle w:val="FootnoteText"/>
        <w:rPr>
          <w:lang w:val="en-US"/>
        </w:rPr>
      </w:pPr>
      <w:r>
        <w:rPr>
          <w:rStyle w:val="FootnoteReference"/>
        </w:rPr>
        <w:footnoteRef/>
      </w:r>
      <w:r>
        <w:t xml:space="preserve"> </w:t>
      </w:r>
      <w:r>
        <w:tab/>
        <w:t>‘</w:t>
      </w:r>
      <w:r>
        <w:rPr>
          <w:lang w:val="en-US"/>
        </w:rPr>
        <w:t>A’-band being the highest and ‘D’-band being the lowest.</w:t>
      </w:r>
    </w:p>
  </w:footnote>
  <w:footnote w:id="13">
    <w:p w14:paraId="61D3EEEA" w14:textId="152D372A" w:rsidR="00732BA1" w:rsidRPr="009703FB" w:rsidRDefault="00732BA1" w:rsidP="006B52EA">
      <w:pPr>
        <w:pStyle w:val="FootnoteText"/>
        <w:spacing w:after="0"/>
        <w:rPr>
          <w:lang w:val="en-US"/>
        </w:rPr>
      </w:pPr>
      <w:r>
        <w:rPr>
          <w:rStyle w:val="FootnoteReference"/>
        </w:rPr>
        <w:footnoteRef/>
      </w:r>
      <w:r>
        <w:t xml:space="preserve"> </w:t>
      </w:r>
      <w:r>
        <w:tab/>
      </w:r>
      <w:r>
        <w:rPr>
          <w:lang w:val="en-US"/>
        </w:rPr>
        <w:t>OMBT define EQR of 0.2-0.4 as ‘poor’ and EQR of &lt;0.2 as ‘bad’.</w:t>
      </w:r>
    </w:p>
  </w:footnote>
  <w:footnote w:id="14">
    <w:p w14:paraId="1A8176F4" w14:textId="096AEE3B" w:rsidR="00732BA1" w:rsidRPr="000E1A30" w:rsidRDefault="00732BA1" w:rsidP="00552375">
      <w:pPr>
        <w:pStyle w:val="FootnoteText"/>
        <w:rPr>
          <w:lang w:val="en-US"/>
        </w:rPr>
      </w:pPr>
      <w:r>
        <w:rPr>
          <w:rStyle w:val="FootnoteReference"/>
        </w:rPr>
        <w:footnoteRef/>
      </w:r>
      <w:r>
        <w:t xml:space="preserve"> </w:t>
      </w:r>
      <w:r>
        <w:tab/>
      </w:r>
      <w:r>
        <w:rPr>
          <w:lang w:val="en-US"/>
        </w:rPr>
        <w:t>Or more specifically, the flow-weighted average instream nutrient criterion from contributing upstream FMU/s.</w:t>
      </w:r>
    </w:p>
  </w:footnote>
  <w:footnote w:id="15">
    <w:p w14:paraId="73BD305A" w14:textId="77777777" w:rsidR="00732BA1" w:rsidRPr="002F0C8E" w:rsidRDefault="00732BA1" w:rsidP="00552375">
      <w:pPr>
        <w:pStyle w:val="FootnoteText"/>
        <w:tabs>
          <w:tab w:val="left" w:pos="0"/>
        </w:tabs>
        <w:rPr>
          <w:lang w:val="en-US"/>
        </w:rPr>
      </w:pPr>
      <w:r>
        <w:rPr>
          <w:rStyle w:val="FootnoteReference"/>
        </w:rPr>
        <w:footnoteRef/>
      </w:r>
      <w:r>
        <w:t xml:space="preserve"> </w:t>
      </w:r>
      <w:r>
        <w:rPr>
          <w:lang w:val="en-US"/>
        </w:rPr>
        <w:t>It is assumed that ‘totals’ are analysed on unfiltered samples and therefore include dissolved inorganic, dissolved organic and particulate nutrients. If analysed on filtered water samples, the ‘total’ would represent the ‘total dissolved nutrient fraction’ (ie, TDN and TDP).</w:t>
      </w:r>
    </w:p>
  </w:footnote>
  <w:footnote w:id="16">
    <w:p w14:paraId="3BF4D200" w14:textId="3AFD6627" w:rsidR="00732BA1" w:rsidRPr="00615CA3" w:rsidRDefault="00732BA1" w:rsidP="00552375">
      <w:pPr>
        <w:pStyle w:val="FootnoteText"/>
        <w:rPr>
          <w:lang w:val="en-US"/>
        </w:rPr>
      </w:pPr>
      <w:r>
        <w:rPr>
          <w:rStyle w:val="FootnoteReference"/>
        </w:rPr>
        <w:footnoteRef/>
      </w:r>
      <w:r>
        <w:t xml:space="preserve"> </w:t>
      </w:r>
      <w:r>
        <w:tab/>
        <w:t>This FMU nitrogen criterion of 350 mg/m</w:t>
      </w:r>
      <w:r w:rsidRPr="00615CA3">
        <w:rPr>
          <w:vertAlign w:val="superscript"/>
        </w:rPr>
        <w:t>3</w:t>
      </w:r>
      <w:r>
        <w:t xml:space="preserve"> DIN could represent a flow weighted average (for a single or multiple FMUs), or it could be the nitrogen instream criterion set for the mainstem river at the catchment/FMU node (ie, close to where the FMU discharges to the estuary).)</w:t>
      </w:r>
    </w:p>
  </w:footnote>
  <w:footnote w:id="17">
    <w:p w14:paraId="3A2913A8" w14:textId="52433E43" w:rsidR="00732BA1" w:rsidRPr="00615CA3" w:rsidRDefault="00732BA1" w:rsidP="00552375">
      <w:pPr>
        <w:pStyle w:val="FootnoteText"/>
        <w:rPr>
          <w:lang w:val="en-US"/>
        </w:rPr>
      </w:pPr>
      <w:r>
        <w:rPr>
          <w:rStyle w:val="FootnoteReference"/>
        </w:rPr>
        <w:footnoteRef/>
      </w:r>
      <w:r>
        <w:t xml:space="preserve"> </w:t>
      </w:r>
      <w:r>
        <w:tab/>
        <w:t>FMU nitrogen criteria are likely to be enumerated as dissolved inorganic nitrogen (DIN) or nitrate-N concentrations. In this example, a DIN/TN conversion factor of 0.7 has been applied.</w:t>
      </w:r>
    </w:p>
  </w:footnote>
  <w:footnote w:id="18">
    <w:p w14:paraId="54E3DCB6" w14:textId="775158CE" w:rsidR="00732BA1" w:rsidRPr="001C31DE" w:rsidRDefault="00732BA1" w:rsidP="00552375">
      <w:pPr>
        <w:pStyle w:val="FootnoteText"/>
        <w:rPr>
          <w:lang w:val="en-US"/>
        </w:rPr>
      </w:pPr>
      <w:r>
        <w:rPr>
          <w:rStyle w:val="FootnoteReference"/>
        </w:rPr>
        <w:footnoteRef/>
      </w:r>
      <w:r>
        <w:t xml:space="preserve"> </w:t>
      </w:r>
      <w:r>
        <w:tab/>
      </w:r>
      <w:r>
        <w:rPr>
          <w:lang w:val="en-US"/>
        </w:rPr>
        <w:t xml:space="preserve">Accepting a lower trophic-state objective (ie, lower environmental outcome) for the estuary would only be applicable if the current trophic state was a C band and the B-band objective was aspirational. If the current trophic state of the estuary was a B band then it would not be acceptable to select a lower environmental outcome for the receiving environment as this would result in degradation of current state. </w:t>
      </w:r>
    </w:p>
  </w:footnote>
  <w:footnote w:id="19">
    <w:p w14:paraId="4497134D" w14:textId="5F149727" w:rsidR="00732BA1" w:rsidRPr="001C31DE" w:rsidRDefault="00732BA1" w:rsidP="00552375">
      <w:pPr>
        <w:pStyle w:val="FootnoteText"/>
        <w:rPr>
          <w:lang w:val="en-US"/>
        </w:rPr>
      </w:pPr>
      <w:r>
        <w:rPr>
          <w:rStyle w:val="FootnoteReference"/>
        </w:rPr>
        <w:footnoteRef/>
      </w:r>
      <w:r>
        <w:t xml:space="preserve"> </w:t>
      </w:r>
      <w:r>
        <w:tab/>
      </w:r>
      <w:r>
        <w:rPr>
          <w:lang w:val="en-US"/>
        </w:rPr>
        <w:t>Although a single FMU criterion is shown, this will more than likely represent a flow weighted average of different instream nutrient criteria set within single, and in many cases, multiple, contributing upstream FMUs. The way that the regional council approaches reductions to meet receiving environment trophic-state objectives (ie, where [Y]</w:t>
      </w:r>
      <w:r>
        <w:rPr>
          <w:rFonts w:cs="Calibri"/>
          <w:lang w:val="en-US"/>
        </w:rPr>
        <w:t>≥</w:t>
      </w:r>
      <w:r>
        <w:rPr>
          <w:lang w:val="en-US"/>
        </w:rPr>
        <w:t xml:space="preserve">[Z]) is outside the scope of Clause 3.13. </w:t>
      </w:r>
    </w:p>
  </w:footnote>
  <w:footnote w:id="20">
    <w:p w14:paraId="72CC3B00" w14:textId="33F79E04" w:rsidR="00732BA1" w:rsidRPr="001C31DE" w:rsidRDefault="00732BA1" w:rsidP="00552375">
      <w:pPr>
        <w:pStyle w:val="FootnoteText"/>
        <w:rPr>
          <w:lang w:val="en-US"/>
        </w:rPr>
      </w:pPr>
      <w:r>
        <w:rPr>
          <w:rStyle w:val="FootnoteReference"/>
        </w:rPr>
        <w:footnoteRef/>
      </w:r>
      <w:r>
        <w:t xml:space="preserve"> </w:t>
      </w:r>
      <w:r>
        <w:tab/>
      </w:r>
      <w:r>
        <w:rPr>
          <w:lang w:val="en-US"/>
        </w:rPr>
        <w:t>This guidance section only relates to reconciling nutrient criteria to meet outcomes, it does not include any consideration of current state of the FMU or receiving environment. So, a 30% reduction here refers only to the instream criteria set</w:t>
      </w:r>
      <w:r w:rsidRPr="006C2B76">
        <w:rPr>
          <w:lang w:val="en-US"/>
        </w:rPr>
        <w:t xml:space="preserve"> </w:t>
      </w:r>
      <w:r>
        <w:rPr>
          <w:lang w:val="en-US"/>
        </w:rPr>
        <w:t>for the FMU. Whether this reduction translates into catchment nutrient reductions, or not, is dependent on the current state of the FMU and receiving environments.</w:t>
      </w:r>
    </w:p>
  </w:footnote>
  <w:footnote w:id="21">
    <w:p w14:paraId="20005A86" w14:textId="2ED62105" w:rsidR="00732BA1" w:rsidRPr="00FB29EF" w:rsidRDefault="00732BA1" w:rsidP="00552375">
      <w:pPr>
        <w:pStyle w:val="FootnoteText"/>
        <w:rPr>
          <w:lang w:val="en-US"/>
        </w:rPr>
      </w:pPr>
      <w:r>
        <w:rPr>
          <w:rStyle w:val="FootnoteReference"/>
        </w:rPr>
        <w:footnoteRef/>
      </w:r>
      <w:r>
        <w:t xml:space="preserve"> </w:t>
      </w:r>
      <w:r>
        <w:tab/>
      </w:r>
      <w:r>
        <w:rPr>
          <w:lang w:val="en-US"/>
        </w:rPr>
        <w:t>It is recommended that conversion factors be calculated from relevant monitoring data.</w:t>
      </w:r>
    </w:p>
  </w:footnote>
  <w:footnote w:id="22">
    <w:p w14:paraId="489D9355" w14:textId="315F222A" w:rsidR="00732BA1" w:rsidRPr="00A63C02" w:rsidRDefault="00732BA1" w:rsidP="00552375">
      <w:pPr>
        <w:pStyle w:val="FootnoteText"/>
        <w:rPr>
          <w:lang w:val="en-US"/>
        </w:rPr>
      </w:pPr>
      <w:r>
        <w:rPr>
          <w:rStyle w:val="FootnoteReference"/>
        </w:rPr>
        <w:footnoteRef/>
      </w:r>
      <w:r>
        <w:t xml:space="preserve"> </w:t>
      </w:r>
      <w:r>
        <w:tab/>
      </w:r>
      <w:r>
        <w:rPr>
          <w:lang w:val="en-US"/>
        </w:rPr>
        <w:t>As long as the lake meets the necessary criteria for application of the Vollenweider equations (</w:t>
      </w:r>
      <w:r w:rsidRPr="00BB40B8">
        <w:t>Janus and Vollenweider</w:t>
      </w:r>
      <w:r>
        <w:t>,</w:t>
      </w:r>
      <w:r w:rsidRPr="00BB40B8">
        <w:t xml:space="preserve"> 1981)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E2C1" w14:textId="0390CA4B" w:rsidR="00732BA1" w:rsidRDefault="00732BA1">
    <w:pPr>
      <w:pStyle w:val="Header"/>
    </w:pPr>
    <w:r>
      <w:rPr>
        <w:noProof/>
      </w:rPr>
      <mc:AlternateContent>
        <mc:Choice Requires="wps">
          <w:drawing>
            <wp:anchor distT="0" distB="0" distL="114300" distR="114300" simplePos="0" relativeHeight="251658242" behindDoc="0" locked="0" layoutInCell="0" allowOverlap="1" wp14:anchorId="730FED63" wp14:editId="324BC1D7">
              <wp:simplePos x="0" y="0"/>
              <wp:positionH relativeFrom="page">
                <wp:posOffset>0</wp:posOffset>
              </wp:positionH>
              <wp:positionV relativeFrom="page">
                <wp:posOffset>190500</wp:posOffset>
              </wp:positionV>
              <wp:extent cx="7560945" cy="273050"/>
              <wp:effectExtent l="0" t="0" r="0" b="12700"/>
              <wp:wrapNone/>
              <wp:docPr id="39" name="Text Box 39" descr="{&quot;HashCode&quot;:-362150897,&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57803F" w14:textId="0FC8C504"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0FED63" id="_x0000_t202" coordsize="21600,21600" o:spt="202" path="m,l,21600r21600,l21600,xe">
              <v:stroke joinstyle="miter"/>
              <v:path gradientshapeok="t" o:connecttype="rect"/>
            </v:shapetype>
            <v:shape id="Text Box 39" o:spid="_x0000_s1027" type="#_x0000_t202" alt="{&quot;HashCode&quot;:-362150897,&quot;Height&quot;:842.0,&quot;Width&quot;:595.0,&quot;Placement&quot;:&quot;Header&quot;,&quot;Index&quot;:&quot;OddAndEven&quot;,&quot;Section&quot;:1,&quot;Top&quot;:0.0,&quot;Left&quot;:0.0}" style="position:absolute;left:0;text-align:left;margin-left:0;margin-top:1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K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" o:allowincell="f" filled="f" stroked="f" strokeweight=".5pt">
              <v:textbox inset=",0,,0">
                <w:txbxContent>
                  <w:p w14:paraId="0657803F" w14:textId="0FC8C504"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9B6A" w14:textId="17C126FD" w:rsidR="00732BA1" w:rsidRPr="00DE7BF8" w:rsidRDefault="00732BA1" w:rsidP="00734B9A">
    <w:pPr>
      <w:pStyle w:val="Header"/>
      <w:ind w:left="-57"/>
      <w:jc w:val="left"/>
      <w:rPr>
        <w:rFonts w:ascii="Calibri" w:hAnsi="Calibri"/>
      </w:rPr>
    </w:pPr>
    <w:r>
      <w:rPr>
        <w:rFonts w:ascii="Calibri" w:hAnsi="Calibri"/>
        <w:noProof/>
      </w:rPr>
      <mc:AlternateContent>
        <mc:Choice Requires="wps">
          <w:drawing>
            <wp:anchor distT="0" distB="0" distL="114300" distR="114300" simplePos="0" relativeHeight="251658248" behindDoc="0" locked="0" layoutInCell="0" allowOverlap="1" wp14:anchorId="68017E57" wp14:editId="0C67B41E">
              <wp:simplePos x="0" y="0"/>
              <wp:positionH relativeFrom="page">
                <wp:posOffset>0</wp:posOffset>
              </wp:positionH>
              <wp:positionV relativeFrom="page">
                <wp:posOffset>190500</wp:posOffset>
              </wp:positionV>
              <wp:extent cx="7560945" cy="273050"/>
              <wp:effectExtent l="0" t="0" r="0" b="12700"/>
              <wp:wrapNone/>
              <wp:docPr id="12" name="Text Box 12" descr="{&quot;HashCode&quot;:-36215089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1DEFD5" w14:textId="1D18074E"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017E57" id="_x0000_t202" coordsize="21600,21600" o:spt="202" path="m,l,21600r21600,l21600,xe">
              <v:stroke joinstyle="miter"/>
              <v:path gradientshapeok="t" o:connecttype="rect"/>
            </v:shapetype>
            <v:shape id="Text Box 12" o:spid="_x0000_s1028" type="#_x0000_t202" alt="{&quot;HashCode&quot;:-362150897,&quot;Height&quot;:842.0,&quot;Width&quot;:595.0,&quot;Placement&quot;:&quot;Header&quot;,&quot;Index&quot;:&quot;Primary&quot;,&quot;Section&quot;:1,&quot;Top&quot;:0.0,&quot;Left&quot;:0.0}" style="position:absolute;left:0;text-align:left;margin-left:0;margin-top:1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vB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" o:allowincell="f" filled="f" stroked="f" strokeweight=".5pt">
              <v:textbox inset=",0,,0">
                <w:txbxContent>
                  <w:p w14:paraId="631DEFD5" w14:textId="1D18074E"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r>
      <w:rPr>
        <w:rFonts w:ascii="Calibri" w:hAnsi="Calibri"/>
        <w:noProof/>
      </w:rPr>
      <w:drawing>
        <wp:inline distT="0" distB="0" distL="0" distR="0" wp14:anchorId="209A50FF" wp14:editId="12410CDA">
          <wp:extent cx="2163600" cy="5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 logo CMYK JPEG.JPG"/>
                  <pic:cNvPicPr/>
                </pic:nvPicPr>
                <pic:blipFill rotWithShape="1">
                  <a:blip r:embed="rId1" cstate="print">
                    <a:extLst>
                      <a:ext uri="{28A0092B-C50C-407E-A947-70E740481C1C}">
                        <a14:useLocalDpi xmlns:a14="http://schemas.microsoft.com/office/drawing/2010/main" val="0"/>
                      </a:ext>
                    </a:extLst>
                  </a:blip>
                  <a:srcRect l="3898" t="9837" b="8997"/>
                  <a:stretch/>
                </pic:blipFill>
                <pic:spPr bwMode="auto">
                  <a:xfrm>
                    <a:off x="0" y="0"/>
                    <a:ext cx="2163600" cy="579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60ED" w14:textId="284A637D" w:rsidR="00732BA1" w:rsidRDefault="00732BA1" w:rsidP="0036151C">
    <w:r>
      <w:rPr>
        <w:noProof/>
      </w:rPr>
      <mc:AlternateContent>
        <mc:Choice Requires="wps">
          <w:drawing>
            <wp:anchor distT="0" distB="0" distL="114300" distR="114300" simplePos="0" relativeHeight="251658249" behindDoc="0" locked="0" layoutInCell="0" allowOverlap="1" wp14:anchorId="48D77000" wp14:editId="0524249C">
              <wp:simplePos x="0" y="0"/>
              <wp:positionH relativeFrom="page">
                <wp:posOffset>0</wp:posOffset>
              </wp:positionH>
              <wp:positionV relativeFrom="page">
                <wp:posOffset>190500</wp:posOffset>
              </wp:positionV>
              <wp:extent cx="7560945" cy="273050"/>
              <wp:effectExtent l="0" t="0" r="0" b="12700"/>
              <wp:wrapNone/>
              <wp:docPr id="13" name="Text Box 13" descr="{&quot;HashCode&quot;:-362150897,&quot;Height&quot;:842.0,&quot;Width&quot;:595.0,&quot;Placement&quot;:&quot;Head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52DC68" w14:textId="3DDCFA20"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D77000" id="_x0000_t202" coordsize="21600,21600" o:spt="202" path="m,l,21600r21600,l21600,xe">
              <v:stroke joinstyle="miter"/>
              <v:path gradientshapeok="t" o:connecttype="rect"/>
            </v:shapetype>
            <v:shape id="Text Box 13" o:spid="_x0000_s1031" type="#_x0000_t202" alt="{&quot;HashCode&quot;:-362150897,&quot;Height&quot;:842.0,&quot;Width&quot;:595.0,&quot;Placement&quot;:&quot;Header&quot;,&quot;Index&quot;:&quot;OddAndEven&quot;,&quot;Section&quot;:2,&quot;Top&quot;:0.0,&quot;Left&quot;:0.0}" style="position:absolute;left:0;text-align:left;margin-left:0;margin-top:1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Dpvq8GGAIAACsEAAAOAAAAAAAAAAAAAAAAAC4CAABkcnMvZTJvRG9jLnhtbFBLAQItABQABgAI&#10;AAAAIQAKOYWI3AAAAAcBAAAPAAAAAAAAAAAAAAAAAHIEAABkcnMvZG93bnJldi54bWxQSwUGAAAA&#10;AAQABADzAAAAewUAAAAA&#10;" o:allowincell="f" filled="f" stroked="f" strokeweight=".5pt">
              <v:textbox inset=",0,,0">
                <w:txbxContent>
                  <w:p w14:paraId="6552DC68" w14:textId="3DDCFA20"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641A" w14:textId="2334D29E" w:rsidR="00732BA1" w:rsidRDefault="00732BA1">
    <w:pPr>
      <w:pStyle w:val="Header"/>
    </w:pPr>
    <w:r>
      <w:rPr>
        <w:noProof/>
      </w:rPr>
      <mc:AlternateContent>
        <mc:Choice Requires="wps">
          <w:drawing>
            <wp:anchor distT="0" distB="0" distL="114300" distR="114300" simplePos="0" relativeHeight="251658243" behindDoc="0" locked="0" layoutInCell="0" allowOverlap="1" wp14:anchorId="66026CCC" wp14:editId="33DA5A04">
              <wp:simplePos x="0" y="0"/>
              <wp:positionH relativeFrom="page">
                <wp:posOffset>0</wp:posOffset>
              </wp:positionH>
              <wp:positionV relativeFrom="page">
                <wp:posOffset>190500</wp:posOffset>
              </wp:positionV>
              <wp:extent cx="7560945" cy="273050"/>
              <wp:effectExtent l="0" t="0" r="0" b="12700"/>
              <wp:wrapNone/>
              <wp:docPr id="41" name="Text Box 41" descr="{&quot;HashCode&quot;:-362150897,&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91DFA" w14:textId="243AD145" w:rsidR="00732BA1" w:rsidRPr="00CF3EC6" w:rsidRDefault="00732BA1"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026CCC" id="_x0000_t202" coordsize="21600,21600" o:spt="202" path="m,l,21600r21600,l21600,xe">
              <v:stroke joinstyle="miter"/>
              <v:path gradientshapeok="t" o:connecttype="rect"/>
            </v:shapetype>
            <v:shape id="Text Box 41" o:spid="_x0000_s1032" type="#_x0000_t202" alt="{&quot;HashCode&quot;:-362150897,&quot;Height&quot;:842.0,&quot;Width&quot;:595.0,&quot;Placement&quot;:&quot;Header&quot;,&quot;Index&quot;:&quot;Primary&quot;,&quot;Section&quot;:2,&quot;Top&quot;:0.0,&quot;Left&quot;:0.0}" style="position:absolute;left:0;text-align:left;margin-left:0;margin-top:1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AZMS6OGAIAACsEAAAOAAAAAAAAAAAAAAAAAC4CAABkcnMvZTJvRG9jLnhtbFBLAQItABQABgAI&#10;AAAAIQAKOYWI3AAAAAcBAAAPAAAAAAAAAAAAAAAAAHIEAABkcnMvZG93bnJldi54bWxQSwUGAAAA&#10;AAQABADzAAAAewUAAAAA&#10;" o:allowincell="f" filled="f" stroked="f" strokeweight=".5pt">
              <v:textbox inset=",0,,0">
                <w:txbxContent>
                  <w:p w14:paraId="68F91DFA" w14:textId="243AD145" w:rsidR="00732BA1" w:rsidRPr="00CF3EC6" w:rsidRDefault="00732BA1" w:rsidP="00CF3EC6">
                    <w:pPr>
                      <w:spacing w:before="0" w:after="0"/>
                      <w:jc w:val="center"/>
                      <w:rPr>
                        <w:rFonts w:cs="Calibri"/>
                        <w:color w:val="000000"/>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2701" w14:textId="677C5E30" w:rsidR="00732BA1" w:rsidRDefault="00732B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2FB61" w14:textId="55A17353" w:rsidR="00732BA1" w:rsidRDefault="00EE622E">
    <w:pPr>
      <w:pStyle w:val="Header"/>
    </w:pPr>
    <w:r>
      <w:rPr>
        <w:noProof/>
      </w:rPr>
      <mc:AlternateContent>
        <mc:Choice Requires="wps">
          <w:drawing>
            <wp:anchor distT="0" distB="0" distL="114300" distR="114300" simplePos="0" relativeHeight="251658251" behindDoc="0" locked="0" layoutInCell="0" allowOverlap="1" wp14:anchorId="2DD20C92" wp14:editId="05DFD3CB">
              <wp:simplePos x="0" y="0"/>
              <wp:positionH relativeFrom="page">
                <wp:posOffset>0</wp:posOffset>
              </wp:positionH>
              <wp:positionV relativeFrom="page">
                <wp:posOffset>190500</wp:posOffset>
              </wp:positionV>
              <wp:extent cx="7560945" cy="273050"/>
              <wp:effectExtent l="0" t="0" r="0" b="12700"/>
              <wp:wrapNone/>
              <wp:docPr id="22" name="Text Box 22" descr="{&quot;HashCode&quot;:-362150897,&quot;Height&quot;:842.0,&quot;Width&quot;:595.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44F79" w14:textId="4D5413AD" w:rsidR="00EE622E" w:rsidRPr="00CF3EC6" w:rsidRDefault="00EE622E"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D20C92" id="_x0000_t202" coordsize="21600,21600" o:spt="202" path="m,l,21600r21600,l21600,xe">
              <v:stroke joinstyle="miter"/>
              <v:path gradientshapeok="t" o:connecttype="rect"/>
            </v:shapetype>
            <v:shape id="Text Box 22" o:spid="_x0000_s1035" type="#_x0000_t202" alt="{&quot;HashCode&quot;:-362150897,&quot;Height&quot;:842.0,&quot;Width&quot;:595.0,&quot;Placement&quot;:&quot;Header&quot;,&quot;Index&quot;:&quot;OddAndEven&quot;,&quot;Section&quot;:3,&quot;Top&quot;:0.0,&quot;Left&quot;:0.0}" style="position:absolute;left:0;text-align:left;margin-left:0;margin-top:1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DWGA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oH8953QsbXwcVqFZNQVYb5jd4aHkoHzAKy&#10;L+0rs6aH3yNxjzCIi2UfWOhyO7RXBw+yihQFfDs0e9hRkZG5/vUEyb/9j1mXN778DQ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Ds4RDWGAIAACsEAAAOAAAAAAAAAAAAAAAAAC4CAABkcnMvZTJvRG9jLnhtbFBLAQItABQABgAI&#10;AAAAIQAKOYWI3AAAAAcBAAAPAAAAAAAAAAAAAAAAAHIEAABkcnMvZG93bnJldi54bWxQSwUGAAAA&#10;AAQABADzAAAAewUAAAAA&#10;" o:allowincell="f" filled="f" stroked="f" strokeweight=".5pt">
              <v:textbox inset=",0,,0">
                <w:txbxContent>
                  <w:p w14:paraId="02D44F79" w14:textId="4D5413AD" w:rsidR="00EE622E" w:rsidRPr="00CF3EC6" w:rsidRDefault="00EE622E" w:rsidP="00CF3EC6">
                    <w:pPr>
                      <w:spacing w:before="0" w:after="0"/>
                      <w:jc w:val="center"/>
                      <w:rPr>
                        <w:rFonts w:cs="Calibri"/>
                        <w:color w:val="000000"/>
                        <w:sz w:val="18"/>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A10E" w14:textId="146B55E7" w:rsidR="00732BA1" w:rsidRDefault="00EE622E" w:rsidP="00CC069C">
    <w:pPr>
      <w:pStyle w:val="Header"/>
      <w:spacing w:before="0"/>
    </w:pPr>
    <w:r>
      <w:rPr>
        <w:noProof/>
      </w:rPr>
      <mc:AlternateContent>
        <mc:Choice Requires="wps">
          <w:drawing>
            <wp:anchor distT="0" distB="0" distL="114300" distR="114300" simplePos="0" relativeHeight="251658250" behindDoc="0" locked="0" layoutInCell="0" allowOverlap="1" wp14:anchorId="74CB4918" wp14:editId="73DA1292">
              <wp:simplePos x="0" y="0"/>
              <wp:positionH relativeFrom="page">
                <wp:posOffset>0</wp:posOffset>
              </wp:positionH>
              <wp:positionV relativeFrom="page">
                <wp:posOffset>190500</wp:posOffset>
              </wp:positionV>
              <wp:extent cx="7560945" cy="273050"/>
              <wp:effectExtent l="0" t="0" r="0" b="12700"/>
              <wp:wrapNone/>
              <wp:docPr id="15" name="Text Box 15" descr="{&quot;HashCode&quot;:-362150897,&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1902E" w14:textId="61747FB4" w:rsidR="00EE622E" w:rsidRPr="00CF3EC6" w:rsidRDefault="00EE622E" w:rsidP="00CF3EC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CB4918" id="_x0000_t202" coordsize="21600,21600" o:spt="202" path="m,l,21600r21600,l21600,xe">
              <v:stroke joinstyle="miter"/>
              <v:path gradientshapeok="t" o:connecttype="rect"/>
            </v:shapetype>
            <v:shape id="Text Box 15" o:spid="_x0000_s1036" type="#_x0000_t202" alt="{&quot;HashCode&quot;:-362150897,&quot;Height&quot;:842.0,&quot;Width&quot;:595.0,&quot;Placement&quot;:&quot;Header&quot;,&quot;Index&quot;:&quot;Primary&quot;,&quot;Section&quot;:3,&quot;Top&quot;:0.0,&quot;Left&quot;:0.0}" style="position:absolute;left:0;text-align:left;margin-left:0;margin-top:1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Fe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PrBvPedkPF1cLFexyRUlWF+q3eGh9IBs4Ds&#10;S/vKrOnh90jcIwziYtk7FrrcDu310YOsIkUB3w7NHnZUZGSufz1B8m//Y9b1ja9+AQ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AcbpFeGAIAACsEAAAOAAAAAAAAAAAAAAAAAC4CAABkcnMvZTJvRG9jLnhtbFBLAQItABQABgAI&#10;AAAAIQAKOYWI3AAAAAcBAAAPAAAAAAAAAAAAAAAAAHIEAABkcnMvZG93bnJldi54bWxQSwUGAAAA&#10;AAQABADzAAAAewUAAAAA&#10;" o:allowincell="f" filled="f" stroked="f" strokeweight=".5pt">
              <v:textbox inset=",0,,0">
                <w:txbxContent>
                  <w:p w14:paraId="3131902E" w14:textId="61747FB4" w:rsidR="00EE622E" w:rsidRPr="00CF3EC6" w:rsidRDefault="00EE622E" w:rsidP="00CF3EC6">
                    <w:pPr>
                      <w:spacing w:before="0" w:after="0"/>
                      <w:jc w:val="center"/>
                      <w:rPr>
                        <w:rFonts w:cs="Calibri"/>
                        <w:color w:val="000000"/>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7320" w14:textId="3C80B42A" w:rsidR="00732BA1" w:rsidRDefault="00732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4B64E4"/>
    <w:multiLevelType w:val="hybridMultilevel"/>
    <w:tmpl w:val="B7A60F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AFF7A94"/>
    <w:multiLevelType w:val="hybridMultilevel"/>
    <w:tmpl w:val="D74637E6"/>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4" w15:restartNumberingAfterBreak="0">
    <w:nsid w:val="0B0F5F0E"/>
    <w:multiLevelType w:val="multilevel"/>
    <w:tmpl w:val="7AAEF59A"/>
    <w:lvl w:ilvl="0">
      <w:start w:val="1"/>
      <w:numFmt w:val="bullet"/>
      <w:pStyle w:val="Greenbullet-casestudytables"/>
      <w:lvlText w:val=""/>
      <w:lvlJc w:val="left"/>
      <w:pPr>
        <w:ind w:left="680" w:hanging="396"/>
      </w:pPr>
      <w:rPr>
        <w:rFonts w:ascii="Symbol" w:hAnsi="Symbol" w:hint="default"/>
        <w:color w:val="0F7B7D"/>
        <w:sz w:val="16"/>
        <w:szCs w:val="16"/>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C1A61AC"/>
    <w:multiLevelType w:val="hybridMultilevel"/>
    <w:tmpl w:val="A8DC8BE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 w15:restartNumberingAfterBreak="0">
    <w:nsid w:val="0CA36D89"/>
    <w:multiLevelType w:val="hybridMultilevel"/>
    <w:tmpl w:val="C8527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917D71"/>
    <w:multiLevelType w:val="hybridMultilevel"/>
    <w:tmpl w:val="D68C586E"/>
    <w:lvl w:ilvl="0" w:tplc="62E2E020">
      <w:start w:val="3"/>
      <w:numFmt w:val="bullet"/>
      <w:lvlText w:val="-"/>
      <w:lvlJc w:val="left"/>
      <w:pPr>
        <w:ind w:left="644" w:hanging="360"/>
      </w:pPr>
      <w:rPr>
        <w:rFonts w:ascii="Calibri" w:eastAsiaTheme="minorEastAsia" w:hAnsi="Calibri" w:cs="Calibri" w:hint="default"/>
      </w:rPr>
    </w:lvl>
    <w:lvl w:ilvl="1" w:tplc="14090003">
      <w:start w:val="1"/>
      <w:numFmt w:val="bullet"/>
      <w:lvlText w:val="o"/>
      <w:lvlJc w:val="left"/>
      <w:pPr>
        <w:ind w:left="1364" w:hanging="360"/>
      </w:pPr>
      <w:rPr>
        <w:rFonts w:ascii="Courier New" w:hAnsi="Courier New" w:cs="Courier New" w:hint="default"/>
      </w:rPr>
    </w:lvl>
    <w:lvl w:ilvl="2" w:tplc="14090005">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8"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C77454"/>
    <w:multiLevelType w:val="hybridMultilevel"/>
    <w:tmpl w:val="E9E0DEDA"/>
    <w:lvl w:ilvl="0" w:tplc="D1F8B5AA">
      <w:start w:val="1"/>
      <w:numFmt w:val="decimal"/>
      <w:pStyle w:val="Note1"/>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9A155D"/>
    <w:multiLevelType w:val="hybridMultilevel"/>
    <w:tmpl w:val="881C3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2" w15:restartNumberingAfterBreak="0">
    <w:nsid w:val="1F610DA1"/>
    <w:multiLevelType w:val="hybridMultilevel"/>
    <w:tmpl w:val="2E560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A82033"/>
    <w:multiLevelType w:val="hybridMultilevel"/>
    <w:tmpl w:val="D8909D16"/>
    <w:lvl w:ilvl="0" w:tplc="F5F8C6BE">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4"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96D79B1"/>
    <w:multiLevelType w:val="multilevel"/>
    <w:tmpl w:val="2DC0996C"/>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1" w15:restartNumberingAfterBreak="0">
    <w:nsid w:val="29776BF1"/>
    <w:multiLevelType w:val="multilevel"/>
    <w:tmpl w:val="B8C4CEB0"/>
    <w:lvl w:ilvl="0">
      <w:start w:val="1"/>
      <w:numFmt w:val="decimal"/>
      <w:lvlText w:val="%1."/>
      <w:lvlJc w:val="left"/>
      <w:pPr>
        <w:ind w:left="0" w:firstLine="397"/>
      </w:pPr>
      <w:rPr>
        <w:rFonts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97C3E32"/>
    <w:multiLevelType w:val="hybridMultilevel"/>
    <w:tmpl w:val="5A723E16"/>
    <w:lvl w:ilvl="0" w:tplc="46C20F7A">
      <w:start w:val="1"/>
      <w:numFmt w:val="bullet"/>
      <w:pStyle w:val="Note2"/>
      <w:lvlText w:val="*"/>
      <w:lvlJc w:val="left"/>
      <w:pPr>
        <w:ind w:left="397" w:hanging="39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6" w15:restartNumberingAfterBreak="0">
    <w:nsid w:val="2D70696B"/>
    <w:multiLevelType w:val="hybridMultilevel"/>
    <w:tmpl w:val="CA9C4A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E6F201E"/>
    <w:multiLevelType w:val="multilevel"/>
    <w:tmpl w:val="C7440BB4"/>
    <w:numStyleLink w:val="Style2"/>
  </w:abstractNum>
  <w:abstractNum w:abstractNumId="2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9"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2F1357"/>
    <w:multiLevelType w:val="hybridMultilevel"/>
    <w:tmpl w:val="7A14E2F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2"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9D7402"/>
    <w:multiLevelType w:val="hybridMultilevel"/>
    <w:tmpl w:val="EB689CCC"/>
    <w:lvl w:ilvl="0" w:tplc="E8CC79EC">
      <w:start w:val="1"/>
      <w:numFmt w:val="bullet"/>
      <w:lvlText w:val="•"/>
      <w:lvlJc w:val="left"/>
      <w:pPr>
        <w:ind w:left="397" w:hanging="397"/>
      </w:pPr>
      <w:rPr>
        <w:rFonts w:asciiTheme="minorHAnsi" w:hAnsiTheme="minorHAnsi" w:hint="default"/>
      </w:rPr>
    </w:lvl>
    <w:lvl w:ilvl="1" w:tplc="07B06F72">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0B4E27"/>
    <w:multiLevelType w:val="multilevel"/>
    <w:tmpl w:val="F36E66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F4C7EE6"/>
    <w:multiLevelType w:val="hybridMultilevel"/>
    <w:tmpl w:val="DB1A307C"/>
    <w:lvl w:ilvl="0" w:tplc="FBE65580">
      <w:start w:val="1"/>
      <w:numFmt w:val="bullet"/>
      <w:lvlText w:val="-"/>
      <w:lvlJc w:val="left"/>
      <w:pPr>
        <w:ind w:left="720" w:hanging="360"/>
      </w:pPr>
      <w:rPr>
        <w:rFonts w:ascii="Calibri" w:eastAsia="Times New Roman"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F8C0C1E"/>
    <w:multiLevelType w:val="multilevel"/>
    <w:tmpl w:val="5436221E"/>
    <w:lvl w:ilvl="0">
      <w:start w:val="1"/>
      <w:numFmt w:val="bullet"/>
      <w:pStyle w:val="ListBullet"/>
      <w:lvlText w:val="•"/>
      <w:lvlJc w:val="left"/>
      <w:pPr>
        <w:ind w:left="397" w:hanging="397"/>
      </w:pPr>
      <w:rPr>
        <w:rFonts w:ascii="Calibri" w:hAnsi="Calibri" w:hint="default"/>
        <w:sz w:val="20"/>
      </w:rPr>
    </w:lvl>
    <w:lvl w:ilvl="1">
      <w:start w:val="1"/>
      <w:numFmt w:val="bullet"/>
      <w:pStyle w:val="ListBullet2"/>
      <w:lvlText w:val="–"/>
      <w:lvlJc w:val="left"/>
      <w:pPr>
        <w:ind w:left="794" w:hanging="397"/>
      </w:pPr>
      <w:rPr>
        <w:rFonts w:ascii="Calibri" w:hAnsi="Calibri" w:hint="default"/>
      </w:rPr>
    </w:lvl>
    <w:lvl w:ilvl="2">
      <w:start w:val="1"/>
      <w:numFmt w:val="lowerLetter"/>
      <w:lvlText w:val="%3."/>
      <w:lvlJc w:val="left"/>
      <w:pPr>
        <w:ind w:left="1191" w:hanging="397"/>
      </w:pPr>
      <w:rPr>
        <w:rFonts w:hint="default"/>
      </w:rPr>
    </w:lvl>
    <w:lvl w:ilvl="3">
      <w:start w:val="1"/>
      <w:numFmt w:val="lowerRoman"/>
      <w:pStyle w:val="ListBullet4"/>
      <w:lvlText w:val="%4."/>
      <w:lvlJc w:val="left"/>
      <w:pPr>
        <w:ind w:left="1588" w:hanging="397"/>
      </w:pPr>
      <w:rPr>
        <w:rFonts w:hint="default"/>
      </w:rPr>
    </w:lvl>
    <w:lvl w:ilvl="4">
      <w:start w:val="1"/>
      <w:numFmt w:val="bullet"/>
      <w:pStyle w:val="ListBullet5"/>
      <w:lvlText w:val="•"/>
      <w:lvlJc w:val="left"/>
      <w:pPr>
        <w:ind w:left="1985" w:hanging="397"/>
      </w:pPr>
      <w:rPr>
        <w:rFonts w:ascii="Calibri" w:hAnsi="Calibri" w:hint="default"/>
        <w:sz w:val="20"/>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38" w15:restartNumberingAfterBreak="0">
    <w:nsid w:val="420E4A06"/>
    <w:multiLevelType w:val="hybridMultilevel"/>
    <w:tmpl w:val="0BC4D1F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49A0A82"/>
    <w:multiLevelType w:val="hybridMultilevel"/>
    <w:tmpl w:val="E1C4B71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4" w15:restartNumberingAfterBreak="0">
    <w:nsid w:val="470971AF"/>
    <w:multiLevelType w:val="multilevel"/>
    <w:tmpl w:val="1A98A1FE"/>
    <w:lvl w:ilvl="0">
      <w:start w:val="1"/>
      <w:numFmt w:val="lowerLetter"/>
      <w:pStyle w:val="Sub-listabc"/>
      <w:lvlText w:val="%1)"/>
      <w:lvlJc w:val="left"/>
      <w:pPr>
        <w:ind w:left="0" w:firstLine="397"/>
      </w:pPr>
      <w:rPr>
        <w:rFonts w:ascii="Calibri" w:hAnsi="Calibr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8EE0982"/>
    <w:multiLevelType w:val="multilevel"/>
    <w:tmpl w:val="CFD4A7C6"/>
    <w:lvl w:ilvl="0">
      <w:start w:val="1"/>
      <w:numFmt w:val="decimal"/>
      <w:lvlText w:val="%1."/>
      <w:lvlJc w:val="left"/>
      <w:pPr>
        <w:ind w:left="644" w:hanging="360"/>
      </w:pPr>
      <w:rPr>
        <w:rFonts w:hint="default"/>
        <w:color w:val="1C556C"/>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6" w15:restartNumberingAfterBreak="0">
    <w:nsid w:val="4C24459B"/>
    <w:multiLevelType w:val="hybridMultilevel"/>
    <w:tmpl w:val="ACA8214C"/>
    <w:lvl w:ilvl="0" w:tplc="80C0E5C8">
      <w:start w:val="1"/>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C686F3A"/>
    <w:multiLevelType w:val="hybridMultilevel"/>
    <w:tmpl w:val="FCB6668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26C41B4"/>
    <w:multiLevelType w:val="hybridMultilevel"/>
    <w:tmpl w:val="CEF8B4E4"/>
    <w:lvl w:ilvl="0" w:tplc="B8B690C2">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53203B81"/>
    <w:multiLevelType w:val="hybridMultilevel"/>
    <w:tmpl w:val="7988FA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52" w15:restartNumberingAfterBreak="0">
    <w:nsid w:val="543831AC"/>
    <w:multiLevelType w:val="hybridMultilevel"/>
    <w:tmpl w:val="78CC8E76"/>
    <w:lvl w:ilvl="0" w:tplc="14090011">
      <w:start w:val="1"/>
      <w:numFmt w:val="decimal"/>
      <w:lvlText w:val="%1)"/>
      <w:lvlJc w:val="left"/>
      <w:pPr>
        <w:ind w:left="-1541" w:hanging="360"/>
      </w:pPr>
      <w:rPr>
        <w:rFonts w:hint="default"/>
      </w:rPr>
    </w:lvl>
    <w:lvl w:ilvl="1" w:tplc="14090019">
      <w:start w:val="1"/>
      <w:numFmt w:val="lowerLetter"/>
      <w:lvlText w:val="%2."/>
      <w:lvlJc w:val="left"/>
      <w:pPr>
        <w:ind w:left="-821" w:hanging="360"/>
      </w:pPr>
    </w:lvl>
    <w:lvl w:ilvl="2" w:tplc="1409001B">
      <w:start w:val="1"/>
      <w:numFmt w:val="lowerRoman"/>
      <w:lvlText w:val="%3."/>
      <w:lvlJc w:val="right"/>
      <w:pPr>
        <w:ind w:left="-101" w:hanging="180"/>
      </w:pPr>
    </w:lvl>
    <w:lvl w:ilvl="3" w:tplc="1409000F" w:tentative="1">
      <w:start w:val="1"/>
      <w:numFmt w:val="decimal"/>
      <w:lvlText w:val="%4."/>
      <w:lvlJc w:val="left"/>
      <w:pPr>
        <w:ind w:left="619" w:hanging="360"/>
      </w:pPr>
    </w:lvl>
    <w:lvl w:ilvl="4" w:tplc="14090019" w:tentative="1">
      <w:start w:val="1"/>
      <w:numFmt w:val="lowerLetter"/>
      <w:lvlText w:val="%5."/>
      <w:lvlJc w:val="left"/>
      <w:pPr>
        <w:ind w:left="1339" w:hanging="360"/>
      </w:pPr>
    </w:lvl>
    <w:lvl w:ilvl="5" w:tplc="1409001B" w:tentative="1">
      <w:start w:val="1"/>
      <w:numFmt w:val="lowerRoman"/>
      <w:lvlText w:val="%6."/>
      <w:lvlJc w:val="right"/>
      <w:pPr>
        <w:ind w:left="2059" w:hanging="180"/>
      </w:pPr>
    </w:lvl>
    <w:lvl w:ilvl="6" w:tplc="1409000F" w:tentative="1">
      <w:start w:val="1"/>
      <w:numFmt w:val="decimal"/>
      <w:lvlText w:val="%7."/>
      <w:lvlJc w:val="left"/>
      <w:pPr>
        <w:ind w:left="2779" w:hanging="360"/>
      </w:pPr>
    </w:lvl>
    <w:lvl w:ilvl="7" w:tplc="14090019" w:tentative="1">
      <w:start w:val="1"/>
      <w:numFmt w:val="lowerLetter"/>
      <w:lvlText w:val="%8."/>
      <w:lvlJc w:val="left"/>
      <w:pPr>
        <w:ind w:left="3499" w:hanging="360"/>
      </w:pPr>
    </w:lvl>
    <w:lvl w:ilvl="8" w:tplc="1409001B" w:tentative="1">
      <w:start w:val="1"/>
      <w:numFmt w:val="lowerRoman"/>
      <w:lvlText w:val="%9."/>
      <w:lvlJc w:val="right"/>
      <w:pPr>
        <w:ind w:left="4219" w:hanging="180"/>
      </w:pPr>
    </w:lvl>
  </w:abstractNum>
  <w:abstractNum w:abstractNumId="53"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E7B715C"/>
    <w:multiLevelType w:val="hybridMultilevel"/>
    <w:tmpl w:val="202A37D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5FC67DA4"/>
    <w:multiLevelType w:val="hybridMultilevel"/>
    <w:tmpl w:val="82F8FF3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47B02F9"/>
    <w:multiLevelType w:val="hybridMultilevel"/>
    <w:tmpl w:val="64AA638E"/>
    <w:lvl w:ilvl="0" w:tplc="26BA2960">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60"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7A3EBD"/>
    <w:multiLevelType w:val="hybridMultilevel"/>
    <w:tmpl w:val="62BC36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C042717"/>
    <w:multiLevelType w:val="multilevel"/>
    <w:tmpl w:val="DCDEB9D0"/>
    <w:numStyleLink w:val="Style1"/>
  </w:abstractNum>
  <w:abstractNum w:abstractNumId="63" w15:restartNumberingAfterBreak="0">
    <w:nsid w:val="6CDF778E"/>
    <w:multiLevelType w:val="hybridMultilevel"/>
    <w:tmpl w:val="4DB0C7A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4" w15:restartNumberingAfterBreak="0">
    <w:nsid w:val="6D8D1890"/>
    <w:multiLevelType w:val="hybridMultilevel"/>
    <w:tmpl w:val="0AE20408"/>
    <w:lvl w:ilvl="0" w:tplc="14090001">
      <w:start w:val="1"/>
      <w:numFmt w:val="bullet"/>
      <w:lvlText w:val=""/>
      <w:lvlJc w:val="left"/>
      <w:pPr>
        <w:ind w:left="1434" w:hanging="360"/>
      </w:pPr>
      <w:rPr>
        <w:rFonts w:ascii="Symbol" w:hAnsi="Symbol" w:hint="default"/>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abstractNum w:abstractNumId="6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7" w15:restartNumberingAfterBreak="0">
    <w:nsid w:val="709C5346"/>
    <w:multiLevelType w:val="hybridMultilevel"/>
    <w:tmpl w:val="78C0D9F4"/>
    <w:lvl w:ilvl="0" w:tplc="5A10729E">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666E38"/>
    <w:multiLevelType w:val="hybridMultilevel"/>
    <w:tmpl w:val="FCB6668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785768E7"/>
    <w:multiLevelType w:val="multilevel"/>
    <w:tmpl w:val="2D3A613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bullet"/>
      <w:lvlText w:val="–"/>
      <w:lvlJc w:val="left"/>
      <w:pPr>
        <w:ind w:left="1588" w:hanging="397"/>
      </w:pPr>
      <w:rPr>
        <w:rFonts w:ascii="Calibri" w:hAnsi="Calibri" w:hint="default"/>
      </w:rPr>
    </w:lvl>
    <w:lvl w:ilvl="4">
      <w:start w:val="1"/>
      <w:numFmt w:val="bullet"/>
      <w:pStyle w:val="ListNumber5"/>
      <w:lvlText w:val="•"/>
      <w:lvlJc w:val="left"/>
      <w:pPr>
        <w:ind w:left="1985" w:hanging="397"/>
      </w:pPr>
      <w:rPr>
        <w:rFonts w:ascii="Calibri" w:hAnsi="Calibri" w:hint="default"/>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Calibri" w:hAnsi="Calibri" w:hint="default"/>
      </w:rPr>
    </w:lvl>
    <w:lvl w:ilvl="7">
      <w:start w:val="1"/>
      <w:numFmt w:val="bullet"/>
      <w:lvlText w:val="–"/>
      <w:lvlJc w:val="left"/>
      <w:pPr>
        <w:ind w:left="3176" w:hanging="397"/>
      </w:pPr>
      <w:rPr>
        <w:rFonts w:ascii="Calibri" w:hAnsi="Calibri" w:hint="default"/>
      </w:rPr>
    </w:lvl>
    <w:lvl w:ilvl="8">
      <w:start w:val="1"/>
      <w:numFmt w:val="bullet"/>
      <w:lvlText w:val="•"/>
      <w:lvlJc w:val="left"/>
      <w:pPr>
        <w:ind w:left="3573" w:hanging="397"/>
      </w:pPr>
      <w:rPr>
        <w:rFonts w:ascii="Calibri" w:hAnsi="Calibri" w:hint="default"/>
      </w:rPr>
    </w:lvl>
  </w:abstractNum>
  <w:abstractNum w:abstractNumId="73" w15:restartNumberingAfterBreak="0">
    <w:nsid w:val="7B01265C"/>
    <w:multiLevelType w:val="hybridMultilevel"/>
    <w:tmpl w:val="A796B1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B815101"/>
    <w:multiLevelType w:val="hybridMultilevel"/>
    <w:tmpl w:val="DBA016B8"/>
    <w:lvl w:ilvl="0" w:tplc="D59C4D0E">
      <w:start w:val="1"/>
      <w:numFmt w:val="lowerRoman"/>
      <w:lvlText w:val="%1)"/>
      <w:lvlJc w:val="left"/>
      <w:pPr>
        <w:ind w:left="720" w:hanging="360"/>
      </w:pPr>
      <w:rPr>
        <w:rFonts w:ascii="Calibri" w:eastAsia="Times New Roman" w:hAnsi="Calibri" w:cs="Times New Roman"/>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76" w15:restartNumberingAfterBreak="0">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081295524">
    <w:abstractNumId w:val="28"/>
  </w:num>
  <w:num w:numId="2" w16cid:durableId="922833964">
    <w:abstractNumId w:val="51"/>
  </w:num>
  <w:num w:numId="3" w16cid:durableId="329910643">
    <w:abstractNumId w:val="75"/>
  </w:num>
  <w:num w:numId="4" w16cid:durableId="238292180">
    <w:abstractNumId w:val="39"/>
  </w:num>
  <w:num w:numId="5" w16cid:durableId="617641619">
    <w:abstractNumId w:val="25"/>
  </w:num>
  <w:num w:numId="6" w16cid:durableId="1539658714">
    <w:abstractNumId w:val="16"/>
  </w:num>
  <w:num w:numId="7" w16cid:durableId="1836408768">
    <w:abstractNumId w:val="43"/>
  </w:num>
  <w:num w:numId="8" w16cid:durableId="374934203">
    <w:abstractNumId w:val="41"/>
  </w:num>
  <w:num w:numId="9" w16cid:durableId="1261765890">
    <w:abstractNumId w:val="70"/>
  </w:num>
  <w:num w:numId="10" w16cid:durableId="16147041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7200934">
    <w:abstractNumId w:val="2"/>
  </w:num>
  <w:num w:numId="12" w16cid:durableId="637301095">
    <w:abstractNumId w:val="59"/>
  </w:num>
  <w:num w:numId="13" w16cid:durableId="1282806314">
    <w:abstractNumId w:val="24"/>
  </w:num>
  <w:num w:numId="14" w16cid:durableId="1538935419">
    <w:abstractNumId w:val="62"/>
  </w:num>
  <w:num w:numId="15" w16cid:durableId="1196843501">
    <w:abstractNumId w:val="40"/>
  </w:num>
  <w:num w:numId="16" w16cid:durableId="1104035135">
    <w:abstractNumId w:val="23"/>
  </w:num>
  <w:num w:numId="17" w16cid:durableId="822812446">
    <w:abstractNumId w:val="60"/>
  </w:num>
  <w:num w:numId="18" w16cid:durableId="568535441">
    <w:abstractNumId w:val="53"/>
  </w:num>
  <w:num w:numId="19" w16cid:durableId="1855072403">
    <w:abstractNumId w:val="65"/>
  </w:num>
  <w:num w:numId="20" w16cid:durableId="1339893836">
    <w:abstractNumId w:val="27"/>
  </w:num>
  <w:num w:numId="21" w16cid:durableId="2058040523">
    <w:abstractNumId w:val="54"/>
  </w:num>
  <w:num w:numId="22" w16cid:durableId="1527864564">
    <w:abstractNumId w:val="11"/>
  </w:num>
  <w:num w:numId="23" w16cid:durableId="650330632">
    <w:abstractNumId w:val="48"/>
  </w:num>
  <w:num w:numId="24" w16cid:durableId="1911161157">
    <w:abstractNumId w:val="29"/>
  </w:num>
  <w:num w:numId="25" w16cid:durableId="116339029">
    <w:abstractNumId w:val="69"/>
  </w:num>
  <w:num w:numId="26" w16cid:durableId="597762730">
    <w:abstractNumId w:val="57"/>
  </w:num>
  <w:num w:numId="27" w16cid:durableId="1323316251">
    <w:abstractNumId w:val="0"/>
  </w:num>
  <w:num w:numId="28" w16cid:durableId="1905528968">
    <w:abstractNumId w:val="32"/>
  </w:num>
  <w:num w:numId="29" w16cid:durableId="259338694">
    <w:abstractNumId w:val="17"/>
  </w:num>
  <w:num w:numId="30" w16cid:durableId="1429814487">
    <w:abstractNumId w:val="8"/>
  </w:num>
  <w:num w:numId="31" w16cid:durableId="1444812008">
    <w:abstractNumId w:val="4"/>
  </w:num>
  <w:num w:numId="32" w16cid:durableId="1859349018">
    <w:abstractNumId w:val="14"/>
  </w:num>
  <w:num w:numId="33" w16cid:durableId="512888589">
    <w:abstractNumId w:val="18"/>
  </w:num>
  <w:num w:numId="34" w16cid:durableId="1146898822">
    <w:abstractNumId w:val="33"/>
  </w:num>
  <w:num w:numId="35" w16cid:durableId="2109963560">
    <w:abstractNumId w:val="30"/>
  </w:num>
  <w:num w:numId="36" w16cid:durableId="1796941410">
    <w:abstractNumId w:val="15"/>
  </w:num>
  <w:num w:numId="37" w16cid:durableId="1476797059">
    <w:abstractNumId w:val="66"/>
  </w:num>
  <w:num w:numId="38" w16cid:durableId="203447645">
    <w:abstractNumId w:val="37"/>
  </w:num>
  <w:num w:numId="39" w16cid:durableId="653727001">
    <w:abstractNumId w:val="20"/>
  </w:num>
  <w:num w:numId="40" w16cid:durableId="733048629">
    <w:abstractNumId w:val="46"/>
  </w:num>
  <w:num w:numId="41" w16cid:durableId="922107825">
    <w:abstractNumId w:val="1"/>
  </w:num>
  <w:num w:numId="42" w16cid:durableId="1814326051">
    <w:abstractNumId w:val="1"/>
  </w:num>
  <w:num w:numId="43" w16cid:durableId="321011662">
    <w:abstractNumId w:val="52"/>
  </w:num>
  <w:num w:numId="44" w16cid:durableId="908996373">
    <w:abstractNumId w:val="68"/>
  </w:num>
  <w:num w:numId="45" w16cid:durableId="1053428619">
    <w:abstractNumId w:val="19"/>
  </w:num>
  <w:num w:numId="46" w16cid:durableId="1038705826">
    <w:abstractNumId w:val="76"/>
  </w:num>
  <w:num w:numId="47" w16cid:durableId="1775713348">
    <w:abstractNumId w:val="72"/>
  </w:num>
  <w:num w:numId="48" w16cid:durableId="1340890728">
    <w:abstractNumId w:val="9"/>
  </w:num>
  <w:num w:numId="49" w16cid:durableId="1487867202">
    <w:abstractNumId w:val="22"/>
  </w:num>
  <w:num w:numId="50" w16cid:durableId="1592199525">
    <w:abstractNumId w:val="34"/>
  </w:num>
  <w:num w:numId="51" w16cid:durableId="1778213666">
    <w:abstractNumId w:val="58"/>
  </w:num>
  <w:num w:numId="52" w16cid:durableId="778910372">
    <w:abstractNumId w:val="44"/>
  </w:num>
  <w:num w:numId="53" w16cid:durableId="1704281888">
    <w:abstractNumId w:val="6"/>
  </w:num>
  <w:num w:numId="54" w16cid:durableId="920677628">
    <w:abstractNumId w:val="12"/>
  </w:num>
  <w:num w:numId="55" w16cid:durableId="1172329588">
    <w:abstractNumId w:val="13"/>
  </w:num>
  <w:num w:numId="56" w16cid:durableId="231931948">
    <w:abstractNumId w:val="56"/>
  </w:num>
  <w:num w:numId="57" w16cid:durableId="1643001356">
    <w:abstractNumId w:val="3"/>
  </w:num>
  <w:num w:numId="58" w16cid:durableId="1306744372">
    <w:abstractNumId w:val="36"/>
  </w:num>
  <w:num w:numId="59" w16cid:durableId="830416083">
    <w:abstractNumId w:val="7"/>
  </w:num>
  <w:num w:numId="60" w16cid:durableId="1039941449">
    <w:abstractNumId w:val="67"/>
  </w:num>
  <w:num w:numId="61" w16cid:durableId="363946232">
    <w:abstractNumId w:val="49"/>
  </w:num>
  <w:num w:numId="62" w16cid:durableId="1091047823">
    <w:abstractNumId w:val="74"/>
  </w:num>
  <w:num w:numId="63" w16cid:durableId="961889384">
    <w:abstractNumId w:val="42"/>
  </w:num>
  <w:num w:numId="64" w16cid:durableId="168839698">
    <w:abstractNumId w:val="55"/>
  </w:num>
  <w:num w:numId="65" w16cid:durableId="1034572565">
    <w:abstractNumId w:val="38"/>
  </w:num>
  <w:num w:numId="66" w16cid:durableId="567573328">
    <w:abstractNumId w:val="35"/>
  </w:num>
  <w:num w:numId="67" w16cid:durableId="11058032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467721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204410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386292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978405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490052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533735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787369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158697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061035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745424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813008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24505519">
    <w:abstractNumId w:val="26"/>
  </w:num>
  <w:num w:numId="80" w16cid:durableId="1713995429">
    <w:abstractNumId w:val="64"/>
  </w:num>
  <w:num w:numId="81" w16cid:durableId="1583298767">
    <w:abstractNumId w:val="50"/>
  </w:num>
  <w:num w:numId="82" w16cid:durableId="1424909765">
    <w:abstractNumId w:val="61"/>
  </w:num>
  <w:num w:numId="83" w16cid:durableId="1172526872">
    <w:abstractNumId w:val="5"/>
  </w:num>
  <w:num w:numId="84" w16cid:durableId="112238770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93753901">
    <w:abstractNumId w:val="47"/>
  </w:num>
  <w:num w:numId="86" w16cid:durableId="181284514">
    <w:abstractNumId w:val="71"/>
  </w:num>
  <w:num w:numId="87" w16cid:durableId="15424459">
    <w:abstractNumId w:val="63"/>
  </w:num>
  <w:num w:numId="88" w16cid:durableId="1170607005">
    <w:abstractNumId w:val="31"/>
  </w:num>
  <w:num w:numId="89" w16cid:durableId="586354381">
    <w:abstractNumId w:val="21"/>
  </w:num>
  <w:num w:numId="90" w16cid:durableId="5514286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545161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38846711">
    <w:abstractNumId w:val="45"/>
  </w:num>
  <w:num w:numId="93" w16cid:durableId="677854672">
    <w:abstractNumId w:val="73"/>
  </w:num>
  <w:num w:numId="94" w16cid:durableId="111750026">
    <w:abstractNumId w:val="1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39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792"/>
    <w:rsid w:val="00000F04"/>
    <w:rsid w:val="00003C4F"/>
    <w:rsid w:val="00004E0A"/>
    <w:rsid w:val="00004FD3"/>
    <w:rsid w:val="000055FD"/>
    <w:rsid w:val="00006DF5"/>
    <w:rsid w:val="00006F95"/>
    <w:rsid w:val="00007023"/>
    <w:rsid w:val="0000709F"/>
    <w:rsid w:val="000071D6"/>
    <w:rsid w:val="00007CF4"/>
    <w:rsid w:val="00007F2D"/>
    <w:rsid w:val="00007FAC"/>
    <w:rsid w:val="00010512"/>
    <w:rsid w:val="00010A9C"/>
    <w:rsid w:val="00010ABA"/>
    <w:rsid w:val="00010E15"/>
    <w:rsid w:val="00010F57"/>
    <w:rsid w:val="0001100C"/>
    <w:rsid w:val="00011188"/>
    <w:rsid w:val="00012555"/>
    <w:rsid w:val="00014236"/>
    <w:rsid w:val="000148F6"/>
    <w:rsid w:val="00015217"/>
    <w:rsid w:val="000155FC"/>
    <w:rsid w:val="000159D2"/>
    <w:rsid w:val="00016264"/>
    <w:rsid w:val="00016993"/>
    <w:rsid w:val="00016CAB"/>
    <w:rsid w:val="00016E5B"/>
    <w:rsid w:val="0001749B"/>
    <w:rsid w:val="00017D75"/>
    <w:rsid w:val="00017FE5"/>
    <w:rsid w:val="00020FBD"/>
    <w:rsid w:val="00021910"/>
    <w:rsid w:val="00022E8D"/>
    <w:rsid w:val="00022F15"/>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2C45"/>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C6C"/>
    <w:rsid w:val="00042EDB"/>
    <w:rsid w:val="0004346B"/>
    <w:rsid w:val="00043EFA"/>
    <w:rsid w:val="00044A50"/>
    <w:rsid w:val="00044C65"/>
    <w:rsid w:val="000458C7"/>
    <w:rsid w:val="00045991"/>
    <w:rsid w:val="00045DD2"/>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23C"/>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564"/>
    <w:rsid w:val="00070C23"/>
    <w:rsid w:val="00070FBF"/>
    <w:rsid w:val="000711EE"/>
    <w:rsid w:val="0007180E"/>
    <w:rsid w:val="00071942"/>
    <w:rsid w:val="00071AE4"/>
    <w:rsid w:val="00071CB5"/>
    <w:rsid w:val="00071CCB"/>
    <w:rsid w:val="00071D03"/>
    <w:rsid w:val="0007232B"/>
    <w:rsid w:val="000735A2"/>
    <w:rsid w:val="0007517E"/>
    <w:rsid w:val="00075FE1"/>
    <w:rsid w:val="00076667"/>
    <w:rsid w:val="00077473"/>
    <w:rsid w:val="00077481"/>
    <w:rsid w:val="000776F9"/>
    <w:rsid w:val="00077749"/>
    <w:rsid w:val="00077EE0"/>
    <w:rsid w:val="000802F9"/>
    <w:rsid w:val="0008145A"/>
    <w:rsid w:val="0008162D"/>
    <w:rsid w:val="000831C8"/>
    <w:rsid w:val="00083F5E"/>
    <w:rsid w:val="00084FDB"/>
    <w:rsid w:val="0008505C"/>
    <w:rsid w:val="00085C46"/>
    <w:rsid w:val="0008686A"/>
    <w:rsid w:val="00086EF2"/>
    <w:rsid w:val="00087175"/>
    <w:rsid w:val="00087D35"/>
    <w:rsid w:val="00091796"/>
    <w:rsid w:val="000917B0"/>
    <w:rsid w:val="00091BA2"/>
    <w:rsid w:val="00091CB0"/>
    <w:rsid w:val="00093F68"/>
    <w:rsid w:val="00094344"/>
    <w:rsid w:val="000953C6"/>
    <w:rsid w:val="000953F4"/>
    <w:rsid w:val="0009590C"/>
    <w:rsid w:val="000959E7"/>
    <w:rsid w:val="00095E7D"/>
    <w:rsid w:val="00096303"/>
    <w:rsid w:val="000964DE"/>
    <w:rsid w:val="000972AB"/>
    <w:rsid w:val="00097B40"/>
    <w:rsid w:val="00097D0E"/>
    <w:rsid w:val="000A0CAF"/>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3E1"/>
    <w:rsid w:val="000B4732"/>
    <w:rsid w:val="000B4BCD"/>
    <w:rsid w:val="000B66DC"/>
    <w:rsid w:val="000B6D1F"/>
    <w:rsid w:val="000C062F"/>
    <w:rsid w:val="000C17E7"/>
    <w:rsid w:val="000C1D4D"/>
    <w:rsid w:val="000C3270"/>
    <w:rsid w:val="000C4648"/>
    <w:rsid w:val="000C577E"/>
    <w:rsid w:val="000C5AEC"/>
    <w:rsid w:val="000C6C32"/>
    <w:rsid w:val="000C7222"/>
    <w:rsid w:val="000D034F"/>
    <w:rsid w:val="000D04BA"/>
    <w:rsid w:val="000D0B6E"/>
    <w:rsid w:val="000D0D65"/>
    <w:rsid w:val="000D12E0"/>
    <w:rsid w:val="000D1944"/>
    <w:rsid w:val="000D1DD9"/>
    <w:rsid w:val="000D2172"/>
    <w:rsid w:val="000D293C"/>
    <w:rsid w:val="000D2BC1"/>
    <w:rsid w:val="000D337B"/>
    <w:rsid w:val="000D35E1"/>
    <w:rsid w:val="000D385A"/>
    <w:rsid w:val="000D38C2"/>
    <w:rsid w:val="000D3CA7"/>
    <w:rsid w:val="000D554A"/>
    <w:rsid w:val="000D5B16"/>
    <w:rsid w:val="000D5FD6"/>
    <w:rsid w:val="000D6201"/>
    <w:rsid w:val="000D6488"/>
    <w:rsid w:val="000D7088"/>
    <w:rsid w:val="000D770B"/>
    <w:rsid w:val="000D788E"/>
    <w:rsid w:val="000D7E4B"/>
    <w:rsid w:val="000E12B0"/>
    <w:rsid w:val="000E1BC8"/>
    <w:rsid w:val="000E1D32"/>
    <w:rsid w:val="000E26D8"/>
    <w:rsid w:val="000E2B94"/>
    <w:rsid w:val="000E3156"/>
    <w:rsid w:val="000E35B6"/>
    <w:rsid w:val="000E3BB8"/>
    <w:rsid w:val="000E3D9B"/>
    <w:rsid w:val="000E3DFD"/>
    <w:rsid w:val="000E4261"/>
    <w:rsid w:val="000E4697"/>
    <w:rsid w:val="000E541B"/>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B2A"/>
    <w:rsid w:val="000F1D43"/>
    <w:rsid w:val="000F1FFF"/>
    <w:rsid w:val="000F20AA"/>
    <w:rsid w:val="000F2651"/>
    <w:rsid w:val="000F348D"/>
    <w:rsid w:val="000F369A"/>
    <w:rsid w:val="000F390B"/>
    <w:rsid w:val="000F4463"/>
    <w:rsid w:val="000F45C0"/>
    <w:rsid w:val="000F5285"/>
    <w:rsid w:val="000F52E0"/>
    <w:rsid w:val="000F53A9"/>
    <w:rsid w:val="000F6464"/>
    <w:rsid w:val="000F6628"/>
    <w:rsid w:val="000F6C25"/>
    <w:rsid w:val="000F76EB"/>
    <w:rsid w:val="000F78AE"/>
    <w:rsid w:val="000F7E25"/>
    <w:rsid w:val="00100660"/>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0F"/>
    <w:rsid w:val="00115287"/>
    <w:rsid w:val="001152F2"/>
    <w:rsid w:val="001157D7"/>
    <w:rsid w:val="00116382"/>
    <w:rsid w:val="00116484"/>
    <w:rsid w:val="00116ACF"/>
    <w:rsid w:val="00116D5C"/>
    <w:rsid w:val="001172B2"/>
    <w:rsid w:val="00117F9B"/>
    <w:rsid w:val="00121211"/>
    <w:rsid w:val="00121628"/>
    <w:rsid w:val="0012167D"/>
    <w:rsid w:val="0012205C"/>
    <w:rsid w:val="00122189"/>
    <w:rsid w:val="00122280"/>
    <w:rsid w:val="001225D2"/>
    <w:rsid w:val="00122D42"/>
    <w:rsid w:val="00123345"/>
    <w:rsid w:val="00123C46"/>
    <w:rsid w:val="0012470B"/>
    <w:rsid w:val="001252FE"/>
    <w:rsid w:val="00125C75"/>
    <w:rsid w:val="00125C7E"/>
    <w:rsid w:val="00125D40"/>
    <w:rsid w:val="001266CB"/>
    <w:rsid w:val="00126EC1"/>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164"/>
    <w:rsid w:val="00143434"/>
    <w:rsid w:val="00143873"/>
    <w:rsid w:val="001439E9"/>
    <w:rsid w:val="00143C55"/>
    <w:rsid w:val="0014409E"/>
    <w:rsid w:val="00144C6F"/>
    <w:rsid w:val="00145089"/>
    <w:rsid w:val="001451E7"/>
    <w:rsid w:val="001462E3"/>
    <w:rsid w:val="0014720C"/>
    <w:rsid w:val="001472C2"/>
    <w:rsid w:val="00147458"/>
    <w:rsid w:val="00147E21"/>
    <w:rsid w:val="00150BA8"/>
    <w:rsid w:val="00150D19"/>
    <w:rsid w:val="0015181B"/>
    <w:rsid w:val="0015189F"/>
    <w:rsid w:val="00151A9F"/>
    <w:rsid w:val="00151B1F"/>
    <w:rsid w:val="00152B87"/>
    <w:rsid w:val="00153A96"/>
    <w:rsid w:val="00153BFB"/>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146"/>
    <w:rsid w:val="00167E4C"/>
    <w:rsid w:val="00171449"/>
    <w:rsid w:val="0017199C"/>
    <w:rsid w:val="00171C7E"/>
    <w:rsid w:val="00171F35"/>
    <w:rsid w:val="00172552"/>
    <w:rsid w:val="00172873"/>
    <w:rsid w:val="00172CF7"/>
    <w:rsid w:val="0017319E"/>
    <w:rsid w:val="00173A1F"/>
    <w:rsid w:val="00173BC3"/>
    <w:rsid w:val="00174128"/>
    <w:rsid w:val="00175194"/>
    <w:rsid w:val="00175C34"/>
    <w:rsid w:val="00175F9A"/>
    <w:rsid w:val="00176E98"/>
    <w:rsid w:val="00177996"/>
    <w:rsid w:val="00180B3F"/>
    <w:rsid w:val="00180C83"/>
    <w:rsid w:val="00180CE5"/>
    <w:rsid w:val="0018175B"/>
    <w:rsid w:val="001820A3"/>
    <w:rsid w:val="00182398"/>
    <w:rsid w:val="00182845"/>
    <w:rsid w:val="00182850"/>
    <w:rsid w:val="0018332A"/>
    <w:rsid w:val="00183D80"/>
    <w:rsid w:val="001842C8"/>
    <w:rsid w:val="00185044"/>
    <w:rsid w:val="001850DB"/>
    <w:rsid w:val="0018599C"/>
    <w:rsid w:val="001869EE"/>
    <w:rsid w:val="00186D00"/>
    <w:rsid w:val="0018743A"/>
    <w:rsid w:val="00190A57"/>
    <w:rsid w:val="00190B3F"/>
    <w:rsid w:val="0019122C"/>
    <w:rsid w:val="00191908"/>
    <w:rsid w:val="00191A75"/>
    <w:rsid w:val="00192DF3"/>
    <w:rsid w:val="0019301F"/>
    <w:rsid w:val="00193286"/>
    <w:rsid w:val="001937B8"/>
    <w:rsid w:val="00194BB7"/>
    <w:rsid w:val="00194CC5"/>
    <w:rsid w:val="001950EF"/>
    <w:rsid w:val="001951B2"/>
    <w:rsid w:val="0019565D"/>
    <w:rsid w:val="00197564"/>
    <w:rsid w:val="00197EC2"/>
    <w:rsid w:val="00197ECE"/>
    <w:rsid w:val="001A1CED"/>
    <w:rsid w:val="001A279B"/>
    <w:rsid w:val="001A2DC3"/>
    <w:rsid w:val="001A2E1E"/>
    <w:rsid w:val="001A2E87"/>
    <w:rsid w:val="001A3869"/>
    <w:rsid w:val="001A38C2"/>
    <w:rsid w:val="001A3CFC"/>
    <w:rsid w:val="001A566C"/>
    <w:rsid w:val="001A6565"/>
    <w:rsid w:val="001A65C8"/>
    <w:rsid w:val="001A6A20"/>
    <w:rsid w:val="001A7243"/>
    <w:rsid w:val="001A732E"/>
    <w:rsid w:val="001A7F30"/>
    <w:rsid w:val="001B06E2"/>
    <w:rsid w:val="001B103A"/>
    <w:rsid w:val="001B103D"/>
    <w:rsid w:val="001B1513"/>
    <w:rsid w:val="001B1767"/>
    <w:rsid w:val="001B2453"/>
    <w:rsid w:val="001B3401"/>
    <w:rsid w:val="001B3D48"/>
    <w:rsid w:val="001B4905"/>
    <w:rsid w:val="001B5AF9"/>
    <w:rsid w:val="001B6600"/>
    <w:rsid w:val="001B6B9B"/>
    <w:rsid w:val="001B6C27"/>
    <w:rsid w:val="001B7144"/>
    <w:rsid w:val="001B7E91"/>
    <w:rsid w:val="001C147E"/>
    <w:rsid w:val="001C151B"/>
    <w:rsid w:val="001C19E5"/>
    <w:rsid w:val="001C3800"/>
    <w:rsid w:val="001C3B9E"/>
    <w:rsid w:val="001C3C7B"/>
    <w:rsid w:val="001C58FA"/>
    <w:rsid w:val="001C6122"/>
    <w:rsid w:val="001C6587"/>
    <w:rsid w:val="001C685B"/>
    <w:rsid w:val="001C69BE"/>
    <w:rsid w:val="001C6DB5"/>
    <w:rsid w:val="001C71AC"/>
    <w:rsid w:val="001C7316"/>
    <w:rsid w:val="001C7569"/>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49C"/>
    <w:rsid w:val="001D653A"/>
    <w:rsid w:val="001D7DEE"/>
    <w:rsid w:val="001E02CB"/>
    <w:rsid w:val="001E14FD"/>
    <w:rsid w:val="001E180F"/>
    <w:rsid w:val="001E1C64"/>
    <w:rsid w:val="001E1CEC"/>
    <w:rsid w:val="001E2ECB"/>
    <w:rsid w:val="001E4B64"/>
    <w:rsid w:val="001E53B7"/>
    <w:rsid w:val="001E552A"/>
    <w:rsid w:val="001E57B9"/>
    <w:rsid w:val="001E5A91"/>
    <w:rsid w:val="001E6E8D"/>
    <w:rsid w:val="001E7EE4"/>
    <w:rsid w:val="001E7F76"/>
    <w:rsid w:val="001F0FAF"/>
    <w:rsid w:val="001F139F"/>
    <w:rsid w:val="001F169A"/>
    <w:rsid w:val="001F2805"/>
    <w:rsid w:val="001F2A43"/>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6AA"/>
    <w:rsid w:val="00212A82"/>
    <w:rsid w:val="002145C4"/>
    <w:rsid w:val="0021471B"/>
    <w:rsid w:val="00214EA2"/>
    <w:rsid w:val="002160FA"/>
    <w:rsid w:val="002166DD"/>
    <w:rsid w:val="002168A2"/>
    <w:rsid w:val="00217867"/>
    <w:rsid w:val="002205E4"/>
    <w:rsid w:val="00220D67"/>
    <w:rsid w:val="002215F8"/>
    <w:rsid w:val="00221F80"/>
    <w:rsid w:val="0022273A"/>
    <w:rsid w:val="002227A6"/>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1F7C"/>
    <w:rsid w:val="002337E5"/>
    <w:rsid w:val="00233C06"/>
    <w:rsid w:val="00233F24"/>
    <w:rsid w:val="00234BBB"/>
    <w:rsid w:val="00234F6A"/>
    <w:rsid w:val="002356F4"/>
    <w:rsid w:val="00235F02"/>
    <w:rsid w:val="00236D28"/>
    <w:rsid w:val="00236E0A"/>
    <w:rsid w:val="00237FE4"/>
    <w:rsid w:val="0024001B"/>
    <w:rsid w:val="00240656"/>
    <w:rsid w:val="00241610"/>
    <w:rsid w:val="00241994"/>
    <w:rsid w:val="00241AED"/>
    <w:rsid w:val="00243182"/>
    <w:rsid w:val="00243928"/>
    <w:rsid w:val="00243946"/>
    <w:rsid w:val="00243BC5"/>
    <w:rsid w:val="00243C08"/>
    <w:rsid w:val="00243C7D"/>
    <w:rsid w:val="00243E9A"/>
    <w:rsid w:val="00244371"/>
    <w:rsid w:val="00244760"/>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0A7"/>
    <w:rsid w:val="0025539F"/>
    <w:rsid w:val="00255D86"/>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072C"/>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38C"/>
    <w:rsid w:val="0029075B"/>
    <w:rsid w:val="00290BB1"/>
    <w:rsid w:val="00291BC1"/>
    <w:rsid w:val="002933CA"/>
    <w:rsid w:val="00293A8F"/>
    <w:rsid w:val="00295155"/>
    <w:rsid w:val="00295744"/>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AAC"/>
    <w:rsid w:val="002A3B4F"/>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323"/>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44E"/>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31F"/>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360"/>
    <w:rsid w:val="00303861"/>
    <w:rsid w:val="003041FC"/>
    <w:rsid w:val="00304FFF"/>
    <w:rsid w:val="00305557"/>
    <w:rsid w:val="0030561F"/>
    <w:rsid w:val="00305CA3"/>
    <w:rsid w:val="00306E5C"/>
    <w:rsid w:val="00307C19"/>
    <w:rsid w:val="00310326"/>
    <w:rsid w:val="00310732"/>
    <w:rsid w:val="00310BC9"/>
    <w:rsid w:val="00311762"/>
    <w:rsid w:val="00311E98"/>
    <w:rsid w:val="00312215"/>
    <w:rsid w:val="0031249C"/>
    <w:rsid w:val="003125C3"/>
    <w:rsid w:val="00312896"/>
    <w:rsid w:val="00312A53"/>
    <w:rsid w:val="003136E3"/>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09D9"/>
    <w:rsid w:val="003314B6"/>
    <w:rsid w:val="00331A20"/>
    <w:rsid w:val="00331E65"/>
    <w:rsid w:val="0033226E"/>
    <w:rsid w:val="00333107"/>
    <w:rsid w:val="0033343B"/>
    <w:rsid w:val="0033393C"/>
    <w:rsid w:val="003357EE"/>
    <w:rsid w:val="00335CA2"/>
    <w:rsid w:val="00336472"/>
    <w:rsid w:val="00336BA3"/>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2D8E"/>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40A2"/>
    <w:rsid w:val="00375287"/>
    <w:rsid w:val="00375791"/>
    <w:rsid w:val="00375826"/>
    <w:rsid w:val="00375994"/>
    <w:rsid w:val="00375C59"/>
    <w:rsid w:val="00375E05"/>
    <w:rsid w:val="0037624F"/>
    <w:rsid w:val="00376BB7"/>
    <w:rsid w:val="00376EEE"/>
    <w:rsid w:val="00377BA1"/>
    <w:rsid w:val="00377FF0"/>
    <w:rsid w:val="00380616"/>
    <w:rsid w:val="00381022"/>
    <w:rsid w:val="003814B8"/>
    <w:rsid w:val="00382909"/>
    <w:rsid w:val="00382EE1"/>
    <w:rsid w:val="00383160"/>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3383"/>
    <w:rsid w:val="0039456F"/>
    <w:rsid w:val="003945C8"/>
    <w:rsid w:val="0039480D"/>
    <w:rsid w:val="00395446"/>
    <w:rsid w:val="00396524"/>
    <w:rsid w:val="0039669E"/>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3F69"/>
    <w:rsid w:val="003A4296"/>
    <w:rsid w:val="003A4549"/>
    <w:rsid w:val="003A49B3"/>
    <w:rsid w:val="003A55B4"/>
    <w:rsid w:val="003A61B6"/>
    <w:rsid w:val="003A623F"/>
    <w:rsid w:val="003A645D"/>
    <w:rsid w:val="003A71AD"/>
    <w:rsid w:val="003A7D1D"/>
    <w:rsid w:val="003B1688"/>
    <w:rsid w:val="003B1B2C"/>
    <w:rsid w:val="003B1FA4"/>
    <w:rsid w:val="003B1FE6"/>
    <w:rsid w:val="003B2871"/>
    <w:rsid w:val="003B3106"/>
    <w:rsid w:val="003B3974"/>
    <w:rsid w:val="003B39E0"/>
    <w:rsid w:val="003B3DAB"/>
    <w:rsid w:val="003B404D"/>
    <w:rsid w:val="003B4B34"/>
    <w:rsid w:val="003B4CDA"/>
    <w:rsid w:val="003B4F2D"/>
    <w:rsid w:val="003B5BD9"/>
    <w:rsid w:val="003B64A3"/>
    <w:rsid w:val="003B6DB8"/>
    <w:rsid w:val="003B72B9"/>
    <w:rsid w:val="003C03D0"/>
    <w:rsid w:val="003C0887"/>
    <w:rsid w:val="003C08AF"/>
    <w:rsid w:val="003C2CC6"/>
    <w:rsid w:val="003C2EDD"/>
    <w:rsid w:val="003C3220"/>
    <w:rsid w:val="003C3A47"/>
    <w:rsid w:val="003C3A79"/>
    <w:rsid w:val="003C48F2"/>
    <w:rsid w:val="003C5177"/>
    <w:rsid w:val="003C52B0"/>
    <w:rsid w:val="003C5911"/>
    <w:rsid w:val="003C5CDB"/>
    <w:rsid w:val="003C6465"/>
    <w:rsid w:val="003C65E4"/>
    <w:rsid w:val="003C6D8A"/>
    <w:rsid w:val="003C7712"/>
    <w:rsid w:val="003C7862"/>
    <w:rsid w:val="003C7ECD"/>
    <w:rsid w:val="003D007D"/>
    <w:rsid w:val="003D01A1"/>
    <w:rsid w:val="003D04D6"/>
    <w:rsid w:val="003D04F6"/>
    <w:rsid w:val="003D096C"/>
    <w:rsid w:val="003D0D1E"/>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241"/>
    <w:rsid w:val="003E1591"/>
    <w:rsid w:val="003E1ACF"/>
    <w:rsid w:val="003E216C"/>
    <w:rsid w:val="003E236E"/>
    <w:rsid w:val="003E259D"/>
    <w:rsid w:val="003E26BA"/>
    <w:rsid w:val="003E2906"/>
    <w:rsid w:val="003E2969"/>
    <w:rsid w:val="003E2C1A"/>
    <w:rsid w:val="003E330F"/>
    <w:rsid w:val="003E3478"/>
    <w:rsid w:val="003E4B3D"/>
    <w:rsid w:val="003E4E74"/>
    <w:rsid w:val="003E5F7D"/>
    <w:rsid w:val="003E64FA"/>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1B12"/>
    <w:rsid w:val="004028A2"/>
    <w:rsid w:val="00402FEB"/>
    <w:rsid w:val="00403344"/>
    <w:rsid w:val="00403C82"/>
    <w:rsid w:val="00404283"/>
    <w:rsid w:val="00404C44"/>
    <w:rsid w:val="00404EE8"/>
    <w:rsid w:val="0040510D"/>
    <w:rsid w:val="0040512D"/>
    <w:rsid w:val="0040602F"/>
    <w:rsid w:val="00406AFB"/>
    <w:rsid w:val="00407382"/>
    <w:rsid w:val="0040791B"/>
    <w:rsid w:val="00407BBB"/>
    <w:rsid w:val="00411958"/>
    <w:rsid w:val="00411B2A"/>
    <w:rsid w:val="00412973"/>
    <w:rsid w:val="00412D42"/>
    <w:rsid w:val="00412DA4"/>
    <w:rsid w:val="00412EB6"/>
    <w:rsid w:val="0041351F"/>
    <w:rsid w:val="004137C8"/>
    <w:rsid w:val="00413BF9"/>
    <w:rsid w:val="00413C25"/>
    <w:rsid w:val="00415531"/>
    <w:rsid w:val="00416330"/>
    <w:rsid w:val="00416CC0"/>
    <w:rsid w:val="004176C7"/>
    <w:rsid w:val="00417877"/>
    <w:rsid w:val="00417D9F"/>
    <w:rsid w:val="00417E57"/>
    <w:rsid w:val="00420070"/>
    <w:rsid w:val="00420229"/>
    <w:rsid w:val="00420DBA"/>
    <w:rsid w:val="00421311"/>
    <w:rsid w:val="004219CB"/>
    <w:rsid w:val="00422160"/>
    <w:rsid w:val="00422E13"/>
    <w:rsid w:val="004230F8"/>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064"/>
    <w:rsid w:val="004353B0"/>
    <w:rsid w:val="00435765"/>
    <w:rsid w:val="004360B6"/>
    <w:rsid w:val="004362E5"/>
    <w:rsid w:val="00436356"/>
    <w:rsid w:val="00437052"/>
    <w:rsid w:val="004378AD"/>
    <w:rsid w:val="00440722"/>
    <w:rsid w:val="004425D9"/>
    <w:rsid w:val="00443244"/>
    <w:rsid w:val="00444AF6"/>
    <w:rsid w:val="0044519D"/>
    <w:rsid w:val="00445544"/>
    <w:rsid w:val="00445C0B"/>
    <w:rsid w:val="00446195"/>
    <w:rsid w:val="0044650C"/>
    <w:rsid w:val="00447CD0"/>
    <w:rsid w:val="00447DD8"/>
    <w:rsid w:val="00447FC2"/>
    <w:rsid w:val="004502F4"/>
    <w:rsid w:val="004506F4"/>
    <w:rsid w:val="004509D1"/>
    <w:rsid w:val="00450A42"/>
    <w:rsid w:val="004513A5"/>
    <w:rsid w:val="0045189E"/>
    <w:rsid w:val="00451D50"/>
    <w:rsid w:val="0045299F"/>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B85"/>
    <w:rsid w:val="0045770D"/>
    <w:rsid w:val="0045790F"/>
    <w:rsid w:val="00457D63"/>
    <w:rsid w:val="00457E21"/>
    <w:rsid w:val="0046007E"/>
    <w:rsid w:val="0046024B"/>
    <w:rsid w:val="00460E36"/>
    <w:rsid w:val="00461155"/>
    <w:rsid w:val="0046180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A95"/>
    <w:rsid w:val="00473B60"/>
    <w:rsid w:val="0047410F"/>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41E"/>
    <w:rsid w:val="00485C26"/>
    <w:rsid w:val="00485EC0"/>
    <w:rsid w:val="004875E1"/>
    <w:rsid w:val="00487B37"/>
    <w:rsid w:val="00490636"/>
    <w:rsid w:val="00490E03"/>
    <w:rsid w:val="00490FF0"/>
    <w:rsid w:val="004910FE"/>
    <w:rsid w:val="00491198"/>
    <w:rsid w:val="00491464"/>
    <w:rsid w:val="004917E0"/>
    <w:rsid w:val="00491BF6"/>
    <w:rsid w:val="00491FED"/>
    <w:rsid w:val="00492F82"/>
    <w:rsid w:val="004943C2"/>
    <w:rsid w:val="00494918"/>
    <w:rsid w:val="00494C65"/>
    <w:rsid w:val="00494F0C"/>
    <w:rsid w:val="00495557"/>
    <w:rsid w:val="00495C31"/>
    <w:rsid w:val="0049618D"/>
    <w:rsid w:val="004965EF"/>
    <w:rsid w:val="0049719D"/>
    <w:rsid w:val="00497FCD"/>
    <w:rsid w:val="004A0D1E"/>
    <w:rsid w:val="004A0E66"/>
    <w:rsid w:val="004A0EEC"/>
    <w:rsid w:val="004A130F"/>
    <w:rsid w:val="004A17EF"/>
    <w:rsid w:val="004A1BDA"/>
    <w:rsid w:val="004A22DA"/>
    <w:rsid w:val="004A2549"/>
    <w:rsid w:val="004A2700"/>
    <w:rsid w:val="004A36C8"/>
    <w:rsid w:val="004A3721"/>
    <w:rsid w:val="004A3742"/>
    <w:rsid w:val="004A37B8"/>
    <w:rsid w:val="004A3ED3"/>
    <w:rsid w:val="004A47BC"/>
    <w:rsid w:val="004A4AC6"/>
    <w:rsid w:val="004A648D"/>
    <w:rsid w:val="004A7727"/>
    <w:rsid w:val="004A7F8D"/>
    <w:rsid w:val="004B1199"/>
    <w:rsid w:val="004B12EC"/>
    <w:rsid w:val="004B16C4"/>
    <w:rsid w:val="004B1778"/>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0ABA"/>
    <w:rsid w:val="004D1E71"/>
    <w:rsid w:val="004D2BF0"/>
    <w:rsid w:val="004D2CDF"/>
    <w:rsid w:val="004D33CE"/>
    <w:rsid w:val="004D48CF"/>
    <w:rsid w:val="004D4AAE"/>
    <w:rsid w:val="004D7C86"/>
    <w:rsid w:val="004E0197"/>
    <w:rsid w:val="004E1122"/>
    <w:rsid w:val="004E1409"/>
    <w:rsid w:val="004E1A87"/>
    <w:rsid w:val="004E1BB0"/>
    <w:rsid w:val="004E3030"/>
    <w:rsid w:val="004E3311"/>
    <w:rsid w:val="004E36D2"/>
    <w:rsid w:val="004E38EC"/>
    <w:rsid w:val="004E3933"/>
    <w:rsid w:val="004E4549"/>
    <w:rsid w:val="004E4C83"/>
    <w:rsid w:val="004E4D53"/>
    <w:rsid w:val="004E4D84"/>
    <w:rsid w:val="004E4E67"/>
    <w:rsid w:val="004E4EBC"/>
    <w:rsid w:val="004E5104"/>
    <w:rsid w:val="004E5B06"/>
    <w:rsid w:val="004E5FA8"/>
    <w:rsid w:val="004E684C"/>
    <w:rsid w:val="004E6FF1"/>
    <w:rsid w:val="004E76DB"/>
    <w:rsid w:val="004F1F90"/>
    <w:rsid w:val="004F2401"/>
    <w:rsid w:val="004F2A44"/>
    <w:rsid w:val="004F2DAD"/>
    <w:rsid w:val="004F34F7"/>
    <w:rsid w:val="004F3CE4"/>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106"/>
    <w:rsid w:val="00514366"/>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2B50"/>
    <w:rsid w:val="0053402C"/>
    <w:rsid w:val="00534090"/>
    <w:rsid w:val="005346BA"/>
    <w:rsid w:val="00534ABA"/>
    <w:rsid w:val="00535FFF"/>
    <w:rsid w:val="0053616F"/>
    <w:rsid w:val="005368AD"/>
    <w:rsid w:val="005370BC"/>
    <w:rsid w:val="00537B35"/>
    <w:rsid w:val="00537DE7"/>
    <w:rsid w:val="00537EC4"/>
    <w:rsid w:val="00537FE4"/>
    <w:rsid w:val="0054027D"/>
    <w:rsid w:val="00541222"/>
    <w:rsid w:val="00541A8D"/>
    <w:rsid w:val="005433A7"/>
    <w:rsid w:val="0054437D"/>
    <w:rsid w:val="00544DA0"/>
    <w:rsid w:val="005454BD"/>
    <w:rsid w:val="005457E4"/>
    <w:rsid w:val="00546C49"/>
    <w:rsid w:val="0055010B"/>
    <w:rsid w:val="00550D59"/>
    <w:rsid w:val="0055110D"/>
    <w:rsid w:val="00551F81"/>
    <w:rsid w:val="0055210F"/>
    <w:rsid w:val="00552375"/>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DB4"/>
    <w:rsid w:val="00563ECB"/>
    <w:rsid w:val="00563F47"/>
    <w:rsid w:val="005640BB"/>
    <w:rsid w:val="00564C23"/>
    <w:rsid w:val="00565406"/>
    <w:rsid w:val="00565570"/>
    <w:rsid w:val="005657DD"/>
    <w:rsid w:val="00565B29"/>
    <w:rsid w:val="005664CC"/>
    <w:rsid w:val="0056664B"/>
    <w:rsid w:val="00566BC3"/>
    <w:rsid w:val="00567588"/>
    <w:rsid w:val="00567992"/>
    <w:rsid w:val="00567C3C"/>
    <w:rsid w:val="005702F8"/>
    <w:rsid w:val="00571231"/>
    <w:rsid w:val="00571767"/>
    <w:rsid w:val="00571E44"/>
    <w:rsid w:val="005725C1"/>
    <w:rsid w:val="005735E3"/>
    <w:rsid w:val="00573E61"/>
    <w:rsid w:val="0057411B"/>
    <w:rsid w:val="00574525"/>
    <w:rsid w:val="00574778"/>
    <w:rsid w:val="0057498F"/>
    <w:rsid w:val="00574DE9"/>
    <w:rsid w:val="005752AD"/>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87FE9"/>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E9F"/>
    <w:rsid w:val="005A4F39"/>
    <w:rsid w:val="005A574D"/>
    <w:rsid w:val="005A5B5C"/>
    <w:rsid w:val="005A6E93"/>
    <w:rsid w:val="005A707A"/>
    <w:rsid w:val="005A7340"/>
    <w:rsid w:val="005A7A49"/>
    <w:rsid w:val="005A7F93"/>
    <w:rsid w:val="005B07EA"/>
    <w:rsid w:val="005B0B20"/>
    <w:rsid w:val="005B0BD6"/>
    <w:rsid w:val="005B0EFB"/>
    <w:rsid w:val="005B1060"/>
    <w:rsid w:val="005B11D4"/>
    <w:rsid w:val="005B12B9"/>
    <w:rsid w:val="005B17C1"/>
    <w:rsid w:val="005B1941"/>
    <w:rsid w:val="005B2C7D"/>
    <w:rsid w:val="005B2DFB"/>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5D8"/>
    <w:rsid w:val="005C5639"/>
    <w:rsid w:val="005C5742"/>
    <w:rsid w:val="005C760E"/>
    <w:rsid w:val="005C7E9E"/>
    <w:rsid w:val="005D18C9"/>
    <w:rsid w:val="005D1B72"/>
    <w:rsid w:val="005D2471"/>
    <w:rsid w:val="005D25A3"/>
    <w:rsid w:val="005D2779"/>
    <w:rsid w:val="005D3242"/>
    <w:rsid w:val="005D610C"/>
    <w:rsid w:val="005D74E7"/>
    <w:rsid w:val="005D7F7B"/>
    <w:rsid w:val="005D7F84"/>
    <w:rsid w:val="005E2DA3"/>
    <w:rsid w:val="005E3BCD"/>
    <w:rsid w:val="005E4118"/>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B05"/>
    <w:rsid w:val="005F2C1F"/>
    <w:rsid w:val="005F2E44"/>
    <w:rsid w:val="005F3690"/>
    <w:rsid w:val="005F3986"/>
    <w:rsid w:val="005F4C57"/>
    <w:rsid w:val="005F5094"/>
    <w:rsid w:val="005F66DD"/>
    <w:rsid w:val="005F6774"/>
    <w:rsid w:val="005F79AA"/>
    <w:rsid w:val="0060044B"/>
    <w:rsid w:val="0060135D"/>
    <w:rsid w:val="006013D7"/>
    <w:rsid w:val="006014DB"/>
    <w:rsid w:val="00601587"/>
    <w:rsid w:val="00602079"/>
    <w:rsid w:val="006022C9"/>
    <w:rsid w:val="006022F3"/>
    <w:rsid w:val="00602579"/>
    <w:rsid w:val="00602BA4"/>
    <w:rsid w:val="00602DA2"/>
    <w:rsid w:val="00602FF4"/>
    <w:rsid w:val="00603228"/>
    <w:rsid w:val="006041B3"/>
    <w:rsid w:val="00604ACD"/>
    <w:rsid w:val="00604C15"/>
    <w:rsid w:val="00604DC2"/>
    <w:rsid w:val="006059BD"/>
    <w:rsid w:val="006060C4"/>
    <w:rsid w:val="00606BA7"/>
    <w:rsid w:val="0060762B"/>
    <w:rsid w:val="00607C35"/>
    <w:rsid w:val="00611777"/>
    <w:rsid w:val="0061189F"/>
    <w:rsid w:val="0061219B"/>
    <w:rsid w:val="00612D05"/>
    <w:rsid w:val="00613BB1"/>
    <w:rsid w:val="00613FB6"/>
    <w:rsid w:val="006140C6"/>
    <w:rsid w:val="00614134"/>
    <w:rsid w:val="00614241"/>
    <w:rsid w:val="0061428D"/>
    <w:rsid w:val="00615411"/>
    <w:rsid w:val="006156AD"/>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489"/>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89A"/>
    <w:rsid w:val="00644A5E"/>
    <w:rsid w:val="00644A6C"/>
    <w:rsid w:val="00644D69"/>
    <w:rsid w:val="006457A8"/>
    <w:rsid w:val="00645EA0"/>
    <w:rsid w:val="00645F76"/>
    <w:rsid w:val="00646EB0"/>
    <w:rsid w:val="0064714D"/>
    <w:rsid w:val="0064727D"/>
    <w:rsid w:val="00647B32"/>
    <w:rsid w:val="00647C27"/>
    <w:rsid w:val="00651079"/>
    <w:rsid w:val="006519E6"/>
    <w:rsid w:val="00651CDE"/>
    <w:rsid w:val="00652326"/>
    <w:rsid w:val="00652907"/>
    <w:rsid w:val="00652E06"/>
    <w:rsid w:val="00653FC4"/>
    <w:rsid w:val="0065432A"/>
    <w:rsid w:val="00654F91"/>
    <w:rsid w:val="00655361"/>
    <w:rsid w:val="006555BA"/>
    <w:rsid w:val="00656253"/>
    <w:rsid w:val="00656799"/>
    <w:rsid w:val="00656B77"/>
    <w:rsid w:val="00656E72"/>
    <w:rsid w:val="00657380"/>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9D4"/>
    <w:rsid w:val="00675DA5"/>
    <w:rsid w:val="00680482"/>
    <w:rsid w:val="006808DC"/>
    <w:rsid w:val="00680DA7"/>
    <w:rsid w:val="006816B6"/>
    <w:rsid w:val="006820EB"/>
    <w:rsid w:val="00682128"/>
    <w:rsid w:val="0068220C"/>
    <w:rsid w:val="00682AB1"/>
    <w:rsid w:val="00682E9F"/>
    <w:rsid w:val="00683252"/>
    <w:rsid w:val="0068343A"/>
    <w:rsid w:val="006834D4"/>
    <w:rsid w:val="0068413D"/>
    <w:rsid w:val="006844BA"/>
    <w:rsid w:val="006845A2"/>
    <w:rsid w:val="00684836"/>
    <w:rsid w:val="00684BF8"/>
    <w:rsid w:val="00684D9B"/>
    <w:rsid w:val="00684F53"/>
    <w:rsid w:val="006858AA"/>
    <w:rsid w:val="00685BCF"/>
    <w:rsid w:val="006871D0"/>
    <w:rsid w:val="0068751F"/>
    <w:rsid w:val="006900D1"/>
    <w:rsid w:val="00690297"/>
    <w:rsid w:val="006902AF"/>
    <w:rsid w:val="0069115A"/>
    <w:rsid w:val="006912F1"/>
    <w:rsid w:val="00691387"/>
    <w:rsid w:val="006927F2"/>
    <w:rsid w:val="006931E1"/>
    <w:rsid w:val="00694310"/>
    <w:rsid w:val="00694700"/>
    <w:rsid w:val="00694803"/>
    <w:rsid w:val="00694CE8"/>
    <w:rsid w:val="0069569E"/>
    <w:rsid w:val="006956C6"/>
    <w:rsid w:val="00695AF9"/>
    <w:rsid w:val="00696EE3"/>
    <w:rsid w:val="0069715D"/>
    <w:rsid w:val="00697392"/>
    <w:rsid w:val="006973E5"/>
    <w:rsid w:val="00697664"/>
    <w:rsid w:val="00697681"/>
    <w:rsid w:val="0069770C"/>
    <w:rsid w:val="00697E90"/>
    <w:rsid w:val="006A08F2"/>
    <w:rsid w:val="006A10D2"/>
    <w:rsid w:val="006A151A"/>
    <w:rsid w:val="006A1E62"/>
    <w:rsid w:val="006A2A12"/>
    <w:rsid w:val="006A2B20"/>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27F"/>
    <w:rsid w:val="006B44C5"/>
    <w:rsid w:val="006B52EA"/>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3F5F"/>
    <w:rsid w:val="006C4233"/>
    <w:rsid w:val="006C42E7"/>
    <w:rsid w:val="006C4422"/>
    <w:rsid w:val="006C5CCA"/>
    <w:rsid w:val="006C625F"/>
    <w:rsid w:val="006C6418"/>
    <w:rsid w:val="006C78A6"/>
    <w:rsid w:val="006C7AB4"/>
    <w:rsid w:val="006D006B"/>
    <w:rsid w:val="006D105C"/>
    <w:rsid w:val="006D28D0"/>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2890"/>
    <w:rsid w:val="006E3CB2"/>
    <w:rsid w:val="006E3DA8"/>
    <w:rsid w:val="006E5DAA"/>
    <w:rsid w:val="006E7006"/>
    <w:rsid w:val="006F00E7"/>
    <w:rsid w:val="006F0F6E"/>
    <w:rsid w:val="006F1B22"/>
    <w:rsid w:val="006F1BA4"/>
    <w:rsid w:val="006F1EC2"/>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34F"/>
    <w:rsid w:val="00707A59"/>
    <w:rsid w:val="0071046B"/>
    <w:rsid w:val="007108A1"/>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1F5C"/>
    <w:rsid w:val="00722267"/>
    <w:rsid w:val="0072285E"/>
    <w:rsid w:val="00722C62"/>
    <w:rsid w:val="0072321F"/>
    <w:rsid w:val="00723295"/>
    <w:rsid w:val="007238E2"/>
    <w:rsid w:val="007239B4"/>
    <w:rsid w:val="00724446"/>
    <w:rsid w:val="00724584"/>
    <w:rsid w:val="00724AA1"/>
    <w:rsid w:val="00724D1A"/>
    <w:rsid w:val="00724D39"/>
    <w:rsid w:val="00725A19"/>
    <w:rsid w:val="00726356"/>
    <w:rsid w:val="007268C7"/>
    <w:rsid w:val="00726AAB"/>
    <w:rsid w:val="00727077"/>
    <w:rsid w:val="00730EA6"/>
    <w:rsid w:val="00731C15"/>
    <w:rsid w:val="00732015"/>
    <w:rsid w:val="00732045"/>
    <w:rsid w:val="007322A0"/>
    <w:rsid w:val="00732BA1"/>
    <w:rsid w:val="00732C1A"/>
    <w:rsid w:val="00733CDC"/>
    <w:rsid w:val="00734B9A"/>
    <w:rsid w:val="00734F95"/>
    <w:rsid w:val="00735695"/>
    <w:rsid w:val="007360CB"/>
    <w:rsid w:val="00737566"/>
    <w:rsid w:val="007415D9"/>
    <w:rsid w:val="00741BA2"/>
    <w:rsid w:val="00741CF4"/>
    <w:rsid w:val="00741DCC"/>
    <w:rsid w:val="00741DE2"/>
    <w:rsid w:val="007421A1"/>
    <w:rsid w:val="007427FE"/>
    <w:rsid w:val="00742C51"/>
    <w:rsid w:val="00743445"/>
    <w:rsid w:val="007438FC"/>
    <w:rsid w:val="00745E01"/>
    <w:rsid w:val="0074666B"/>
    <w:rsid w:val="007468D6"/>
    <w:rsid w:val="00746BFF"/>
    <w:rsid w:val="007473E1"/>
    <w:rsid w:val="00747897"/>
    <w:rsid w:val="00747E47"/>
    <w:rsid w:val="00750192"/>
    <w:rsid w:val="007504E1"/>
    <w:rsid w:val="00750544"/>
    <w:rsid w:val="00750804"/>
    <w:rsid w:val="007509AB"/>
    <w:rsid w:val="00751689"/>
    <w:rsid w:val="00751C40"/>
    <w:rsid w:val="007524AA"/>
    <w:rsid w:val="00753744"/>
    <w:rsid w:val="00753A93"/>
    <w:rsid w:val="00755663"/>
    <w:rsid w:val="00756386"/>
    <w:rsid w:val="00756603"/>
    <w:rsid w:val="007575C0"/>
    <w:rsid w:val="00757D2F"/>
    <w:rsid w:val="0076000E"/>
    <w:rsid w:val="00760C00"/>
    <w:rsid w:val="007610E9"/>
    <w:rsid w:val="00761728"/>
    <w:rsid w:val="00761C6C"/>
    <w:rsid w:val="00762510"/>
    <w:rsid w:val="00762B72"/>
    <w:rsid w:val="00763CCB"/>
    <w:rsid w:val="007642B4"/>
    <w:rsid w:val="00764C45"/>
    <w:rsid w:val="00766277"/>
    <w:rsid w:val="0076656A"/>
    <w:rsid w:val="00766701"/>
    <w:rsid w:val="00766911"/>
    <w:rsid w:val="00767793"/>
    <w:rsid w:val="007679D8"/>
    <w:rsid w:val="00767AFB"/>
    <w:rsid w:val="00770803"/>
    <w:rsid w:val="00771319"/>
    <w:rsid w:val="007713E8"/>
    <w:rsid w:val="00771794"/>
    <w:rsid w:val="00771CCF"/>
    <w:rsid w:val="00771F7D"/>
    <w:rsid w:val="00772C3E"/>
    <w:rsid w:val="007736E8"/>
    <w:rsid w:val="00774ACE"/>
    <w:rsid w:val="00775823"/>
    <w:rsid w:val="00775C76"/>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E47"/>
    <w:rsid w:val="00783352"/>
    <w:rsid w:val="00783628"/>
    <w:rsid w:val="007840E2"/>
    <w:rsid w:val="0078569F"/>
    <w:rsid w:val="00785803"/>
    <w:rsid w:val="00785EB4"/>
    <w:rsid w:val="00785F10"/>
    <w:rsid w:val="0078609A"/>
    <w:rsid w:val="00786F85"/>
    <w:rsid w:val="0078731A"/>
    <w:rsid w:val="00787487"/>
    <w:rsid w:val="007906F1"/>
    <w:rsid w:val="00790CE5"/>
    <w:rsid w:val="00790EDA"/>
    <w:rsid w:val="00791349"/>
    <w:rsid w:val="00791D85"/>
    <w:rsid w:val="00791DAF"/>
    <w:rsid w:val="007923E8"/>
    <w:rsid w:val="007924CA"/>
    <w:rsid w:val="007933DF"/>
    <w:rsid w:val="00794264"/>
    <w:rsid w:val="00794C4B"/>
    <w:rsid w:val="00794CBF"/>
    <w:rsid w:val="00794E76"/>
    <w:rsid w:val="00795365"/>
    <w:rsid w:val="0079567E"/>
    <w:rsid w:val="007961D5"/>
    <w:rsid w:val="00796A6F"/>
    <w:rsid w:val="00796C5D"/>
    <w:rsid w:val="00797118"/>
    <w:rsid w:val="00797B06"/>
    <w:rsid w:val="00797B9C"/>
    <w:rsid w:val="007A0483"/>
    <w:rsid w:val="007A1065"/>
    <w:rsid w:val="007A1D86"/>
    <w:rsid w:val="007A2A97"/>
    <w:rsid w:val="007A2CDC"/>
    <w:rsid w:val="007A371B"/>
    <w:rsid w:val="007A3832"/>
    <w:rsid w:val="007A3A0F"/>
    <w:rsid w:val="007A3E60"/>
    <w:rsid w:val="007A3F9E"/>
    <w:rsid w:val="007A407D"/>
    <w:rsid w:val="007A464F"/>
    <w:rsid w:val="007A6196"/>
    <w:rsid w:val="007A63D5"/>
    <w:rsid w:val="007A689A"/>
    <w:rsid w:val="007A68EA"/>
    <w:rsid w:val="007A6B7D"/>
    <w:rsid w:val="007A7629"/>
    <w:rsid w:val="007A7F59"/>
    <w:rsid w:val="007B1027"/>
    <w:rsid w:val="007B1691"/>
    <w:rsid w:val="007B174F"/>
    <w:rsid w:val="007B1863"/>
    <w:rsid w:val="007B22E0"/>
    <w:rsid w:val="007B28CA"/>
    <w:rsid w:val="007B358D"/>
    <w:rsid w:val="007B381B"/>
    <w:rsid w:val="007B5401"/>
    <w:rsid w:val="007B5FB4"/>
    <w:rsid w:val="007B6B2B"/>
    <w:rsid w:val="007B7949"/>
    <w:rsid w:val="007B7D30"/>
    <w:rsid w:val="007C0FA9"/>
    <w:rsid w:val="007C22FA"/>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2181"/>
    <w:rsid w:val="007E3EE3"/>
    <w:rsid w:val="007E57DD"/>
    <w:rsid w:val="007E57DE"/>
    <w:rsid w:val="007E5902"/>
    <w:rsid w:val="007E6719"/>
    <w:rsid w:val="007E68ED"/>
    <w:rsid w:val="007E69ED"/>
    <w:rsid w:val="007E7B2D"/>
    <w:rsid w:val="007F0221"/>
    <w:rsid w:val="007F034B"/>
    <w:rsid w:val="007F07B9"/>
    <w:rsid w:val="007F0928"/>
    <w:rsid w:val="007F15CE"/>
    <w:rsid w:val="007F1870"/>
    <w:rsid w:val="007F1E88"/>
    <w:rsid w:val="007F27D3"/>
    <w:rsid w:val="007F2CD7"/>
    <w:rsid w:val="007F3568"/>
    <w:rsid w:val="007F422D"/>
    <w:rsid w:val="007F4DBA"/>
    <w:rsid w:val="007F519C"/>
    <w:rsid w:val="007F534D"/>
    <w:rsid w:val="007F54A2"/>
    <w:rsid w:val="007F54FE"/>
    <w:rsid w:val="007F5535"/>
    <w:rsid w:val="007F5D32"/>
    <w:rsid w:val="007F6064"/>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4232"/>
    <w:rsid w:val="00835231"/>
    <w:rsid w:val="008352C5"/>
    <w:rsid w:val="008358A6"/>
    <w:rsid w:val="008359FB"/>
    <w:rsid w:val="00835C56"/>
    <w:rsid w:val="008360FC"/>
    <w:rsid w:val="00836E81"/>
    <w:rsid w:val="0083778D"/>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6A2"/>
    <w:rsid w:val="00845969"/>
    <w:rsid w:val="00845F37"/>
    <w:rsid w:val="00845FF5"/>
    <w:rsid w:val="00846001"/>
    <w:rsid w:val="0084615D"/>
    <w:rsid w:val="0084642A"/>
    <w:rsid w:val="008465C4"/>
    <w:rsid w:val="00846710"/>
    <w:rsid w:val="008470AA"/>
    <w:rsid w:val="008478ED"/>
    <w:rsid w:val="00851728"/>
    <w:rsid w:val="00851D0C"/>
    <w:rsid w:val="00851DFF"/>
    <w:rsid w:val="00853084"/>
    <w:rsid w:val="00853142"/>
    <w:rsid w:val="00853D70"/>
    <w:rsid w:val="008540A6"/>
    <w:rsid w:val="00854420"/>
    <w:rsid w:val="00854481"/>
    <w:rsid w:val="0085470B"/>
    <w:rsid w:val="00857591"/>
    <w:rsid w:val="00857E88"/>
    <w:rsid w:val="008604BA"/>
    <w:rsid w:val="008612DB"/>
    <w:rsid w:val="00861B57"/>
    <w:rsid w:val="00862AC4"/>
    <w:rsid w:val="008633AC"/>
    <w:rsid w:val="008634E3"/>
    <w:rsid w:val="00864627"/>
    <w:rsid w:val="00864635"/>
    <w:rsid w:val="00864678"/>
    <w:rsid w:val="008649F6"/>
    <w:rsid w:val="00864C1A"/>
    <w:rsid w:val="00865217"/>
    <w:rsid w:val="008657A1"/>
    <w:rsid w:val="008658AA"/>
    <w:rsid w:val="00865CBD"/>
    <w:rsid w:val="00866E37"/>
    <w:rsid w:val="00866F9E"/>
    <w:rsid w:val="008672E2"/>
    <w:rsid w:val="0086793D"/>
    <w:rsid w:val="00867B1C"/>
    <w:rsid w:val="008713D6"/>
    <w:rsid w:val="00871643"/>
    <w:rsid w:val="00871D78"/>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0F93"/>
    <w:rsid w:val="0089199F"/>
    <w:rsid w:val="00891C32"/>
    <w:rsid w:val="00891D7F"/>
    <w:rsid w:val="0089216B"/>
    <w:rsid w:val="00892265"/>
    <w:rsid w:val="0089233E"/>
    <w:rsid w:val="0089330E"/>
    <w:rsid w:val="00893A8E"/>
    <w:rsid w:val="00893E27"/>
    <w:rsid w:val="008945F7"/>
    <w:rsid w:val="0089463D"/>
    <w:rsid w:val="0089551F"/>
    <w:rsid w:val="0089554F"/>
    <w:rsid w:val="008955E6"/>
    <w:rsid w:val="00895B5F"/>
    <w:rsid w:val="0089637C"/>
    <w:rsid w:val="00896712"/>
    <w:rsid w:val="00896870"/>
    <w:rsid w:val="008969BD"/>
    <w:rsid w:val="00896DD5"/>
    <w:rsid w:val="00897081"/>
    <w:rsid w:val="00897EAB"/>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751"/>
    <w:rsid w:val="008B0D0E"/>
    <w:rsid w:val="008B12BB"/>
    <w:rsid w:val="008B1411"/>
    <w:rsid w:val="008B17A2"/>
    <w:rsid w:val="008B25F2"/>
    <w:rsid w:val="008B2643"/>
    <w:rsid w:val="008B2FAE"/>
    <w:rsid w:val="008B3317"/>
    <w:rsid w:val="008B414B"/>
    <w:rsid w:val="008B4E0E"/>
    <w:rsid w:val="008B4F3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0F"/>
    <w:rsid w:val="008C2B7F"/>
    <w:rsid w:val="008C36AC"/>
    <w:rsid w:val="008C4953"/>
    <w:rsid w:val="008C4E44"/>
    <w:rsid w:val="008C6255"/>
    <w:rsid w:val="008C684B"/>
    <w:rsid w:val="008C6ABD"/>
    <w:rsid w:val="008C6F18"/>
    <w:rsid w:val="008C7685"/>
    <w:rsid w:val="008D007A"/>
    <w:rsid w:val="008D07DE"/>
    <w:rsid w:val="008D0800"/>
    <w:rsid w:val="008D0831"/>
    <w:rsid w:val="008D0E40"/>
    <w:rsid w:val="008D1E7F"/>
    <w:rsid w:val="008D2367"/>
    <w:rsid w:val="008D2B6E"/>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293"/>
    <w:rsid w:val="008F443F"/>
    <w:rsid w:val="008F5DE5"/>
    <w:rsid w:val="008F5E42"/>
    <w:rsid w:val="008F63B1"/>
    <w:rsid w:val="008F6973"/>
    <w:rsid w:val="008F6E6A"/>
    <w:rsid w:val="008F7AA7"/>
    <w:rsid w:val="00900947"/>
    <w:rsid w:val="00900EB8"/>
    <w:rsid w:val="00900FBA"/>
    <w:rsid w:val="00902E5B"/>
    <w:rsid w:val="00903FD9"/>
    <w:rsid w:val="00904684"/>
    <w:rsid w:val="00904C18"/>
    <w:rsid w:val="00904CF5"/>
    <w:rsid w:val="00905259"/>
    <w:rsid w:val="0090556C"/>
    <w:rsid w:val="00905633"/>
    <w:rsid w:val="00905EAE"/>
    <w:rsid w:val="009060C4"/>
    <w:rsid w:val="00906C91"/>
    <w:rsid w:val="00906C95"/>
    <w:rsid w:val="00907656"/>
    <w:rsid w:val="00907E47"/>
    <w:rsid w:val="00910E82"/>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016"/>
    <w:rsid w:val="009171AD"/>
    <w:rsid w:val="00917569"/>
    <w:rsid w:val="00920174"/>
    <w:rsid w:val="009219D2"/>
    <w:rsid w:val="00921A4E"/>
    <w:rsid w:val="00921E37"/>
    <w:rsid w:val="00922511"/>
    <w:rsid w:val="00922F07"/>
    <w:rsid w:val="00923463"/>
    <w:rsid w:val="00924798"/>
    <w:rsid w:val="00925238"/>
    <w:rsid w:val="0092537D"/>
    <w:rsid w:val="00925ACF"/>
    <w:rsid w:val="0092615D"/>
    <w:rsid w:val="00926546"/>
    <w:rsid w:val="009265A1"/>
    <w:rsid w:val="00927700"/>
    <w:rsid w:val="00927898"/>
    <w:rsid w:val="0093036E"/>
    <w:rsid w:val="00931224"/>
    <w:rsid w:val="009333D3"/>
    <w:rsid w:val="009339B6"/>
    <w:rsid w:val="00933B4C"/>
    <w:rsid w:val="00933DC4"/>
    <w:rsid w:val="0093431B"/>
    <w:rsid w:val="009346D6"/>
    <w:rsid w:val="00934743"/>
    <w:rsid w:val="0093487E"/>
    <w:rsid w:val="00934A2A"/>
    <w:rsid w:val="00934FFE"/>
    <w:rsid w:val="00936405"/>
    <w:rsid w:val="00936B64"/>
    <w:rsid w:val="009379C4"/>
    <w:rsid w:val="0094041A"/>
    <w:rsid w:val="00940D32"/>
    <w:rsid w:val="0094190D"/>
    <w:rsid w:val="00942354"/>
    <w:rsid w:val="009423B4"/>
    <w:rsid w:val="00942681"/>
    <w:rsid w:val="00943A7E"/>
    <w:rsid w:val="00943E42"/>
    <w:rsid w:val="00943E5D"/>
    <w:rsid w:val="00944728"/>
    <w:rsid w:val="009453E8"/>
    <w:rsid w:val="00945664"/>
    <w:rsid w:val="009457F8"/>
    <w:rsid w:val="00945AD1"/>
    <w:rsid w:val="00946ECB"/>
    <w:rsid w:val="00947268"/>
    <w:rsid w:val="0094750E"/>
    <w:rsid w:val="00947C94"/>
    <w:rsid w:val="009507C8"/>
    <w:rsid w:val="0095115E"/>
    <w:rsid w:val="0095118A"/>
    <w:rsid w:val="00952468"/>
    <w:rsid w:val="009534EB"/>
    <w:rsid w:val="00954767"/>
    <w:rsid w:val="0095487A"/>
    <w:rsid w:val="009548FB"/>
    <w:rsid w:val="0095538B"/>
    <w:rsid w:val="00957AF7"/>
    <w:rsid w:val="00960ACA"/>
    <w:rsid w:val="00960C4F"/>
    <w:rsid w:val="0096217C"/>
    <w:rsid w:val="00962441"/>
    <w:rsid w:val="00963277"/>
    <w:rsid w:val="0096360D"/>
    <w:rsid w:val="00964B53"/>
    <w:rsid w:val="00964C3F"/>
    <w:rsid w:val="00964C6C"/>
    <w:rsid w:val="00965176"/>
    <w:rsid w:val="00965240"/>
    <w:rsid w:val="00965847"/>
    <w:rsid w:val="00965A3E"/>
    <w:rsid w:val="00965C48"/>
    <w:rsid w:val="00966D9D"/>
    <w:rsid w:val="00966E4A"/>
    <w:rsid w:val="00967041"/>
    <w:rsid w:val="009679E2"/>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4D09"/>
    <w:rsid w:val="00985EB8"/>
    <w:rsid w:val="00985FB3"/>
    <w:rsid w:val="00986076"/>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4F37"/>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0E7B"/>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2BE"/>
    <w:rsid w:val="009C385B"/>
    <w:rsid w:val="009C3E3C"/>
    <w:rsid w:val="009C4353"/>
    <w:rsid w:val="009C49C2"/>
    <w:rsid w:val="009C4E2D"/>
    <w:rsid w:val="009C5897"/>
    <w:rsid w:val="009C62C0"/>
    <w:rsid w:val="009C6A88"/>
    <w:rsid w:val="009C765D"/>
    <w:rsid w:val="009C7ADA"/>
    <w:rsid w:val="009D000A"/>
    <w:rsid w:val="009D1A00"/>
    <w:rsid w:val="009D1A86"/>
    <w:rsid w:val="009D1E0A"/>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C48"/>
    <w:rsid w:val="009E7E4C"/>
    <w:rsid w:val="009F08F5"/>
    <w:rsid w:val="009F0956"/>
    <w:rsid w:val="009F0EE5"/>
    <w:rsid w:val="009F1264"/>
    <w:rsid w:val="009F1B4E"/>
    <w:rsid w:val="009F245B"/>
    <w:rsid w:val="009F25E6"/>
    <w:rsid w:val="009F2BE8"/>
    <w:rsid w:val="009F2F09"/>
    <w:rsid w:val="009F39A7"/>
    <w:rsid w:val="009F40B7"/>
    <w:rsid w:val="009F4188"/>
    <w:rsid w:val="009F4302"/>
    <w:rsid w:val="009F4393"/>
    <w:rsid w:val="009F4BE9"/>
    <w:rsid w:val="009F52CE"/>
    <w:rsid w:val="009F62D3"/>
    <w:rsid w:val="00A00112"/>
    <w:rsid w:val="00A008B5"/>
    <w:rsid w:val="00A017B4"/>
    <w:rsid w:val="00A01C53"/>
    <w:rsid w:val="00A01D38"/>
    <w:rsid w:val="00A020DB"/>
    <w:rsid w:val="00A02414"/>
    <w:rsid w:val="00A025B9"/>
    <w:rsid w:val="00A0355C"/>
    <w:rsid w:val="00A03A13"/>
    <w:rsid w:val="00A03AA3"/>
    <w:rsid w:val="00A040CD"/>
    <w:rsid w:val="00A04106"/>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B38"/>
    <w:rsid w:val="00A14DC2"/>
    <w:rsid w:val="00A14DD6"/>
    <w:rsid w:val="00A1557E"/>
    <w:rsid w:val="00A15D5E"/>
    <w:rsid w:val="00A161F8"/>
    <w:rsid w:val="00A169FA"/>
    <w:rsid w:val="00A171C7"/>
    <w:rsid w:val="00A1766A"/>
    <w:rsid w:val="00A200F4"/>
    <w:rsid w:val="00A206C9"/>
    <w:rsid w:val="00A20C27"/>
    <w:rsid w:val="00A20E7D"/>
    <w:rsid w:val="00A216BC"/>
    <w:rsid w:val="00A23931"/>
    <w:rsid w:val="00A23FD6"/>
    <w:rsid w:val="00A25317"/>
    <w:rsid w:val="00A253A8"/>
    <w:rsid w:val="00A25706"/>
    <w:rsid w:val="00A25D84"/>
    <w:rsid w:val="00A26029"/>
    <w:rsid w:val="00A262E4"/>
    <w:rsid w:val="00A268EA"/>
    <w:rsid w:val="00A31CE0"/>
    <w:rsid w:val="00A31FA9"/>
    <w:rsid w:val="00A333BF"/>
    <w:rsid w:val="00A33825"/>
    <w:rsid w:val="00A3398F"/>
    <w:rsid w:val="00A34EA8"/>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397"/>
    <w:rsid w:val="00A43716"/>
    <w:rsid w:val="00A442C5"/>
    <w:rsid w:val="00A44712"/>
    <w:rsid w:val="00A44AF5"/>
    <w:rsid w:val="00A44B8B"/>
    <w:rsid w:val="00A45EC4"/>
    <w:rsid w:val="00A47212"/>
    <w:rsid w:val="00A474EA"/>
    <w:rsid w:val="00A501B2"/>
    <w:rsid w:val="00A5034A"/>
    <w:rsid w:val="00A50FFA"/>
    <w:rsid w:val="00A51FEE"/>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37A"/>
    <w:rsid w:val="00A66769"/>
    <w:rsid w:val="00A66DF9"/>
    <w:rsid w:val="00A704E4"/>
    <w:rsid w:val="00A7136A"/>
    <w:rsid w:val="00A71C44"/>
    <w:rsid w:val="00A72296"/>
    <w:rsid w:val="00A7388E"/>
    <w:rsid w:val="00A73EF7"/>
    <w:rsid w:val="00A74544"/>
    <w:rsid w:val="00A74548"/>
    <w:rsid w:val="00A74DF2"/>
    <w:rsid w:val="00A74E4D"/>
    <w:rsid w:val="00A7592E"/>
    <w:rsid w:val="00A76C1F"/>
    <w:rsid w:val="00A803FC"/>
    <w:rsid w:val="00A8071A"/>
    <w:rsid w:val="00A80DD9"/>
    <w:rsid w:val="00A80FCA"/>
    <w:rsid w:val="00A81CBC"/>
    <w:rsid w:val="00A82506"/>
    <w:rsid w:val="00A829CF"/>
    <w:rsid w:val="00A837CE"/>
    <w:rsid w:val="00A83DB5"/>
    <w:rsid w:val="00A83FBA"/>
    <w:rsid w:val="00A84636"/>
    <w:rsid w:val="00A84FE1"/>
    <w:rsid w:val="00A85080"/>
    <w:rsid w:val="00A85F06"/>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868"/>
    <w:rsid w:val="00A9797D"/>
    <w:rsid w:val="00AA015F"/>
    <w:rsid w:val="00AA0C3A"/>
    <w:rsid w:val="00AA1723"/>
    <w:rsid w:val="00AA190D"/>
    <w:rsid w:val="00AA1FDD"/>
    <w:rsid w:val="00AA22C3"/>
    <w:rsid w:val="00AA230D"/>
    <w:rsid w:val="00AA4941"/>
    <w:rsid w:val="00AA49E9"/>
    <w:rsid w:val="00AA51E8"/>
    <w:rsid w:val="00AA5475"/>
    <w:rsid w:val="00AA5876"/>
    <w:rsid w:val="00AA6265"/>
    <w:rsid w:val="00AA6A8A"/>
    <w:rsid w:val="00AA6DD8"/>
    <w:rsid w:val="00AA6FA3"/>
    <w:rsid w:val="00AA70BB"/>
    <w:rsid w:val="00AA757C"/>
    <w:rsid w:val="00AA7F10"/>
    <w:rsid w:val="00AB0391"/>
    <w:rsid w:val="00AB0603"/>
    <w:rsid w:val="00AB2151"/>
    <w:rsid w:val="00AB2C59"/>
    <w:rsid w:val="00AB2C8A"/>
    <w:rsid w:val="00AB42B6"/>
    <w:rsid w:val="00AB4D67"/>
    <w:rsid w:val="00AB5204"/>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3D1A"/>
    <w:rsid w:val="00AC40C1"/>
    <w:rsid w:val="00AC47EC"/>
    <w:rsid w:val="00AC4E5D"/>
    <w:rsid w:val="00AC672A"/>
    <w:rsid w:val="00AC6C53"/>
    <w:rsid w:val="00AC6E85"/>
    <w:rsid w:val="00AC7284"/>
    <w:rsid w:val="00AC7CE6"/>
    <w:rsid w:val="00AD0293"/>
    <w:rsid w:val="00AD0828"/>
    <w:rsid w:val="00AD0B13"/>
    <w:rsid w:val="00AD0E69"/>
    <w:rsid w:val="00AD103D"/>
    <w:rsid w:val="00AD159C"/>
    <w:rsid w:val="00AD17FA"/>
    <w:rsid w:val="00AD19EC"/>
    <w:rsid w:val="00AD2717"/>
    <w:rsid w:val="00AD3998"/>
    <w:rsid w:val="00AD3BAD"/>
    <w:rsid w:val="00AD3DC4"/>
    <w:rsid w:val="00AD4FF4"/>
    <w:rsid w:val="00AD5204"/>
    <w:rsid w:val="00AD531D"/>
    <w:rsid w:val="00AD5CCB"/>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08C"/>
    <w:rsid w:val="00AE6C3C"/>
    <w:rsid w:val="00AE702E"/>
    <w:rsid w:val="00AE73E0"/>
    <w:rsid w:val="00AF03C0"/>
    <w:rsid w:val="00AF0E0C"/>
    <w:rsid w:val="00AF166F"/>
    <w:rsid w:val="00AF1C03"/>
    <w:rsid w:val="00AF39AF"/>
    <w:rsid w:val="00AF3E3B"/>
    <w:rsid w:val="00AF3E5A"/>
    <w:rsid w:val="00AF46FE"/>
    <w:rsid w:val="00AF486F"/>
    <w:rsid w:val="00AF548B"/>
    <w:rsid w:val="00AF55A8"/>
    <w:rsid w:val="00AF55E0"/>
    <w:rsid w:val="00AF5666"/>
    <w:rsid w:val="00AF5870"/>
    <w:rsid w:val="00AF6619"/>
    <w:rsid w:val="00AF6CFD"/>
    <w:rsid w:val="00AF7DC1"/>
    <w:rsid w:val="00B000AE"/>
    <w:rsid w:val="00B0040B"/>
    <w:rsid w:val="00B00562"/>
    <w:rsid w:val="00B00830"/>
    <w:rsid w:val="00B00AB5"/>
    <w:rsid w:val="00B00CC0"/>
    <w:rsid w:val="00B00F5C"/>
    <w:rsid w:val="00B019C1"/>
    <w:rsid w:val="00B0236E"/>
    <w:rsid w:val="00B02506"/>
    <w:rsid w:val="00B02ACE"/>
    <w:rsid w:val="00B0353A"/>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2CD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3A95"/>
    <w:rsid w:val="00B35094"/>
    <w:rsid w:val="00B350F0"/>
    <w:rsid w:val="00B357AC"/>
    <w:rsid w:val="00B35992"/>
    <w:rsid w:val="00B35E4B"/>
    <w:rsid w:val="00B35FCC"/>
    <w:rsid w:val="00B36518"/>
    <w:rsid w:val="00B378CC"/>
    <w:rsid w:val="00B40F18"/>
    <w:rsid w:val="00B41615"/>
    <w:rsid w:val="00B41FD8"/>
    <w:rsid w:val="00B420DF"/>
    <w:rsid w:val="00B422A9"/>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3FDD"/>
    <w:rsid w:val="00B54B23"/>
    <w:rsid w:val="00B55CED"/>
    <w:rsid w:val="00B55D57"/>
    <w:rsid w:val="00B55F80"/>
    <w:rsid w:val="00B56480"/>
    <w:rsid w:val="00B565D6"/>
    <w:rsid w:val="00B576A4"/>
    <w:rsid w:val="00B57998"/>
    <w:rsid w:val="00B57CD0"/>
    <w:rsid w:val="00B57DA9"/>
    <w:rsid w:val="00B60177"/>
    <w:rsid w:val="00B60639"/>
    <w:rsid w:val="00B6210F"/>
    <w:rsid w:val="00B6308E"/>
    <w:rsid w:val="00B63D58"/>
    <w:rsid w:val="00B63FDC"/>
    <w:rsid w:val="00B64E8A"/>
    <w:rsid w:val="00B65588"/>
    <w:rsid w:val="00B658D1"/>
    <w:rsid w:val="00B66064"/>
    <w:rsid w:val="00B66995"/>
    <w:rsid w:val="00B671A1"/>
    <w:rsid w:val="00B675A6"/>
    <w:rsid w:val="00B6794D"/>
    <w:rsid w:val="00B67B55"/>
    <w:rsid w:val="00B67C6C"/>
    <w:rsid w:val="00B70C61"/>
    <w:rsid w:val="00B70E5A"/>
    <w:rsid w:val="00B7220D"/>
    <w:rsid w:val="00B73219"/>
    <w:rsid w:val="00B749B6"/>
    <w:rsid w:val="00B7509A"/>
    <w:rsid w:val="00B7613E"/>
    <w:rsid w:val="00B766C1"/>
    <w:rsid w:val="00B76966"/>
    <w:rsid w:val="00B76B14"/>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2DA5"/>
    <w:rsid w:val="00B930D2"/>
    <w:rsid w:val="00B937CD"/>
    <w:rsid w:val="00B938BC"/>
    <w:rsid w:val="00B93997"/>
    <w:rsid w:val="00B93C98"/>
    <w:rsid w:val="00B949F6"/>
    <w:rsid w:val="00B976BB"/>
    <w:rsid w:val="00B97D25"/>
    <w:rsid w:val="00BA01A7"/>
    <w:rsid w:val="00BA0224"/>
    <w:rsid w:val="00BA05C8"/>
    <w:rsid w:val="00BA09AA"/>
    <w:rsid w:val="00BA0AD5"/>
    <w:rsid w:val="00BA0CA0"/>
    <w:rsid w:val="00BA0E3C"/>
    <w:rsid w:val="00BA1F74"/>
    <w:rsid w:val="00BA1FE7"/>
    <w:rsid w:val="00BA2A04"/>
    <w:rsid w:val="00BA2B1D"/>
    <w:rsid w:val="00BA3D14"/>
    <w:rsid w:val="00BA435A"/>
    <w:rsid w:val="00BA54BA"/>
    <w:rsid w:val="00BA5603"/>
    <w:rsid w:val="00BA56D9"/>
    <w:rsid w:val="00BA6194"/>
    <w:rsid w:val="00BA7EEE"/>
    <w:rsid w:val="00BB2008"/>
    <w:rsid w:val="00BB29DF"/>
    <w:rsid w:val="00BB2CFC"/>
    <w:rsid w:val="00BB34DC"/>
    <w:rsid w:val="00BB35D0"/>
    <w:rsid w:val="00BB36C1"/>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12A5"/>
    <w:rsid w:val="00BD2668"/>
    <w:rsid w:val="00BD2971"/>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64B3"/>
    <w:rsid w:val="00C07187"/>
    <w:rsid w:val="00C075C9"/>
    <w:rsid w:val="00C07FAD"/>
    <w:rsid w:val="00C106C4"/>
    <w:rsid w:val="00C111EA"/>
    <w:rsid w:val="00C119AD"/>
    <w:rsid w:val="00C1228D"/>
    <w:rsid w:val="00C13062"/>
    <w:rsid w:val="00C13FED"/>
    <w:rsid w:val="00C14E7D"/>
    <w:rsid w:val="00C15722"/>
    <w:rsid w:val="00C16897"/>
    <w:rsid w:val="00C17C74"/>
    <w:rsid w:val="00C200C9"/>
    <w:rsid w:val="00C2152B"/>
    <w:rsid w:val="00C21D8E"/>
    <w:rsid w:val="00C22057"/>
    <w:rsid w:val="00C22525"/>
    <w:rsid w:val="00C22AA2"/>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2D48"/>
    <w:rsid w:val="00C33235"/>
    <w:rsid w:val="00C33677"/>
    <w:rsid w:val="00C33B7A"/>
    <w:rsid w:val="00C34137"/>
    <w:rsid w:val="00C3476B"/>
    <w:rsid w:val="00C35240"/>
    <w:rsid w:val="00C368B3"/>
    <w:rsid w:val="00C36F07"/>
    <w:rsid w:val="00C37214"/>
    <w:rsid w:val="00C372E8"/>
    <w:rsid w:val="00C409DC"/>
    <w:rsid w:val="00C40B1B"/>
    <w:rsid w:val="00C40E88"/>
    <w:rsid w:val="00C41401"/>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9DA"/>
    <w:rsid w:val="00C50E55"/>
    <w:rsid w:val="00C51426"/>
    <w:rsid w:val="00C51622"/>
    <w:rsid w:val="00C51FB3"/>
    <w:rsid w:val="00C52202"/>
    <w:rsid w:val="00C5223C"/>
    <w:rsid w:val="00C52A35"/>
    <w:rsid w:val="00C52EC7"/>
    <w:rsid w:val="00C53213"/>
    <w:rsid w:val="00C53917"/>
    <w:rsid w:val="00C53B37"/>
    <w:rsid w:val="00C541DE"/>
    <w:rsid w:val="00C54C11"/>
    <w:rsid w:val="00C54C67"/>
    <w:rsid w:val="00C54E65"/>
    <w:rsid w:val="00C56324"/>
    <w:rsid w:val="00C5653B"/>
    <w:rsid w:val="00C565A3"/>
    <w:rsid w:val="00C577F7"/>
    <w:rsid w:val="00C60667"/>
    <w:rsid w:val="00C61AB9"/>
    <w:rsid w:val="00C61F84"/>
    <w:rsid w:val="00C622B9"/>
    <w:rsid w:val="00C62EFE"/>
    <w:rsid w:val="00C62FF7"/>
    <w:rsid w:val="00C63135"/>
    <w:rsid w:val="00C637DC"/>
    <w:rsid w:val="00C63EE8"/>
    <w:rsid w:val="00C6432E"/>
    <w:rsid w:val="00C65718"/>
    <w:rsid w:val="00C65C81"/>
    <w:rsid w:val="00C66772"/>
    <w:rsid w:val="00C66C3C"/>
    <w:rsid w:val="00C66D2B"/>
    <w:rsid w:val="00C67580"/>
    <w:rsid w:val="00C6781C"/>
    <w:rsid w:val="00C67B70"/>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1FA"/>
    <w:rsid w:val="00C837C4"/>
    <w:rsid w:val="00C83829"/>
    <w:rsid w:val="00C83EDD"/>
    <w:rsid w:val="00C84BF1"/>
    <w:rsid w:val="00C84CA2"/>
    <w:rsid w:val="00C854EB"/>
    <w:rsid w:val="00C85A36"/>
    <w:rsid w:val="00C85CD1"/>
    <w:rsid w:val="00C867EF"/>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0A4E"/>
    <w:rsid w:val="00CB110E"/>
    <w:rsid w:val="00CB11F8"/>
    <w:rsid w:val="00CB1EE0"/>
    <w:rsid w:val="00CB225B"/>
    <w:rsid w:val="00CB2EF5"/>
    <w:rsid w:val="00CB33E4"/>
    <w:rsid w:val="00CB4230"/>
    <w:rsid w:val="00CB431B"/>
    <w:rsid w:val="00CB4A77"/>
    <w:rsid w:val="00CB4EA5"/>
    <w:rsid w:val="00CB54D6"/>
    <w:rsid w:val="00CB557F"/>
    <w:rsid w:val="00CB592B"/>
    <w:rsid w:val="00CB5C5F"/>
    <w:rsid w:val="00CB600E"/>
    <w:rsid w:val="00CB65B8"/>
    <w:rsid w:val="00CB6B03"/>
    <w:rsid w:val="00CB6CDF"/>
    <w:rsid w:val="00CB7264"/>
    <w:rsid w:val="00CB730F"/>
    <w:rsid w:val="00CB761C"/>
    <w:rsid w:val="00CB76B5"/>
    <w:rsid w:val="00CB7AD6"/>
    <w:rsid w:val="00CC0495"/>
    <w:rsid w:val="00CC069C"/>
    <w:rsid w:val="00CC110F"/>
    <w:rsid w:val="00CC11B8"/>
    <w:rsid w:val="00CC1AF9"/>
    <w:rsid w:val="00CC20E0"/>
    <w:rsid w:val="00CC2818"/>
    <w:rsid w:val="00CC2F7A"/>
    <w:rsid w:val="00CC3A70"/>
    <w:rsid w:val="00CC4033"/>
    <w:rsid w:val="00CC40B8"/>
    <w:rsid w:val="00CC5444"/>
    <w:rsid w:val="00CC5631"/>
    <w:rsid w:val="00CC62A6"/>
    <w:rsid w:val="00CC676C"/>
    <w:rsid w:val="00CC6DE7"/>
    <w:rsid w:val="00CC7A11"/>
    <w:rsid w:val="00CD04A8"/>
    <w:rsid w:val="00CD051B"/>
    <w:rsid w:val="00CD1DB1"/>
    <w:rsid w:val="00CD22B5"/>
    <w:rsid w:val="00CD22F4"/>
    <w:rsid w:val="00CD25E1"/>
    <w:rsid w:val="00CD3290"/>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43DC"/>
    <w:rsid w:val="00CE54E1"/>
    <w:rsid w:val="00CE55B6"/>
    <w:rsid w:val="00CE5856"/>
    <w:rsid w:val="00CE5A4A"/>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3EC6"/>
    <w:rsid w:val="00CF4713"/>
    <w:rsid w:val="00CF4B12"/>
    <w:rsid w:val="00CF4B62"/>
    <w:rsid w:val="00CF547F"/>
    <w:rsid w:val="00CF58FE"/>
    <w:rsid w:val="00CF5EBE"/>
    <w:rsid w:val="00CF703B"/>
    <w:rsid w:val="00CF783B"/>
    <w:rsid w:val="00CF7D97"/>
    <w:rsid w:val="00CF7EEC"/>
    <w:rsid w:val="00CF7F8D"/>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4B79"/>
    <w:rsid w:val="00D05864"/>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83E"/>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6FC6"/>
    <w:rsid w:val="00D47234"/>
    <w:rsid w:val="00D47281"/>
    <w:rsid w:val="00D47581"/>
    <w:rsid w:val="00D50295"/>
    <w:rsid w:val="00D5069A"/>
    <w:rsid w:val="00D50E43"/>
    <w:rsid w:val="00D51469"/>
    <w:rsid w:val="00D52B45"/>
    <w:rsid w:val="00D530EB"/>
    <w:rsid w:val="00D53393"/>
    <w:rsid w:val="00D5359F"/>
    <w:rsid w:val="00D535B6"/>
    <w:rsid w:val="00D5366E"/>
    <w:rsid w:val="00D55235"/>
    <w:rsid w:val="00D55D78"/>
    <w:rsid w:val="00D572B2"/>
    <w:rsid w:val="00D57F53"/>
    <w:rsid w:val="00D60CAB"/>
    <w:rsid w:val="00D61035"/>
    <w:rsid w:val="00D610FD"/>
    <w:rsid w:val="00D612AF"/>
    <w:rsid w:val="00D619F3"/>
    <w:rsid w:val="00D62A5B"/>
    <w:rsid w:val="00D62B43"/>
    <w:rsid w:val="00D62ECD"/>
    <w:rsid w:val="00D63019"/>
    <w:rsid w:val="00D63748"/>
    <w:rsid w:val="00D639F0"/>
    <w:rsid w:val="00D63C1B"/>
    <w:rsid w:val="00D63D76"/>
    <w:rsid w:val="00D63F11"/>
    <w:rsid w:val="00D64BFF"/>
    <w:rsid w:val="00D64DE1"/>
    <w:rsid w:val="00D64E3F"/>
    <w:rsid w:val="00D653D0"/>
    <w:rsid w:val="00D66263"/>
    <w:rsid w:val="00D6692A"/>
    <w:rsid w:val="00D66E55"/>
    <w:rsid w:val="00D674E9"/>
    <w:rsid w:val="00D677BA"/>
    <w:rsid w:val="00D67814"/>
    <w:rsid w:val="00D6799A"/>
    <w:rsid w:val="00D7009C"/>
    <w:rsid w:val="00D70F17"/>
    <w:rsid w:val="00D712DA"/>
    <w:rsid w:val="00D719EF"/>
    <w:rsid w:val="00D72327"/>
    <w:rsid w:val="00D727E0"/>
    <w:rsid w:val="00D72B87"/>
    <w:rsid w:val="00D72C72"/>
    <w:rsid w:val="00D72F8E"/>
    <w:rsid w:val="00D72FEB"/>
    <w:rsid w:val="00D74160"/>
    <w:rsid w:val="00D75D22"/>
    <w:rsid w:val="00D75DA5"/>
    <w:rsid w:val="00D76C58"/>
    <w:rsid w:val="00D76CF2"/>
    <w:rsid w:val="00D76E7C"/>
    <w:rsid w:val="00D77933"/>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43D2"/>
    <w:rsid w:val="00D951DD"/>
    <w:rsid w:val="00D952ED"/>
    <w:rsid w:val="00D957FA"/>
    <w:rsid w:val="00D9664C"/>
    <w:rsid w:val="00D97404"/>
    <w:rsid w:val="00D975A3"/>
    <w:rsid w:val="00D979D0"/>
    <w:rsid w:val="00D97A62"/>
    <w:rsid w:val="00DA08CA"/>
    <w:rsid w:val="00DA0F37"/>
    <w:rsid w:val="00DA101A"/>
    <w:rsid w:val="00DA122C"/>
    <w:rsid w:val="00DA2FD5"/>
    <w:rsid w:val="00DA3FC8"/>
    <w:rsid w:val="00DA4838"/>
    <w:rsid w:val="00DA4989"/>
    <w:rsid w:val="00DA5721"/>
    <w:rsid w:val="00DA6173"/>
    <w:rsid w:val="00DA6B5C"/>
    <w:rsid w:val="00DA7477"/>
    <w:rsid w:val="00DA7573"/>
    <w:rsid w:val="00DA7BD4"/>
    <w:rsid w:val="00DB0191"/>
    <w:rsid w:val="00DB0359"/>
    <w:rsid w:val="00DB07F2"/>
    <w:rsid w:val="00DB0EF6"/>
    <w:rsid w:val="00DB0F8A"/>
    <w:rsid w:val="00DB0FCD"/>
    <w:rsid w:val="00DB26A8"/>
    <w:rsid w:val="00DB27CF"/>
    <w:rsid w:val="00DB324C"/>
    <w:rsid w:val="00DB3FD3"/>
    <w:rsid w:val="00DB5F2A"/>
    <w:rsid w:val="00DB6DCD"/>
    <w:rsid w:val="00DB6F45"/>
    <w:rsid w:val="00DB72B7"/>
    <w:rsid w:val="00DB7546"/>
    <w:rsid w:val="00DC05A5"/>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A22"/>
    <w:rsid w:val="00DC5B50"/>
    <w:rsid w:val="00DC66BC"/>
    <w:rsid w:val="00DC6C01"/>
    <w:rsid w:val="00DC727F"/>
    <w:rsid w:val="00DC7E78"/>
    <w:rsid w:val="00DD0493"/>
    <w:rsid w:val="00DD0924"/>
    <w:rsid w:val="00DD0CBF"/>
    <w:rsid w:val="00DD1071"/>
    <w:rsid w:val="00DD12FD"/>
    <w:rsid w:val="00DD1576"/>
    <w:rsid w:val="00DD2098"/>
    <w:rsid w:val="00DD2893"/>
    <w:rsid w:val="00DD4717"/>
    <w:rsid w:val="00DD47E9"/>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5F7D"/>
    <w:rsid w:val="00DE666B"/>
    <w:rsid w:val="00DE734E"/>
    <w:rsid w:val="00DE7887"/>
    <w:rsid w:val="00DE7BF8"/>
    <w:rsid w:val="00DE7DCF"/>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3D93"/>
    <w:rsid w:val="00E04510"/>
    <w:rsid w:val="00E04784"/>
    <w:rsid w:val="00E04A62"/>
    <w:rsid w:val="00E0544F"/>
    <w:rsid w:val="00E05569"/>
    <w:rsid w:val="00E05A6C"/>
    <w:rsid w:val="00E05F59"/>
    <w:rsid w:val="00E0655D"/>
    <w:rsid w:val="00E1024A"/>
    <w:rsid w:val="00E10B17"/>
    <w:rsid w:val="00E10B67"/>
    <w:rsid w:val="00E11301"/>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17A81"/>
    <w:rsid w:val="00E20CC5"/>
    <w:rsid w:val="00E21ACA"/>
    <w:rsid w:val="00E22B80"/>
    <w:rsid w:val="00E22C0E"/>
    <w:rsid w:val="00E22CFF"/>
    <w:rsid w:val="00E231CD"/>
    <w:rsid w:val="00E231E1"/>
    <w:rsid w:val="00E23888"/>
    <w:rsid w:val="00E23B9C"/>
    <w:rsid w:val="00E23CE3"/>
    <w:rsid w:val="00E23CF7"/>
    <w:rsid w:val="00E23E76"/>
    <w:rsid w:val="00E249DB"/>
    <w:rsid w:val="00E250E0"/>
    <w:rsid w:val="00E253A3"/>
    <w:rsid w:val="00E25402"/>
    <w:rsid w:val="00E259B0"/>
    <w:rsid w:val="00E25AF8"/>
    <w:rsid w:val="00E25D27"/>
    <w:rsid w:val="00E26AEC"/>
    <w:rsid w:val="00E2757B"/>
    <w:rsid w:val="00E2792D"/>
    <w:rsid w:val="00E30828"/>
    <w:rsid w:val="00E30B37"/>
    <w:rsid w:val="00E3109C"/>
    <w:rsid w:val="00E311D1"/>
    <w:rsid w:val="00E31C2D"/>
    <w:rsid w:val="00E32432"/>
    <w:rsid w:val="00E33B1E"/>
    <w:rsid w:val="00E34277"/>
    <w:rsid w:val="00E351F1"/>
    <w:rsid w:val="00E3621B"/>
    <w:rsid w:val="00E36F43"/>
    <w:rsid w:val="00E37F0C"/>
    <w:rsid w:val="00E40ADF"/>
    <w:rsid w:val="00E418E3"/>
    <w:rsid w:val="00E423DE"/>
    <w:rsid w:val="00E42F07"/>
    <w:rsid w:val="00E4370F"/>
    <w:rsid w:val="00E4441D"/>
    <w:rsid w:val="00E453AB"/>
    <w:rsid w:val="00E46149"/>
    <w:rsid w:val="00E462E6"/>
    <w:rsid w:val="00E463A0"/>
    <w:rsid w:val="00E47839"/>
    <w:rsid w:val="00E51CDE"/>
    <w:rsid w:val="00E5210B"/>
    <w:rsid w:val="00E53631"/>
    <w:rsid w:val="00E5388F"/>
    <w:rsid w:val="00E54239"/>
    <w:rsid w:val="00E54272"/>
    <w:rsid w:val="00E542BC"/>
    <w:rsid w:val="00E54521"/>
    <w:rsid w:val="00E54617"/>
    <w:rsid w:val="00E5484B"/>
    <w:rsid w:val="00E55ED7"/>
    <w:rsid w:val="00E56023"/>
    <w:rsid w:val="00E56D6E"/>
    <w:rsid w:val="00E56FEF"/>
    <w:rsid w:val="00E577F9"/>
    <w:rsid w:val="00E57FB5"/>
    <w:rsid w:val="00E60F14"/>
    <w:rsid w:val="00E61B23"/>
    <w:rsid w:val="00E625BE"/>
    <w:rsid w:val="00E6284B"/>
    <w:rsid w:val="00E62D07"/>
    <w:rsid w:val="00E62DF6"/>
    <w:rsid w:val="00E63A22"/>
    <w:rsid w:val="00E63B8F"/>
    <w:rsid w:val="00E640F2"/>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1B87"/>
    <w:rsid w:val="00E828D5"/>
    <w:rsid w:val="00E82D81"/>
    <w:rsid w:val="00E83259"/>
    <w:rsid w:val="00E839BE"/>
    <w:rsid w:val="00E83CAC"/>
    <w:rsid w:val="00E84C89"/>
    <w:rsid w:val="00E85E3C"/>
    <w:rsid w:val="00E85E56"/>
    <w:rsid w:val="00E860DD"/>
    <w:rsid w:val="00E8713D"/>
    <w:rsid w:val="00E90329"/>
    <w:rsid w:val="00E910D5"/>
    <w:rsid w:val="00E92272"/>
    <w:rsid w:val="00E922C4"/>
    <w:rsid w:val="00E943AE"/>
    <w:rsid w:val="00E947B0"/>
    <w:rsid w:val="00E95D82"/>
    <w:rsid w:val="00E95F21"/>
    <w:rsid w:val="00E96273"/>
    <w:rsid w:val="00E96E97"/>
    <w:rsid w:val="00E97D49"/>
    <w:rsid w:val="00EA0251"/>
    <w:rsid w:val="00EA1065"/>
    <w:rsid w:val="00EA1434"/>
    <w:rsid w:val="00EA1E18"/>
    <w:rsid w:val="00EA3657"/>
    <w:rsid w:val="00EA3C3E"/>
    <w:rsid w:val="00EA4694"/>
    <w:rsid w:val="00EA48D3"/>
    <w:rsid w:val="00EA546B"/>
    <w:rsid w:val="00EA57C5"/>
    <w:rsid w:val="00EA5D7E"/>
    <w:rsid w:val="00EA5F31"/>
    <w:rsid w:val="00EA5F92"/>
    <w:rsid w:val="00EA5FAC"/>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77C"/>
    <w:rsid w:val="00EC1C3A"/>
    <w:rsid w:val="00EC1F51"/>
    <w:rsid w:val="00EC2B1D"/>
    <w:rsid w:val="00EC3A4E"/>
    <w:rsid w:val="00EC4233"/>
    <w:rsid w:val="00EC4544"/>
    <w:rsid w:val="00EC4A85"/>
    <w:rsid w:val="00EC57B2"/>
    <w:rsid w:val="00EC58F4"/>
    <w:rsid w:val="00EC650B"/>
    <w:rsid w:val="00EC6FA3"/>
    <w:rsid w:val="00EC7808"/>
    <w:rsid w:val="00EC7BFA"/>
    <w:rsid w:val="00ED042E"/>
    <w:rsid w:val="00ED1295"/>
    <w:rsid w:val="00ED2725"/>
    <w:rsid w:val="00ED34D1"/>
    <w:rsid w:val="00ED367F"/>
    <w:rsid w:val="00ED4206"/>
    <w:rsid w:val="00ED58A2"/>
    <w:rsid w:val="00ED58C3"/>
    <w:rsid w:val="00ED5C71"/>
    <w:rsid w:val="00ED5EEE"/>
    <w:rsid w:val="00ED5FCF"/>
    <w:rsid w:val="00ED667C"/>
    <w:rsid w:val="00ED7966"/>
    <w:rsid w:val="00EE01CC"/>
    <w:rsid w:val="00EE02F4"/>
    <w:rsid w:val="00EE04EE"/>
    <w:rsid w:val="00EE1760"/>
    <w:rsid w:val="00EE287D"/>
    <w:rsid w:val="00EE3A6D"/>
    <w:rsid w:val="00EE3B32"/>
    <w:rsid w:val="00EE3CFF"/>
    <w:rsid w:val="00EE3F39"/>
    <w:rsid w:val="00EE414C"/>
    <w:rsid w:val="00EE44FE"/>
    <w:rsid w:val="00EE4F2B"/>
    <w:rsid w:val="00EE5406"/>
    <w:rsid w:val="00EE5EF8"/>
    <w:rsid w:val="00EE622E"/>
    <w:rsid w:val="00EE6964"/>
    <w:rsid w:val="00EE6A1D"/>
    <w:rsid w:val="00EE6D18"/>
    <w:rsid w:val="00EE7E7A"/>
    <w:rsid w:val="00EF1230"/>
    <w:rsid w:val="00EF223B"/>
    <w:rsid w:val="00EF2655"/>
    <w:rsid w:val="00EF29DE"/>
    <w:rsid w:val="00EF3586"/>
    <w:rsid w:val="00EF3978"/>
    <w:rsid w:val="00EF3AAC"/>
    <w:rsid w:val="00EF4D42"/>
    <w:rsid w:val="00EF4FD1"/>
    <w:rsid w:val="00EF5318"/>
    <w:rsid w:val="00EF6803"/>
    <w:rsid w:val="00EF708A"/>
    <w:rsid w:val="00EF72C3"/>
    <w:rsid w:val="00EF79CE"/>
    <w:rsid w:val="00F00152"/>
    <w:rsid w:val="00F00352"/>
    <w:rsid w:val="00F00B1B"/>
    <w:rsid w:val="00F00E37"/>
    <w:rsid w:val="00F010EE"/>
    <w:rsid w:val="00F01383"/>
    <w:rsid w:val="00F0167D"/>
    <w:rsid w:val="00F0177A"/>
    <w:rsid w:val="00F019D5"/>
    <w:rsid w:val="00F02500"/>
    <w:rsid w:val="00F02A7D"/>
    <w:rsid w:val="00F032E2"/>
    <w:rsid w:val="00F03450"/>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121"/>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2A1"/>
    <w:rsid w:val="00F365A7"/>
    <w:rsid w:val="00F3681C"/>
    <w:rsid w:val="00F3769D"/>
    <w:rsid w:val="00F404F4"/>
    <w:rsid w:val="00F4143E"/>
    <w:rsid w:val="00F41CC5"/>
    <w:rsid w:val="00F41D25"/>
    <w:rsid w:val="00F423C2"/>
    <w:rsid w:val="00F433F8"/>
    <w:rsid w:val="00F433FE"/>
    <w:rsid w:val="00F43627"/>
    <w:rsid w:val="00F43781"/>
    <w:rsid w:val="00F4463C"/>
    <w:rsid w:val="00F46FDB"/>
    <w:rsid w:val="00F473A5"/>
    <w:rsid w:val="00F473F3"/>
    <w:rsid w:val="00F474B8"/>
    <w:rsid w:val="00F478CA"/>
    <w:rsid w:val="00F47CE2"/>
    <w:rsid w:val="00F501F3"/>
    <w:rsid w:val="00F50A98"/>
    <w:rsid w:val="00F50E5F"/>
    <w:rsid w:val="00F51460"/>
    <w:rsid w:val="00F51667"/>
    <w:rsid w:val="00F521DC"/>
    <w:rsid w:val="00F526FB"/>
    <w:rsid w:val="00F53199"/>
    <w:rsid w:val="00F541A1"/>
    <w:rsid w:val="00F54B09"/>
    <w:rsid w:val="00F54BEA"/>
    <w:rsid w:val="00F54E8A"/>
    <w:rsid w:val="00F55844"/>
    <w:rsid w:val="00F559A8"/>
    <w:rsid w:val="00F55C21"/>
    <w:rsid w:val="00F55E5F"/>
    <w:rsid w:val="00F55F6D"/>
    <w:rsid w:val="00F572CF"/>
    <w:rsid w:val="00F5736B"/>
    <w:rsid w:val="00F57880"/>
    <w:rsid w:val="00F608AB"/>
    <w:rsid w:val="00F60B3B"/>
    <w:rsid w:val="00F60BE7"/>
    <w:rsid w:val="00F6159C"/>
    <w:rsid w:val="00F61714"/>
    <w:rsid w:val="00F6238F"/>
    <w:rsid w:val="00F63E59"/>
    <w:rsid w:val="00F64BE0"/>
    <w:rsid w:val="00F655F0"/>
    <w:rsid w:val="00F65B68"/>
    <w:rsid w:val="00F663B3"/>
    <w:rsid w:val="00F66B7B"/>
    <w:rsid w:val="00F67846"/>
    <w:rsid w:val="00F67B42"/>
    <w:rsid w:val="00F700DB"/>
    <w:rsid w:val="00F70B72"/>
    <w:rsid w:val="00F70DEF"/>
    <w:rsid w:val="00F70EA3"/>
    <w:rsid w:val="00F71398"/>
    <w:rsid w:val="00F7294C"/>
    <w:rsid w:val="00F72C5F"/>
    <w:rsid w:val="00F73549"/>
    <w:rsid w:val="00F75782"/>
    <w:rsid w:val="00F80C1D"/>
    <w:rsid w:val="00F81130"/>
    <w:rsid w:val="00F818F7"/>
    <w:rsid w:val="00F81EB2"/>
    <w:rsid w:val="00F8245A"/>
    <w:rsid w:val="00F8325D"/>
    <w:rsid w:val="00F832A9"/>
    <w:rsid w:val="00F832B0"/>
    <w:rsid w:val="00F83307"/>
    <w:rsid w:val="00F833A5"/>
    <w:rsid w:val="00F844D3"/>
    <w:rsid w:val="00F84629"/>
    <w:rsid w:val="00F84B71"/>
    <w:rsid w:val="00F84F0E"/>
    <w:rsid w:val="00F8519E"/>
    <w:rsid w:val="00F85FF5"/>
    <w:rsid w:val="00F8619E"/>
    <w:rsid w:val="00F86BB4"/>
    <w:rsid w:val="00F870F5"/>
    <w:rsid w:val="00F8757D"/>
    <w:rsid w:val="00F902D2"/>
    <w:rsid w:val="00F90B12"/>
    <w:rsid w:val="00F90CBD"/>
    <w:rsid w:val="00F9109E"/>
    <w:rsid w:val="00F9177E"/>
    <w:rsid w:val="00F91E4F"/>
    <w:rsid w:val="00F91FDF"/>
    <w:rsid w:val="00F92AA1"/>
    <w:rsid w:val="00F92FDC"/>
    <w:rsid w:val="00F931D2"/>
    <w:rsid w:val="00F93431"/>
    <w:rsid w:val="00F93A4A"/>
    <w:rsid w:val="00F93D27"/>
    <w:rsid w:val="00F94820"/>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00F"/>
    <w:rsid w:val="00FB304A"/>
    <w:rsid w:val="00FB3BC4"/>
    <w:rsid w:val="00FB3F9C"/>
    <w:rsid w:val="00FB3FDE"/>
    <w:rsid w:val="00FB4676"/>
    <w:rsid w:val="00FB5552"/>
    <w:rsid w:val="00FB5789"/>
    <w:rsid w:val="00FB5F3A"/>
    <w:rsid w:val="00FB6344"/>
    <w:rsid w:val="00FB6AA9"/>
    <w:rsid w:val="00FB6AD4"/>
    <w:rsid w:val="00FB7F22"/>
    <w:rsid w:val="00FC00F3"/>
    <w:rsid w:val="00FC0A33"/>
    <w:rsid w:val="00FC1416"/>
    <w:rsid w:val="00FC14B2"/>
    <w:rsid w:val="00FC1823"/>
    <w:rsid w:val="00FC2198"/>
    <w:rsid w:val="00FC26A4"/>
    <w:rsid w:val="00FC2C93"/>
    <w:rsid w:val="00FC325A"/>
    <w:rsid w:val="00FC33ED"/>
    <w:rsid w:val="00FC3E37"/>
    <w:rsid w:val="00FC43AD"/>
    <w:rsid w:val="00FC5876"/>
    <w:rsid w:val="00FC62F5"/>
    <w:rsid w:val="00FC731E"/>
    <w:rsid w:val="00FC79B5"/>
    <w:rsid w:val="00FD035A"/>
    <w:rsid w:val="00FD19F1"/>
    <w:rsid w:val="00FD1A7E"/>
    <w:rsid w:val="00FD2CC3"/>
    <w:rsid w:val="00FD31BF"/>
    <w:rsid w:val="00FD3CC7"/>
    <w:rsid w:val="00FD4148"/>
    <w:rsid w:val="00FD4D5B"/>
    <w:rsid w:val="00FD4E0C"/>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259"/>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C3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2" w:unhideWhenUsed="1"/>
    <w:lsdException w:name="index heading" w:semiHidden="1"/>
    <w:lsdException w:name="caption" w:semiHidden="1" w:uiPriority="8"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uiPriority="1" w:qFormat="1"/>
    <w:lsdException w:name="List 2" w:semiHidden="1"/>
    <w:lsdException w:name="List 3" w:semiHidden="1"/>
    <w:lsdException w:name="List 4" w:semiHidden="1"/>
    <w:lsdException w:name="List 5" w:semiHidden="1"/>
    <w:lsdException w:name="List Bullet 2" w:semiHidden="1" w:uiPriority="1"/>
    <w:lsdException w:name="List Bullet 3" w:semiHidden="1" w:uiPriority="1" w:qFormat="1"/>
    <w:lsdException w:name="List Bullet 4" w:semiHidden="1" w:uiPriority="1"/>
    <w:lsdException w:name="List Bullet 5" w:semiHidden="1" w:uiPriority="1"/>
    <w:lsdException w:name="List Number 2" w:semiHidden="1" w:uiPriority="1"/>
    <w:lsdException w:name="List Number 3" w:semiHidden="1" w:uiPriority="1" w:qFormat="1"/>
    <w:lsdException w:name="List Number 4" w:semiHidden="1" w:uiPriority="1" w:qFormat="1"/>
    <w:lsdException w:name="List Number 5" w:semiHidden="1" w:uiPriority="1"/>
    <w:lsdException w:name="Title" w:uiPriority="2"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uiPriority="0"/>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3"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43164"/>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234F6A"/>
    <w:pPr>
      <w:keepNext/>
      <w:tabs>
        <w:tab w:val="left" w:pos="851"/>
      </w:tabs>
      <w:spacing w:before="360" w:after="0" w:line="240" w:lineRule="auto"/>
      <w:ind w:left="851" w:hanging="851"/>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984D09"/>
    <w:pPr>
      <w:keepNext/>
      <w:tabs>
        <w:tab w:val="left" w:pos="851"/>
      </w:tabs>
      <w:spacing w:before="360" w:after="0" w:line="240" w:lineRule="auto"/>
      <w:ind w:left="851" w:hanging="851"/>
      <w:jc w:val="left"/>
      <w:outlineLvl w:val="2"/>
    </w:pPr>
    <w:rPr>
      <w:rFonts w:eastAsiaTheme="majorEastAsia" w:cstheme="majorBidi"/>
      <w:b/>
      <w:bCs/>
      <w:sz w:val="28"/>
    </w:rPr>
  </w:style>
  <w:style w:type="paragraph" w:styleId="Heading4">
    <w:name w:val="heading 4"/>
    <w:basedOn w:val="Heading3"/>
    <w:next w:val="BodyText"/>
    <w:link w:val="Heading4Char"/>
    <w:qFormat/>
    <w:rsid w:val="006F1EC2"/>
    <w:pPr>
      <w:spacing w:before="240"/>
      <w:outlineLvl w:val="3"/>
    </w:pPr>
    <w:rPr>
      <w:color w:val="0F7B7D"/>
      <w:sz w:val="24"/>
    </w:rPr>
  </w:style>
  <w:style w:type="paragraph" w:styleId="Heading5">
    <w:name w:val="heading 5"/>
    <w:basedOn w:val="Normal"/>
    <w:next w:val="BodyText"/>
    <w:link w:val="Heading5Char"/>
    <w:qFormat/>
    <w:rsid w:val="00BA2A04"/>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234F6A"/>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984D09"/>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6F1EC2"/>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BA2A04"/>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994F37"/>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5F66DD"/>
    <w:pPr>
      <w:numPr>
        <w:numId w:val="34"/>
      </w:numPr>
      <w:tabs>
        <w:tab w:val="left" w:pos="397"/>
      </w:tabs>
      <w:spacing w:before="0" w:line="240" w:lineRule="atLeas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2"/>
    <w:semiHidden/>
    <w:rsid w:val="00EA64B4"/>
    <w:pPr>
      <w:tabs>
        <w:tab w:val="center" w:pos="4153"/>
        <w:tab w:val="right" w:pos="8306"/>
      </w:tabs>
    </w:pPr>
  </w:style>
  <w:style w:type="character" w:customStyle="1" w:styleId="FooterChar">
    <w:name w:val="Footer Char"/>
    <w:basedOn w:val="DefaultParagraphFont"/>
    <w:link w:val="Footer"/>
    <w:uiPriority w:val="2"/>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6A10D2"/>
    <w:pPr>
      <w:keepNext/>
      <w:spacing w:line="260" w:lineRule="atLeas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89"/>
    <w:rsid w:val="00EA64B4"/>
    <w:pPr>
      <w:jc w:val="left"/>
    </w:pPr>
  </w:style>
  <w:style w:type="paragraph" w:customStyle="1" w:styleId="Note">
    <w:name w:val="Note"/>
    <w:basedOn w:val="BodyText"/>
    <w:next w:val="Normal"/>
    <w:uiPriority w:val="1"/>
    <w:qFormat/>
    <w:rsid w:val="00BD12A5"/>
    <w:pPr>
      <w:spacing w:line="260" w:lineRule="atLeast"/>
    </w:pPr>
    <w:rPr>
      <w:sz w:val="18"/>
    </w:rPr>
  </w:style>
  <w:style w:type="paragraph" w:customStyle="1" w:styleId="References">
    <w:name w:val="References"/>
    <w:basedOn w:val="Normal"/>
    <w:uiPriority w:val="17"/>
    <w:qFormat/>
    <w:rsid w:val="00554B30"/>
    <w:pPr>
      <w:spacing w:before="0" w:line="260" w:lineRule="atLeast"/>
      <w:jc w:val="left"/>
    </w:pPr>
    <w:rPr>
      <w:sz w:val="20"/>
    </w:rPr>
  </w:style>
  <w:style w:type="paragraph" w:customStyle="1" w:styleId="Source">
    <w:name w:val="Source"/>
    <w:basedOn w:val="Normal"/>
    <w:next w:val="Normal"/>
    <w:qFormat/>
    <w:rsid w:val="00984D09"/>
    <w:pPr>
      <w:tabs>
        <w:tab w:val="left" w:pos="680"/>
      </w:tabs>
      <w:spacing w:line="260" w:lineRule="atLeast"/>
      <w:jc w:val="left"/>
    </w:pPr>
    <w:rPr>
      <w:sz w:val="18"/>
    </w:rPr>
  </w:style>
  <w:style w:type="paragraph" w:styleId="Title">
    <w:name w:val="Title"/>
    <w:basedOn w:val="Normal"/>
    <w:link w:val="TitleChar"/>
    <w:uiPriority w:val="2"/>
    <w:qFormat/>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qFormat/>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link w:val="GlossaryChar"/>
    <w:uiPriority w:val="18"/>
    <w:qFormat/>
    <w:rsid w:val="00EA64B4"/>
    <w:pPr>
      <w:tabs>
        <w:tab w:val="left" w:pos="2835"/>
      </w:tabs>
      <w:spacing w:after="0"/>
      <w:jc w:val="left"/>
    </w:pPr>
  </w:style>
  <w:style w:type="paragraph" w:customStyle="1" w:styleId="Footerodd">
    <w:name w:val="Footer odd"/>
    <w:basedOn w:val="Normal"/>
    <w:uiPriority w:val="99"/>
    <w:rsid w:val="00EA64B4"/>
    <w:pPr>
      <w:tabs>
        <w:tab w:val="right" w:pos="7938"/>
        <w:tab w:val="right" w:pos="8505"/>
      </w:tabs>
      <w:jc w:val="left"/>
    </w:pPr>
    <w:rPr>
      <w:sz w:val="16"/>
    </w:rPr>
  </w:style>
  <w:style w:type="paragraph" w:customStyle="1" w:styleId="Footereven">
    <w:name w:val="Footer even"/>
    <w:basedOn w:val="Normal"/>
    <w:uiPriority w:val="99"/>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character" w:customStyle="1" w:styleId="UnresolvedMention1">
    <w:name w:val="Unresolved Mention1"/>
    <w:basedOn w:val="DefaultParagraphFont"/>
    <w:uiPriority w:val="99"/>
    <w:semiHidden/>
    <w:unhideWhenUsed/>
    <w:rsid w:val="00794C4B"/>
    <w:rPr>
      <w:color w:val="605E5C"/>
      <w:shd w:val="clear" w:color="auto" w:fill="E1DFDD"/>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3"/>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qFormat/>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8"/>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5F66D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ListBullet">
    <w:name w:val="List Bullet"/>
    <w:basedOn w:val="BodyText"/>
    <w:semiHidden/>
    <w:qFormat/>
    <w:rsid w:val="00896DD5"/>
    <w:pPr>
      <w:numPr>
        <w:numId w:val="38"/>
      </w:numPr>
      <w:spacing w:line="240" w:lineRule="auto"/>
    </w:pPr>
    <w:rPr>
      <w:rFonts w:eastAsia="Times New Roman" w:cs="Times New Roman"/>
      <w:lang w:eastAsia="en-AU"/>
    </w:rPr>
  </w:style>
  <w:style w:type="paragraph" w:styleId="ListBullet2">
    <w:name w:val="List Bullet 2"/>
    <w:basedOn w:val="ListBullet"/>
    <w:uiPriority w:val="1"/>
    <w:semiHidden/>
    <w:rsid w:val="00896DD5"/>
    <w:pPr>
      <w:numPr>
        <w:ilvl w:val="1"/>
      </w:numPr>
    </w:pPr>
  </w:style>
  <w:style w:type="paragraph" w:styleId="ListBullet4">
    <w:name w:val="List Bullet 4"/>
    <w:basedOn w:val="ListBullet"/>
    <w:uiPriority w:val="1"/>
    <w:semiHidden/>
    <w:rsid w:val="00896DD5"/>
    <w:pPr>
      <w:numPr>
        <w:ilvl w:val="3"/>
      </w:numPr>
    </w:pPr>
  </w:style>
  <w:style w:type="paragraph" w:styleId="ListBullet5">
    <w:name w:val="List Bullet 5"/>
    <w:basedOn w:val="ListBullet4"/>
    <w:uiPriority w:val="1"/>
    <w:semiHidden/>
    <w:rsid w:val="00896DD5"/>
    <w:pPr>
      <w:numPr>
        <w:ilvl w:val="4"/>
      </w:numPr>
    </w:pPr>
  </w:style>
  <w:style w:type="paragraph" w:styleId="CommentText">
    <w:name w:val="annotation text"/>
    <w:basedOn w:val="Normal"/>
    <w:link w:val="CommentTextChar"/>
    <w:uiPriority w:val="99"/>
    <w:rsid w:val="004230F8"/>
    <w:pPr>
      <w:spacing w:before="0" w:after="0" w:line="240" w:lineRule="auto"/>
      <w:jc w:val="left"/>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rsid w:val="004230F8"/>
    <w:rPr>
      <w:rFonts w:ascii="Calibri" w:eastAsia="Times New Roman" w:hAnsi="Calibri" w:cs="Times New Roman"/>
      <w:sz w:val="20"/>
      <w:szCs w:val="20"/>
      <w:lang w:eastAsia="en-AU"/>
    </w:rPr>
  </w:style>
  <w:style w:type="paragraph" w:customStyle="1" w:styleId="BoxText">
    <w:name w:val="Box Text"/>
    <w:semiHidden/>
    <w:qFormat/>
    <w:rsid w:val="00552375"/>
    <w:pPr>
      <w:spacing w:before="120" w:after="120" w:line="240" w:lineRule="auto"/>
      <w:ind w:right="397"/>
    </w:pPr>
    <w:rPr>
      <w:rFonts w:ascii="Calibri" w:eastAsia="Times New Roman" w:hAnsi="Calibri" w:cs="Times New Roman"/>
      <w:szCs w:val="20"/>
      <w:lang w:eastAsia="en-AU"/>
    </w:rPr>
  </w:style>
  <w:style w:type="paragraph" w:customStyle="1" w:styleId="Default">
    <w:name w:val="Default"/>
    <w:semiHidden/>
    <w:rsid w:val="00552375"/>
    <w:pPr>
      <w:autoSpaceDE w:val="0"/>
      <w:autoSpaceDN w:val="0"/>
      <w:adjustRightInd w:val="0"/>
      <w:spacing w:after="0" w:line="240" w:lineRule="auto"/>
    </w:pPr>
    <w:rPr>
      <w:rFonts w:ascii="Calibri" w:hAnsi="Calibri" w:cs="Calibri"/>
      <w:color w:val="000000"/>
      <w:sz w:val="24"/>
      <w:szCs w:val="24"/>
    </w:rPr>
  </w:style>
  <w:style w:type="paragraph" w:customStyle="1" w:styleId="BoxHeading1">
    <w:name w:val="Box Heading"/>
    <w:basedOn w:val="BoxText"/>
    <w:next w:val="BoxText"/>
    <w:semiHidden/>
    <w:qFormat/>
    <w:rsid w:val="00552375"/>
    <w:pPr>
      <w:keepNext/>
      <w:spacing w:before="200" w:after="200"/>
      <w:contextualSpacing/>
    </w:pPr>
    <w:rPr>
      <w:rFonts w:asciiTheme="majorHAnsi" w:hAnsiTheme="majorHAnsi"/>
      <w:b/>
      <w:bCs/>
      <w:color w:val="1F497D" w:themeColor="text2"/>
      <w:szCs w:val="22"/>
    </w:rPr>
  </w:style>
  <w:style w:type="paragraph" w:styleId="TOCHeading">
    <w:name w:val="TOC Heading"/>
    <w:basedOn w:val="Heading1"/>
    <w:next w:val="Normal"/>
    <w:uiPriority w:val="10"/>
    <w:semiHidden/>
    <w:unhideWhenUsed/>
    <w:qFormat/>
    <w:rsid w:val="00552375"/>
    <w:pPr>
      <w:tabs>
        <w:tab w:val="clear" w:pos="851"/>
      </w:tabs>
      <w:spacing w:after="480"/>
      <w:outlineLvl w:val="9"/>
    </w:pPr>
    <w:rPr>
      <w:color w:val="6FC7B7"/>
      <w:sz w:val="60"/>
      <w:lang w:eastAsia="en-AU"/>
    </w:rPr>
  </w:style>
  <w:style w:type="paragraph" w:customStyle="1" w:styleId="Note2">
    <w:name w:val="Note2"/>
    <w:uiPriority w:val="6"/>
    <w:semiHidden/>
    <w:qFormat/>
    <w:rsid w:val="00552375"/>
    <w:pPr>
      <w:numPr>
        <w:numId w:val="49"/>
      </w:numPr>
      <w:spacing w:before="120" w:after="0" w:line="240" w:lineRule="auto"/>
    </w:pPr>
    <w:rPr>
      <w:rFonts w:eastAsia="Times New Roman" w:cs="Times New Roman"/>
      <w:sz w:val="18"/>
      <w:szCs w:val="18"/>
      <w:lang w:eastAsia="en-AU"/>
    </w:rPr>
  </w:style>
  <w:style w:type="character" w:styleId="PageNumber">
    <w:name w:val="page number"/>
    <w:uiPriority w:val="99"/>
    <w:semiHidden/>
    <w:rsid w:val="00552375"/>
    <w:rPr>
      <w:rFonts w:asciiTheme="minorHAnsi" w:hAnsiTheme="minorHAnsi" w:cs="Calibri"/>
      <w:b/>
      <w:bCs/>
      <w:sz w:val="18"/>
      <w:szCs w:val="20"/>
      <w:lang w:val="en-NZ"/>
    </w:rPr>
  </w:style>
  <w:style w:type="paragraph" w:customStyle="1" w:styleId="TOCSubheading">
    <w:name w:val="TOC Subheading"/>
    <w:next w:val="Normal"/>
    <w:uiPriority w:val="11"/>
    <w:semiHidden/>
    <w:unhideWhenUsed/>
    <w:qFormat/>
    <w:rsid w:val="00552375"/>
    <w:pPr>
      <w:keepNext/>
      <w:spacing w:before="600" w:after="0" w:line="240" w:lineRule="auto"/>
    </w:pPr>
    <w:rPr>
      <w:rFonts w:eastAsia="Times New Roman" w:cs="Times New Roman"/>
      <w:b/>
      <w:color w:val="6FC7B7"/>
      <w:sz w:val="32"/>
      <w:lang w:eastAsia="en-AU"/>
    </w:rPr>
  </w:style>
  <w:style w:type="paragraph" w:styleId="BlockText">
    <w:name w:val="Block Text"/>
    <w:basedOn w:val="Normal"/>
    <w:uiPriority w:val="99"/>
    <w:semiHidden/>
    <w:rsid w:val="00552375"/>
    <w:pPr>
      <w:spacing w:before="0" w:line="240" w:lineRule="auto"/>
      <w:ind w:left="1440" w:right="1440"/>
      <w:jc w:val="left"/>
    </w:pPr>
    <w:rPr>
      <w:rFonts w:eastAsia="Times New Roman" w:cs="Times New Roman"/>
      <w:lang w:eastAsia="en-AU"/>
    </w:rPr>
  </w:style>
  <w:style w:type="paragraph" w:styleId="BodyText2">
    <w:name w:val="Body Text 2"/>
    <w:basedOn w:val="BodyText"/>
    <w:next w:val="BodyText"/>
    <w:link w:val="BodyText2Char1"/>
    <w:semiHidden/>
    <w:rsid w:val="00552375"/>
    <w:pPr>
      <w:spacing w:before="240" w:line="240" w:lineRule="auto"/>
    </w:pPr>
    <w:rPr>
      <w:rFonts w:eastAsia="Times New Roman" w:cs="Times New Roman"/>
      <w:lang w:eastAsia="en-AU"/>
    </w:rPr>
  </w:style>
  <w:style w:type="character" w:customStyle="1" w:styleId="BodyText2Char">
    <w:name w:val="Body Text 2 Char"/>
    <w:basedOn w:val="DefaultParagraphFont"/>
    <w:uiPriority w:val="99"/>
    <w:semiHidden/>
    <w:rsid w:val="00552375"/>
    <w:rPr>
      <w:rFonts w:ascii="Calibri" w:eastAsiaTheme="minorEastAsia" w:hAnsi="Calibri"/>
      <w:lang w:eastAsia="en-NZ"/>
    </w:rPr>
  </w:style>
  <w:style w:type="paragraph" w:styleId="BodyText3">
    <w:name w:val="Body Text 3"/>
    <w:basedOn w:val="Normal"/>
    <w:link w:val="BodyText3Char"/>
    <w:uiPriority w:val="99"/>
    <w:semiHidden/>
    <w:rsid w:val="00552375"/>
    <w:pPr>
      <w:spacing w:before="0" w:line="240" w:lineRule="auto"/>
      <w:jc w:val="left"/>
    </w:pPr>
    <w:rPr>
      <w:rFonts w:eastAsia="Times New Roman" w:cs="Times New Roman"/>
      <w:sz w:val="16"/>
      <w:szCs w:val="16"/>
      <w:lang w:eastAsia="en-AU"/>
    </w:rPr>
  </w:style>
  <w:style w:type="character" w:customStyle="1" w:styleId="BodyText3Char">
    <w:name w:val="Body Text 3 Char"/>
    <w:basedOn w:val="DefaultParagraphFont"/>
    <w:link w:val="BodyText3"/>
    <w:uiPriority w:val="99"/>
    <w:semiHidden/>
    <w:rsid w:val="00552375"/>
    <w:rPr>
      <w:rFonts w:ascii="Calibri" w:eastAsia="Times New Roman" w:hAnsi="Calibri" w:cs="Times New Roman"/>
      <w:sz w:val="16"/>
      <w:szCs w:val="16"/>
      <w:lang w:eastAsia="en-AU"/>
    </w:rPr>
  </w:style>
  <w:style w:type="paragraph" w:styleId="BodyTextFirstIndent">
    <w:name w:val="Body Text First Indent"/>
    <w:basedOn w:val="BodyText"/>
    <w:link w:val="BodyTextFirstIndentChar"/>
    <w:uiPriority w:val="99"/>
    <w:semiHidden/>
    <w:rsid w:val="00552375"/>
    <w:pPr>
      <w:spacing w:line="240" w:lineRule="auto"/>
      <w:ind w:firstLine="210"/>
    </w:pPr>
    <w:rPr>
      <w:rFonts w:eastAsia="Times New Roman" w:cs="Times New Roman"/>
      <w:lang w:eastAsia="en-AU"/>
    </w:rPr>
  </w:style>
  <w:style w:type="character" w:customStyle="1" w:styleId="BodyTextFirstIndentChar">
    <w:name w:val="Body Text First Indent Char"/>
    <w:basedOn w:val="BodyTextChar"/>
    <w:link w:val="BodyTextFirstIndent"/>
    <w:uiPriority w:val="99"/>
    <w:semiHidden/>
    <w:rsid w:val="00552375"/>
    <w:rPr>
      <w:rFonts w:ascii="Calibri" w:eastAsia="Times New Roman" w:hAnsi="Calibri" w:cs="Times New Roman"/>
      <w:lang w:eastAsia="en-AU"/>
    </w:rPr>
  </w:style>
  <w:style w:type="character" w:customStyle="1" w:styleId="BodyText2Char1">
    <w:name w:val="Body Text 2 Char1"/>
    <w:link w:val="BodyText2"/>
    <w:semiHidden/>
    <w:rsid w:val="00552375"/>
    <w:rPr>
      <w:rFonts w:ascii="Calibri" w:eastAsia="Times New Roman" w:hAnsi="Calibri" w:cs="Times New Roman"/>
      <w:lang w:eastAsia="en-AU"/>
    </w:rPr>
  </w:style>
  <w:style w:type="paragraph" w:styleId="BodyTextIndent">
    <w:name w:val="Body Text Indent"/>
    <w:basedOn w:val="Normal"/>
    <w:link w:val="BodyTextIndentChar"/>
    <w:uiPriority w:val="99"/>
    <w:semiHidden/>
    <w:unhideWhenUsed/>
    <w:rsid w:val="00552375"/>
    <w:pPr>
      <w:spacing w:before="0" w:line="240" w:lineRule="auto"/>
      <w:ind w:left="283"/>
      <w:jc w:val="left"/>
    </w:pPr>
    <w:rPr>
      <w:rFonts w:eastAsia="Times New Roman" w:cs="Times New Roman"/>
      <w:lang w:eastAsia="en-AU"/>
    </w:rPr>
  </w:style>
  <w:style w:type="character" w:customStyle="1" w:styleId="BodyTextIndentChar">
    <w:name w:val="Body Text Indent Char"/>
    <w:basedOn w:val="DefaultParagraphFont"/>
    <w:link w:val="BodyTextIndent"/>
    <w:uiPriority w:val="99"/>
    <w:semiHidden/>
    <w:rsid w:val="00552375"/>
    <w:rPr>
      <w:rFonts w:ascii="Calibri" w:eastAsia="Times New Roman" w:hAnsi="Calibri" w:cs="Times New Roman"/>
      <w:lang w:eastAsia="en-AU"/>
    </w:rPr>
  </w:style>
  <w:style w:type="paragraph" w:styleId="BodyTextFirstIndent2">
    <w:name w:val="Body Text First Indent 2"/>
    <w:basedOn w:val="BodyText2"/>
    <w:link w:val="BodyTextFirstIndent2Char"/>
    <w:uiPriority w:val="99"/>
    <w:semiHidden/>
    <w:rsid w:val="00552375"/>
    <w:pPr>
      <w:ind w:firstLine="210"/>
    </w:pPr>
  </w:style>
  <w:style w:type="character" w:customStyle="1" w:styleId="BodyTextFirstIndent2Char">
    <w:name w:val="Body Text First Indent 2 Char"/>
    <w:basedOn w:val="BodyTextIndentChar"/>
    <w:link w:val="BodyTextFirstIndent2"/>
    <w:uiPriority w:val="99"/>
    <w:semiHidden/>
    <w:rsid w:val="00552375"/>
    <w:rPr>
      <w:rFonts w:ascii="Calibri" w:eastAsia="Times New Roman" w:hAnsi="Calibri" w:cs="Times New Roman"/>
      <w:lang w:eastAsia="en-AU"/>
    </w:rPr>
  </w:style>
  <w:style w:type="paragraph" w:styleId="BodyTextIndent2">
    <w:name w:val="Body Text Indent 2"/>
    <w:basedOn w:val="Normal"/>
    <w:link w:val="BodyTextIndent2Char"/>
    <w:uiPriority w:val="99"/>
    <w:semiHidden/>
    <w:rsid w:val="00552375"/>
    <w:pPr>
      <w:spacing w:before="0" w:line="480" w:lineRule="auto"/>
      <w:ind w:left="283"/>
      <w:jc w:val="left"/>
    </w:pPr>
    <w:rPr>
      <w:rFonts w:eastAsia="Times New Roman" w:cs="Times New Roman"/>
      <w:lang w:eastAsia="en-AU"/>
    </w:rPr>
  </w:style>
  <w:style w:type="character" w:customStyle="1" w:styleId="BodyTextIndent2Char">
    <w:name w:val="Body Text Indent 2 Char"/>
    <w:basedOn w:val="DefaultParagraphFont"/>
    <w:link w:val="BodyTextIndent2"/>
    <w:uiPriority w:val="99"/>
    <w:semiHidden/>
    <w:rsid w:val="00552375"/>
    <w:rPr>
      <w:rFonts w:ascii="Calibri" w:eastAsia="Times New Roman" w:hAnsi="Calibri" w:cs="Times New Roman"/>
      <w:lang w:eastAsia="en-AU"/>
    </w:rPr>
  </w:style>
  <w:style w:type="paragraph" w:styleId="BodyTextIndent3">
    <w:name w:val="Body Text Indent 3"/>
    <w:basedOn w:val="Normal"/>
    <w:link w:val="BodyTextIndent3Char"/>
    <w:uiPriority w:val="99"/>
    <w:semiHidden/>
    <w:rsid w:val="00552375"/>
    <w:pPr>
      <w:spacing w:before="0" w:line="240" w:lineRule="auto"/>
      <w:ind w:left="283"/>
      <w:jc w:val="left"/>
    </w:pPr>
    <w:rPr>
      <w:rFonts w:eastAsia="Times New Roman" w:cs="Times New Roman"/>
      <w:sz w:val="16"/>
      <w:szCs w:val="16"/>
      <w:lang w:eastAsia="en-AU"/>
    </w:rPr>
  </w:style>
  <w:style w:type="character" w:customStyle="1" w:styleId="BodyTextIndent3Char">
    <w:name w:val="Body Text Indent 3 Char"/>
    <w:basedOn w:val="DefaultParagraphFont"/>
    <w:link w:val="BodyTextIndent3"/>
    <w:uiPriority w:val="99"/>
    <w:semiHidden/>
    <w:rsid w:val="00552375"/>
    <w:rPr>
      <w:rFonts w:ascii="Calibri" w:eastAsia="Times New Roman" w:hAnsi="Calibri" w:cs="Times New Roman"/>
      <w:sz w:val="16"/>
      <w:szCs w:val="16"/>
      <w:lang w:eastAsia="en-AU"/>
    </w:rPr>
  </w:style>
  <w:style w:type="paragraph" w:styleId="Date">
    <w:name w:val="Date"/>
    <w:basedOn w:val="Normal"/>
    <w:next w:val="Normal"/>
    <w:link w:val="DateChar"/>
    <w:uiPriority w:val="99"/>
    <w:semiHidden/>
    <w:rsid w:val="00552375"/>
    <w:pPr>
      <w:spacing w:before="0" w:after="0" w:line="240" w:lineRule="auto"/>
      <w:jc w:val="left"/>
    </w:pPr>
    <w:rPr>
      <w:rFonts w:eastAsia="Times New Roman" w:cs="Times New Roman"/>
      <w:lang w:eastAsia="en-AU"/>
    </w:rPr>
  </w:style>
  <w:style w:type="character" w:customStyle="1" w:styleId="DateChar">
    <w:name w:val="Date Char"/>
    <w:basedOn w:val="DefaultParagraphFont"/>
    <w:link w:val="Date"/>
    <w:uiPriority w:val="99"/>
    <w:semiHidden/>
    <w:rsid w:val="00552375"/>
    <w:rPr>
      <w:rFonts w:ascii="Calibri" w:eastAsia="Times New Roman" w:hAnsi="Calibri" w:cs="Times New Roman"/>
      <w:lang w:eastAsia="en-AU"/>
    </w:rPr>
  </w:style>
  <w:style w:type="paragraph" w:styleId="E-mailSignature">
    <w:name w:val="E-mail Signature"/>
    <w:basedOn w:val="Normal"/>
    <w:link w:val="E-mailSignatureChar"/>
    <w:uiPriority w:val="99"/>
    <w:semiHidden/>
    <w:rsid w:val="00552375"/>
    <w:pPr>
      <w:spacing w:before="0" w:after="0" w:line="240" w:lineRule="auto"/>
      <w:jc w:val="left"/>
    </w:pPr>
    <w:rPr>
      <w:rFonts w:eastAsia="Times New Roman" w:cs="Times New Roman"/>
      <w:lang w:eastAsia="en-AU"/>
    </w:rPr>
  </w:style>
  <w:style w:type="character" w:customStyle="1" w:styleId="E-mailSignatureChar">
    <w:name w:val="E-mail Signature Char"/>
    <w:basedOn w:val="DefaultParagraphFont"/>
    <w:link w:val="E-mailSignature"/>
    <w:uiPriority w:val="99"/>
    <w:semiHidden/>
    <w:rsid w:val="00552375"/>
    <w:rPr>
      <w:rFonts w:ascii="Calibri" w:eastAsia="Times New Roman" w:hAnsi="Calibri" w:cs="Times New Roman"/>
      <w:lang w:eastAsia="en-AU"/>
    </w:rPr>
  </w:style>
  <w:style w:type="character" w:styleId="Emphasis">
    <w:name w:val="Emphasis"/>
    <w:uiPriority w:val="20"/>
    <w:semiHidden/>
    <w:qFormat/>
    <w:rsid w:val="00552375"/>
    <w:rPr>
      <w:i/>
      <w:iCs/>
    </w:rPr>
  </w:style>
  <w:style w:type="paragraph" w:styleId="EnvelopeAddress">
    <w:name w:val="envelope address"/>
    <w:basedOn w:val="Normal"/>
    <w:uiPriority w:val="99"/>
    <w:semiHidden/>
    <w:rsid w:val="00552375"/>
    <w:pPr>
      <w:framePr w:w="7920" w:h="1980" w:hRule="exact" w:hSpace="180" w:wrap="auto" w:hAnchor="page" w:xAlign="center" w:yAlign="bottom"/>
      <w:spacing w:before="0" w:after="0" w:line="240" w:lineRule="auto"/>
      <w:ind w:left="2880"/>
      <w:jc w:val="left"/>
    </w:pPr>
    <w:rPr>
      <w:rFonts w:ascii="Arial" w:eastAsia="Times New Roman" w:hAnsi="Arial" w:cs="Arial"/>
      <w:sz w:val="24"/>
      <w:szCs w:val="24"/>
      <w:lang w:eastAsia="en-AU"/>
    </w:rPr>
  </w:style>
  <w:style w:type="character" w:styleId="HTMLAcronym">
    <w:name w:val="HTML Acronym"/>
    <w:basedOn w:val="DefaultParagraphFont"/>
    <w:uiPriority w:val="99"/>
    <w:semiHidden/>
    <w:rsid w:val="00552375"/>
  </w:style>
  <w:style w:type="paragraph" w:styleId="HTMLAddress">
    <w:name w:val="HTML Address"/>
    <w:basedOn w:val="Normal"/>
    <w:link w:val="HTMLAddressChar"/>
    <w:uiPriority w:val="99"/>
    <w:semiHidden/>
    <w:rsid w:val="00552375"/>
    <w:pPr>
      <w:spacing w:before="0" w:after="0" w:line="240" w:lineRule="auto"/>
      <w:jc w:val="left"/>
    </w:pPr>
    <w:rPr>
      <w:rFonts w:eastAsia="Times New Roman" w:cs="Times New Roman"/>
      <w:i/>
      <w:iCs/>
      <w:lang w:eastAsia="en-AU"/>
    </w:rPr>
  </w:style>
  <w:style w:type="character" w:customStyle="1" w:styleId="HTMLAddressChar">
    <w:name w:val="HTML Address Char"/>
    <w:basedOn w:val="DefaultParagraphFont"/>
    <w:link w:val="HTMLAddress"/>
    <w:uiPriority w:val="99"/>
    <w:semiHidden/>
    <w:rsid w:val="00552375"/>
    <w:rPr>
      <w:rFonts w:ascii="Calibri" w:eastAsia="Times New Roman" w:hAnsi="Calibri" w:cs="Times New Roman"/>
      <w:i/>
      <w:iCs/>
      <w:lang w:eastAsia="en-AU"/>
    </w:rPr>
  </w:style>
  <w:style w:type="character" w:styleId="HTMLCite">
    <w:name w:val="HTML Cite"/>
    <w:uiPriority w:val="99"/>
    <w:semiHidden/>
    <w:rsid w:val="00552375"/>
    <w:rPr>
      <w:i/>
      <w:iCs/>
    </w:rPr>
  </w:style>
  <w:style w:type="character" w:styleId="HTMLCode">
    <w:name w:val="HTML Code"/>
    <w:uiPriority w:val="99"/>
    <w:semiHidden/>
    <w:rsid w:val="00552375"/>
    <w:rPr>
      <w:rFonts w:ascii="Courier New" w:hAnsi="Courier New" w:cs="Courier New"/>
      <w:sz w:val="20"/>
      <w:szCs w:val="20"/>
    </w:rPr>
  </w:style>
  <w:style w:type="character" w:styleId="HTMLDefinition">
    <w:name w:val="HTML Definition"/>
    <w:uiPriority w:val="99"/>
    <w:semiHidden/>
    <w:rsid w:val="00552375"/>
    <w:rPr>
      <w:i/>
      <w:iCs/>
    </w:rPr>
  </w:style>
  <w:style w:type="character" w:styleId="HTMLKeyboard">
    <w:name w:val="HTML Keyboard"/>
    <w:uiPriority w:val="99"/>
    <w:semiHidden/>
    <w:rsid w:val="00552375"/>
    <w:rPr>
      <w:rFonts w:ascii="Courier New" w:hAnsi="Courier New" w:cs="Courier New"/>
      <w:sz w:val="20"/>
      <w:szCs w:val="20"/>
    </w:rPr>
  </w:style>
  <w:style w:type="paragraph" w:styleId="HTMLPreformatted">
    <w:name w:val="HTML Preformatted"/>
    <w:basedOn w:val="Normal"/>
    <w:link w:val="HTMLPreformattedChar"/>
    <w:uiPriority w:val="99"/>
    <w:semiHidden/>
    <w:rsid w:val="00552375"/>
    <w:pPr>
      <w:spacing w:before="0" w:after="0" w:line="240" w:lineRule="auto"/>
      <w:jc w:val="left"/>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552375"/>
    <w:rPr>
      <w:rFonts w:ascii="Courier New" w:eastAsia="Times New Roman" w:hAnsi="Courier New" w:cs="Courier New"/>
      <w:sz w:val="20"/>
      <w:szCs w:val="20"/>
      <w:lang w:eastAsia="en-AU"/>
    </w:rPr>
  </w:style>
  <w:style w:type="character" w:styleId="HTMLSample">
    <w:name w:val="HTML Sample"/>
    <w:uiPriority w:val="99"/>
    <w:semiHidden/>
    <w:rsid w:val="00552375"/>
    <w:rPr>
      <w:rFonts w:ascii="Courier New" w:hAnsi="Courier New" w:cs="Courier New"/>
    </w:rPr>
  </w:style>
  <w:style w:type="character" w:styleId="HTMLTypewriter">
    <w:name w:val="HTML Typewriter"/>
    <w:uiPriority w:val="99"/>
    <w:semiHidden/>
    <w:rsid w:val="00552375"/>
    <w:rPr>
      <w:rFonts w:ascii="Courier New" w:hAnsi="Courier New" w:cs="Courier New"/>
      <w:sz w:val="20"/>
      <w:szCs w:val="20"/>
    </w:rPr>
  </w:style>
  <w:style w:type="character" w:styleId="HTMLVariable">
    <w:name w:val="HTML Variable"/>
    <w:uiPriority w:val="99"/>
    <w:semiHidden/>
    <w:rsid w:val="00552375"/>
    <w:rPr>
      <w:i/>
      <w:iCs/>
    </w:rPr>
  </w:style>
  <w:style w:type="character" w:styleId="LineNumber">
    <w:name w:val="line number"/>
    <w:basedOn w:val="DefaultParagraphFont"/>
    <w:uiPriority w:val="99"/>
    <w:semiHidden/>
    <w:rsid w:val="00552375"/>
  </w:style>
  <w:style w:type="paragraph" w:styleId="List">
    <w:name w:val="List"/>
    <w:basedOn w:val="Normal"/>
    <w:uiPriority w:val="99"/>
    <w:semiHidden/>
    <w:rsid w:val="00552375"/>
    <w:pPr>
      <w:spacing w:before="0" w:after="0" w:line="240" w:lineRule="auto"/>
      <w:ind w:left="283" w:hanging="283"/>
      <w:jc w:val="left"/>
    </w:pPr>
    <w:rPr>
      <w:rFonts w:eastAsia="Times New Roman" w:cs="Times New Roman"/>
      <w:lang w:eastAsia="en-AU"/>
    </w:rPr>
  </w:style>
  <w:style w:type="paragraph" w:styleId="List2">
    <w:name w:val="List 2"/>
    <w:basedOn w:val="Normal"/>
    <w:uiPriority w:val="99"/>
    <w:semiHidden/>
    <w:rsid w:val="00552375"/>
    <w:pPr>
      <w:spacing w:before="0" w:after="0" w:line="240" w:lineRule="auto"/>
      <w:ind w:left="566" w:hanging="283"/>
      <w:jc w:val="left"/>
    </w:pPr>
    <w:rPr>
      <w:rFonts w:eastAsia="Times New Roman" w:cs="Times New Roman"/>
      <w:lang w:eastAsia="en-AU"/>
    </w:rPr>
  </w:style>
  <w:style w:type="paragraph" w:styleId="List3">
    <w:name w:val="List 3"/>
    <w:basedOn w:val="Normal"/>
    <w:uiPriority w:val="99"/>
    <w:semiHidden/>
    <w:rsid w:val="00552375"/>
    <w:pPr>
      <w:spacing w:before="0" w:after="0" w:line="240" w:lineRule="auto"/>
      <w:ind w:left="849" w:hanging="283"/>
      <w:jc w:val="left"/>
    </w:pPr>
    <w:rPr>
      <w:rFonts w:eastAsia="Times New Roman" w:cs="Times New Roman"/>
      <w:lang w:eastAsia="en-AU"/>
    </w:rPr>
  </w:style>
  <w:style w:type="paragraph" w:styleId="List4">
    <w:name w:val="List 4"/>
    <w:basedOn w:val="Normal"/>
    <w:uiPriority w:val="99"/>
    <w:semiHidden/>
    <w:rsid w:val="00552375"/>
    <w:pPr>
      <w:spacing w:before="0" w:after="0" w:line="240" w:lineRule="auto"/>
      <w:ind w:left="1132" w:hanging="283"/>
      <w:jc w:val="left"/>
    </w:pPr>
    <w:rPr>
      <w:rFonts w:eastAsia="Times New Roman" w:cs="Times New Roman"/>
      <w:lang w:eastAsia="en-AU"/>
    </w:rPr>
  </w:style>
  <w:style w:type="paragraph" w:styleId="List5">
    <w:name w:val="List 5"/>
    <w:basedOn w:val="Normal"/>
    <w:uiPriority w:val="99"/>
    <w:semiHidden/>
    <w:rsid w:val="00552375"/>
    <w:pPr>
      <w:spacing w:before="0" w:after="0" w:line="240" w:lineRule="auto"/>
      <w:ind w:left="1415" w:hanging="283"/>
      <w:jc w:val="left"/>
    </w:pPr>
    <w:rPr>
      <w:rFonts w:eastAsia="Times New Roman" w:cs="Times New Roman"/>
      <w:lang w:eastAsia="en-AU"/>
    </w:rPr>
  </w:style>
  <w:style w:type="paragraph" w:styleId="ListContinue">
    <w:name w:val="List Continue"/>
    <w:basedOn w:val="Normal"/>
    <w:uiPriority w:val="99"/>
    <w:semiHidden/>
    <w:rsid w:val="00552375"/>
    <w:pPr>
      <w:spacing w:before="0" w:line="240" w:lineRule="auto"/>
      <w:ind w:left="283"/>
      <w:jc w:val="left"/>
    </w:pPr>
    <w:rPr>
      <w:rFonts w:eastAsia="Times New Roman" w:cs="Times New Roman"/>
      <w:lang w:eastAsia="en-AU"/>
    </w:rPr>
  </w:style>
  <w:style w:type="paragraph" w:styleId="ListContinue2">
    <w:name w:val="List Continue 2"/>
    <w:basedOn w:val="Normal"/>
    <w:uiPriority w:val="99"/>
    <w:semiHidden/>
    <w:rsid w:val="00552375"/>
    <w:pPr>
      <w:spacing w:before="0" w:line="240" w:lineRule="auto"/>
      <w:ind w:left="566"/>
      <w:jc w:val="left"/>
    </w:pPr>
    <w:rPr>
      <w:rFonts w:eastAsia="Times New Roman" w:cs="Times New Roman"/>
      <w:lang w:eastAsia="en-AU"/>
    </w:rPr>
  </w:style>
  <w:style w:type="paragraph" w:styleId="ListContinue3">
    <w:name w:val="List Continue 3"/>
    <w:basedOn w:val="Normal"/>
    <w:uiPriority w:val="99"/>
    <w:semiHidden/>
    <w:rsid w:val="00552375"/>
    <w:pPr>
      <w:spacing w:before="0" w:line="240" w:lineRule="auto"/>
      <w:ind w:left="849"/>
      <w:jc w:val="left"/>
    </w:pPr>
    <w:rPr>
      <w:rFonts w:eastAsia="Times New Roman" w:cs="Times New Roman"/>
      <w:lang w:eastAsia="en-AU"/>
    </w:rPr>
  </w:style>
  <w:style w:type="paragraph" w:styleId="ListContinue4">
    <w:name w:val="List Continue 4"/>
    <w:basedOn w:val="Normal"/>
    <w:uiPriority w:val="99"/>
    <w:semiHidden/>
    <w:rsid w:val="00552375"/>
    <w:pPr>
      <w:spacing w:before="0" w:line="240" w:lineRule="auto"/>
      <w:ind w:left="1132"/>
      <w:jc w:val="left"/>
    </w:pPr>
    <w:rPr>
      <w:rFonts w:eastAsia="Times New Roman" w:cs="Times New Roman"/>
      <w:lang w:eastAsia="en-AU"/>
    </w:rPr>
  </w:style>
  <w:style w:type="paragraph" w:styleId="ListContinue5">
    <w:name w:val="List Continue 5"/>
    <w:basedOn w:val="Normal"/>
    <w:uiPriority w:val="99"/>
    <w:semiHidden/>
    <w:rsid w:val="00552375"/>
    <w:pPr>
      <w:spacing w:before="0" w:line="240" w:lineRule="auto"/>
      <w:ind w:left="1415"/>
      <w:jc w:val="left"/>
    </w:pPr>
    <w:rPr>
      <w:rFonts w:eastAsia="Times New Roman" w:cs="Times New Roman"/>
      <w:lang w:eastAsia="en-AU"/>
    </w:rPr>
  </w:style>
  <w:style w:type="paragraph" w:styleId="ListNumber">
    <w:name w:val="List Number"/>
    <w:basedOn w:val="BodyText"/>
    <w:uiPriority w:val="1"/>
    <w:semiHidden/>
    <w:qFormat/>
    <w:rsid w:val="00552375"/>
    <w:pPr>
      <w:numPr>
        <w:numId w:val="47"/>
      </w:numPr>
      <w:spacing w:line="240" w:lineRule="auto"/>
    </w:pPr>
    <w:rPr>
      <w:rFonts w:eastAsia="Times New Roman" w:cs="Times New Roman"/>
      <w:lang w:eastAsia="en-AU"/>
    </w:rPr>
  </w:style>
  <w:style w:type="paragraph" w:styleId="ListNumber2">
    <w:name w:val="List Number 2"/>
    <w:basedOn w:val="ListNumber"/>
    <w:uiPriority w:val="1"/>
    <w:semiHidden/>
    <w:rsid w:val="00552375"/>
    <w:pPr>
      <w:numPr>
        <w:ilvl w:val="1"/>
      </w:numPr>
    </w:pPr>
  </w:style>
  <w:style w:type="paragraph" w:styleId="ListNumber5">
    <w:name w:val="List Number 5"/>
    <w:basedOn w:val="ListNumber2"/>
    <w:uiPriority w:val="1"/>
    <w:semiHidden/>
    <w:rsid w:val="00552375"/>
    <w:pPr>
      <w:numPr>
        <w:ilvl w:val="4"/>
      </w:numPr>
    </w:pPr>
  </w:style>
  <w:style w:type="paragraph" w:styleId="MessageHeader">
    <w:name w:val="Message Header"/>
    <w:basedOn w:val="Normal"/>
    <w:link w:val="MessageHeaderChar"/>
    <w:uiPriority w:val="99"/>
    <w:semiHidden/>
    <w:rsid w:val="0055237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left"/>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uiPriority w:val="99"/>
    <w:semiHidden/>
    <w:rsid w:val="00552375"/>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552375"/>
    <w:pPr>
      <w:spacing w:before="0" w:after="0" w:line="240" w:lineRule="auto"/>
      <w:jc w:val="left"/>
    </w:pPr>
    <w:rPr>
      <w:rFonts w:eastAsia="Times New Roman" w:cs="Times New Roman"/>
      <w:sz w:val="24"/>
      <w:szCs w:val="24"/>
      <w:lang w:eastAsia="en-AU"/>
    </w:rPr>
  </w:style>
  <w:style w:type="paragraph" w:styleId="PlainText">
    <w:name w:val="Plain Text"/>
    <w:basedOn w:val="Normal"/>
    <w:link w:val="PlainTextChar"/>
    <w:uiPriority w:val="99"/>
    <w:semiHidden/>
    <w:rsid w:val="00552375"/>
    <w:pPr>
      <w:spacing w:before="0" w:after="0" w:line="240" w:lineRule="auto"/>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uiPriority w:val="99"/>
    <w:semiHidden/>
    <w:rsid w:val="00552375"/>
    <w:rPr>
      <w:rFonts w:ascii="Courier New" w:eastAsia="Times New Roman" w:hAnsi="Courier New" w:cs="Courier New"/>
      <w:sz w:val="20"/>
      <w:szCs w:val="20"/>
      <w:lang w:eastAsia="en-AU"/>
    </w:rPr>
  </w:style>
  <w:style w:type="paragraph" w:styleId="Salutation">
    <w:name w:val="Salutation"/>
    <w:basedOn w:val="Normal"/>
    <w:next w:val="Normal"/>
    <w:link w:val="SalutationChar"/>
    <w:uiPriority w:val="99"/>
    <w:semiHidden/>
    <w:rsid w:val="00552375"/>
    <w:pPr>
      <w:spacing w:before="0" w:after="0" w:line="240" w:lineRule="auto"/>
      <w:jc w:val="left"/>
    </w:pPr>
    <w:rPr>
      <w:rFonts w:eastAsia="Times New Roman" w:cs="Times New Roman"/>
      <w:lang w:eastAsia="en-AU"/>
    </w:rPr>
  </w:style>
  <w:style w:type="character" w:customStyle="1" w:styleId="SalutationChar">
    <w:name w:val="Salutation Char"/>
    <w:basedOn w:val="DefaultParagraphFont"/>
    <w:link w:val="Salutation"/>
    <w:uiPriority w:val="99"/>
    <w:semiHidden/>
    <w:rsid w:val="00552375"/>
    <w:rPr>
      <w:rFonts w:ascii="Calibri" w:eastAsia="Times New Roman" w:hAnsi="Calibri" w:cs="Times New Roman"/>
      <w:lang w:eastAsia="en-AU"/>
    </w:rPr>
  </w:style>
  <w:style w:type="paragraph" w:styleId="Signature">
    <w:name w:val="Signature"/>
    <w:basedOn w:val="Normal"/>
    <w:link w:val="SignatureChar"/>
    <w:uiPriority w:val="99"/>
    <w:semiHidden/>
    <w:rsid w:val="00552375"/>
    <w:pPr>
      <w:spacing w:before="0" w:after="0" w:line="240" w:lineRule="auto"/>
      <w:ind w:left="4252"/>
      <w:jc w:val="left"/>
    </w:pPr>
    <w:rPr>
      <w:rFonts w:eastAsia="Times New Roman" w:cs="Times New Roman"/>
      <w:lang w:eastAsia="en-AU"/>
    </w:rPr>
  </w:style>
  <w:style w:type="character" w:customStyle="1" w:styleId="SignatureChar">
    <w:name w:val="Signature Char"/>
    <w:basedOn w:val="DefaultParagraphFont"/>
    <w:link w:val="Signature"/>
    <w:uiPriority w:val="99"/>
    <w:semiHidden/>
    <w:rsid w:val="00552375"/>
    <w:rPr>
      <w:rFonts w:ascii="Calibri" w:eastAsia="Times New Roman" w:hAnsi="Calibri" w:cs="Times New Roman"/>
      <w:lang w:eastAsia="en-AU"/>
    </w:rPr>
  </w:style>
  <w:style w:type="table" w:styleId="Table3Deffects1">
    <w:name w:val="Table 3D effects 1"/>
    <w:basedOn w:val="TableNormal"/>
    <w:uiPriority w:val="99"/>
    <w:semiHidden/>
    <w:rsid w:val="00552375"/>
    <w:pPr>
      <w:spacing w:after="0" w:line="240" w:lineRule="auto"/>
    </w:pPr>
    <w:rPr>
      <w:rFonts w:ascii="Calibri" w:eastAsia="Times New Roman" w:hAnsi="Calibri" w:cs="Calibri"/>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552375"/>
    <w:pPr>
      <w:spacing w:after="0" w:line="240" w:lineRule="auto"/>
    </w:pPr>
    <w:rPr>
      <w:rFonts w:ascii="Calibri" w:eastAsia="Times New Roman" w:hAnsi="Calibri" w:cs="Calibri"/>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552375"/>
    <w:pPr>
      <w:spacing w:after="0" w:line="240" w:lineRule="auto"/>
    </w:pPr>
    <w:rPr>
      <w:rFonts w:ascii="Calibri" w:eastAsia="Times New Roman" w:hAnsi="Calibri" w:cs="Calibri"/>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552375"/>
    <w:pPr>
      <w:spacing w:before="0" w:after="0" w:line="240" w:lineRule="auto"/>
      <w:ind w:left="720"/>
      <w:jc w:val="left"/>
    </w:pPr>
    <w:rPr>
      <w:rFonts w:eastAsia="Times New Roman" w:cs="Times New Roman"/>
      <w:lang w:eastAsia="en-AU"/>
    </w:rPr>
  </w:style>
  <w:style w:type="table" w:styleId="TableClassic3">
    <w:name w:val="Table Classic 3"/>
    <w:basedOn w:val="TableNormal"/>
    <w:uiPriority w:val="99"/>
    <w:semiHidden/>
    <w:rsid w:val="00552375"/>
    <w:pPr>
      <w:spacing w:after="0" w:line="240" w:lineRule="auto"/>
    </w:pPr>
    <w:rPr>
      <w:rFonts w:ascii="Calibri" w:eastAsia="Times New Roman" w:hAnsi="Calibri" w:cs="Calibri"/>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552375"/>
    <w:pPr>
      <w:spacing w:after="0" w:line="240" w:lineRule="auto"/>
    </w:pPr>
    <w:rPr>
      <w:rFonts w:ascii="Calibri" w:eastAsia="Times New Roman" w:hAnsi="Calibri" w:cs="Calibri"/>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552375"/>
    <w:pPr>
      <w:spacing w:after="0" w:line="240" w:lineRule="auto"/>
    </w:pPr>
    <w:rPr>
      <w:rFonts w:ascii="Calibri" w:eastAsia="Times New Roman" w:hAnsi="Calibri" w:cs="Calibri"/>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552375"/>
    <w:pPr>
      <w:spacing w:after="0" w:line="240" w:lineRule="auto"/>
    </w:pPr>
    <w:rPr>
      <w:rFonts w:ascii="Calibri" w:eastAsia="Times New Roman" w:hAnsi="Calibri" w:cs="Calibri"/>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552375"/>
    <w:pPr>
      <w:spacing w:after="0" w:line="240" w:lineRule="auto"/>
    </w:pPr>
    <w:rPr>
      <w:rFonts w:ascii="Calibri" w:eastAsia="Times New Roman" w:hAnsi="Calibri" w:cs="Calibri"/>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552375"/>
    <w:pPr>
      <w:spacing w:after="0" w:line="240" w:lineRule="auto"/>
    </w:pPr>
    <w:rPr>
      <w:rFonts w:ascii="Calibri" w:eastAsia="Times New Roman" w:hAnsi="Calibri" w:cs="Calibri"/>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552375"/>
    <w:pPr>
      <w:spacing w:after="0" w:line="240" w:lineRule="auto"/>
    </w:pPr>
    <w:rPr>
      <w:rFonts w:ascii="Calibri" w:eastAsia="Times New Roman" w:hAnsi="Calibri" w:cs="Calibri"/>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552375"/>
    <w:pPr>
      <w:spacing w:after="0" w:line="240" w:lineRule="auto"/>
    </w:pPr>
    <w:rPr>
      <w:rFonts w:ascii="Calibri" w:eastAsia="Times New Roman" w:hAnsi="Calibri" w:cs="Calibri"/>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552375"/>
    <w:pPr>
      <w:spacing w:after="0" w:line="240" w:lineRule="auto"/>
    </w:pPr>
    <w:rPr>
      <w:rFonts w:ascii="Calibri" w:eastAsia="Times New Roman" w:hAnsi="Calibri" w:cs="Calibri"/>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552375"/>
    <w:pPr>
      <w:spacing w:after="0" w:line="240" w:lineRule="auto"/>
    </w:pPr>
    <w:rPr>
      <w:rFonts w:ascii="Calibri" w:eastAsia="Times New Roman" w:hAnsi="Calibri" w:cs="Calibri"/>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552375"/>
    <w:pPr>
      <w:spacing w:after="0" w:line="240" w:lineRule="auto"/>
    </w:pPr>
    <w:rPr>
      <w:rFonts w:ascii="Calibri" w:eastAsia="Times New Roman" w:hAnsi="Calibri" w:cs="Calibri"/>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552375"/>
    <w:pPr>
      <w:spacing w:after="0" w:line="240" w:lineRule="auto"/>
    </w:pPr>
    <w:rPr>
      <w:rFonts w:ascii="Calibri" w:eastAsia="Times New Roman" w:hAnsi="Calibri" w:cs="Calibri"/>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552375"/>
    <w:pPr>
      <w:spacing w:after="0" w:line="240" w:lineRule="auto"/>
    </w:pPr>
    <w:rPr>
      <w:rFonts w:ascii="Calibri" w:eastAsia="Times New Roman" w:hAnsi="Calibri" w:cs="Calibri"/>
      <w:lang w:val="en-AU" w:eastAsia="en-A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552375"/>
    <w:pPr>
      <w:spacing w:after="0" w:line="240" w:lineRule="auto"/>
    </w:pPr>
    <w:rPr>
      <w:rFonts w:ascii="Calibri" w:eastAsia="Times New Roman" w:hAnsi="Calibri" w:cs="Calibri"/>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552375"/>
    <w:pPr>
      <w:spacing w:after="0" w:line="240" w:lineRule="auto"/>
    </w:pPr>
    <w:rPr>
      <w:rFonts w:ascii="Calibri" w:eastAsia="Times New Roman" w:hAnsi="Calibri" w:cs="Calibri"/>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552375"/>
    <w:pPr>
      <w:spacing w:after="0" w:line="240" w:lineRule="auto"/>
    </w:pPr>
    <w:rPr>
      <w:rFonts w:ascii="Calibri" w:eastAsia="Times New Roman" w:hAnsi="Calibri" w:cs="Calibri"/>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552375"/>
    <w:pPr>
      <w:spacing w:after="0" w:line="240" w:lineRule="auto"/>
    </w:pPr>
    <w:rPr>
      <w:rFonts w:ascii="Calibri" w:eastAsia="Times New Roman" w:hAnsi="Calibri" w:cs="Calibri"/>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552375"/>
    <w:pPr>
      <w:spacing w:after="0" w:line="240" w:lineRule="auto"/>
    </w:pPr>
    <w:rPr>
      <w:rFonts w:ascii="Calibri" w:eastAsia="Times New Roman" w:hAnsi="Calibri" w:cs="Calibri"/>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552375"/>
    <w:pPr>
      <w:spacing w:after="0" w:line="240" w:lineRule="auto"/>
    </w:pPr>
    <w:rPr>
      <w:rFonts w:ascii="Calibri" w:eastAsia="Times New Roman" w:hAnsi="Calibri" w:cs="Calibri"/>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552375"/>
    <w:pPr>
      <w:spacing w:after="0" w:line="240" w:lineRule="auto"/>
    </w:pPr>
    <w:rPr>
      <w:rFonts w:ascii="Calibri" w:eastAsia="Times New Roman" w:hAnsi="Calibri" w:cs="Calibri"/>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552375"/>
    <w:pPr>
      <w:spacing w:after="0" w:line="240" w:lineRule="auto"/>
    </w:pPr>
    <w:rPr>
      <w:rFonts w:ascii="Calibri" w:eastAsia="Times New Roman" w:hAnsi="Calibri" w:cs="Calibri"/>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552375"/>
    <w:pPr>
      <w:spacing w:after="0" w:line="240" w:lineRule="auto"/>
    </w:pPr>
    <w:rPr>
      <w:rFonts w:ascii="Calibri" w:eastAsia="Times New Roman" w:hAnsi="Calibri" w:cs="Calibri"/>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552375"/>
    <w:pPr>
      <w:spacing w:after="0" w:line="240" w:lineRule="auto"/>
    </w:pPr>
    <w:rPr>
      <w:rFonts w:ascii="Calibri" w:eastAsia="Times New Roman" w:hAnsi="Calibri" w:cs="Calibri"/>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552375"/>
    <w:pPr>
      <w:spacing w:after="0" w:line="240" w:lineRule="auto"/>
    </w:pPr>
    <w:rPr>
      <w:rFonts w:ascii="Calibri" w:eastAsia="Times New Roman" w:hAnsi="Calibri" w:cs="Calibri"/>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552375"/>
    <w:pPr>
      <w:spacing w:after="0" w:line="240" w:lineRule="auto"/>
    </w:pPr>
    <w:rPr>
      <w:rFonts w:ascii="Calibri" w:eastAsia="Times New Roman" w:hAnsi="Calibri" w:cs="Calibri"/>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552375"/>
    <w:pPr>
      <w:spacing w:after="0" w:line="240" w:lineRule="auto"/>
    </w:pPr>
    <w:rPr>
      <w:rFonts w:ascii="Calibri" w:eastAsia="Times New Roman" w:hAnsi="Calibri" w:cs="Calibri"/>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552375"/>
    <w:pPr>
      <w:spacing w:after="0" w:line="240" w:lineRule="auto"/>
    </w:pPr>
    <w:rPr>
      <w:rFonts w:ascii="Calibri" w:eastAsia="Times New Roman" w:hAnsi="Calibri" w:cs="Calibri"/>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552375"/>
    <w:pPr>
      <w:spacing w:after="0" w:line="240" w:lineRule="auto"/>
    </w:pPr>
    <w:rPr>
      <w:rFonts w:ascii="Calibri" w:eastAsia="Times New Roman" w:hAnsi="Calibri" w:cs="Calibri"/>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552375"/>
    <w:pPr>
      <w:spacing w:after="0" w:line="240" w:lineRule="auto"/>
    </w:pPr>
    <w:rPr>
      <w:rFonts w:ascii="Calibri" w:eastAsia="Times New Roman" w:hAnsi="Calibri" w:cs="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552375"/>
    <w:pPr>
      <w:spacing w:after="0" w:line="240" w:lineRule="auto"/>
    </w:pPr>
    <w:rPr>
      <w:rFonts w:ascii="Calibri" w:eastAsia="Times New Roman" w:hAnsi="Calibri" w:cs="Calibri"/>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552375"/>
    <w:pPr>
      <w:spacing w:after="0" w:line="240" w:lineRule="auto"/>
    </w:pPr>
    <w:rPr>
      <w:rFonts w:ascii="Calibri" w:eastAsia="Times New Roman" w:hAnsi="Calibri" w:cs="Calibri"/>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552375"/>
    <w:pPr>
      <w:spacing w:after="0" w:line="240" w:lineRule="auto"/>
    </w:pPr>
    <w:rPr>
      <w:rFonts w:ascii="Calibri" w:eastAsia="Times New Roman" w:hAnsi="Calibri" w:cs="Calibri"/>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552375"/>
    <w:pPr>
      <w:spacing w:before="0" w:after="0" w:line="240" w:lineRule="auto"/>
      <w:ind w:left="4252"/>
      <w:jc w:val="left"/>
    </w:pPr>
    <w:rPr>
      <w:rFonts w:eastAsia="Times New Roman" w:cs="Times New Roman"/>
      <w:lang w:eastAsia="en-AU"/>
    </w:rPr>
  </w:style>
  <w:style w:type="character" w:customStyle="1" w:styleId="ClosingChar">
    <w:name w:val="Closing Char"/>
    <w:basedOn w:val="DefaultParagraphFont"/>
    <w:link w:val="Closing"/>
    <w:uiPriority w:val="99"/>
    <w:semiHidden/>
    <w:rsid w:val="00552375"/>
    <w:rPr>
      <w:rFonts w:ascii="Calibri" w:eastAsia="Times New Roman" w:hAnsi="Calibri" w:cs="Times New Roman"/>
      <w:lang w:eastAsia="en-AU"/>
    </w:rPr>
  </w:style>
  <w:style w:type="paragraph" w:styleId="EnvelopeReturn">
    <w:name w:val="envelope return"/>
    <w:basedOn w:val="Normal"/>
    <w:uiPriority w:val="99"/>
    <w:semiHidden/>
    <w:rsid w:val="00552375"/>
    <w:pPr>
      <w:spacing w:before="0" w:after="0" w:line="240" w:lineRule="auto"/>
      <w:jc w:val="left"/>
    </w:pPr>
    <w:rPr>
      <w:rFonts w:ascii="Arial" w:eastAsia="Times New Roman" w:hAnsi="Arial" w:cs="Arial"/>
      <w:sz w:val="20"/>
      <w:szCs w:val="20"/>
      <w:lang w:eastAsia="en-AU"/>
    </w:rPr>
  </w:style>
  <w:style w:type="paragraph" w:styleId="NoteHeading">
    <w:name w:val="Note Heading"/>
    <w:basedOn w:val="Normal"/>
    <w:next w:val="Normal"/>
    <w:link w:val="NoteHeadingChar"/>
    <w:uiPriority w:val="99"/>
    <w:semiHidden/>
    <w:rsid w:val="00552375"/>
    <w:pPr>
      <w:spacing w:before="0" w:after="0" w:line="240" w:lineRule="auto"/>
      <w:jc w:val="left"/>
    </w:pPr>
    <w:rPr>
      <w:rFonts w:eastAsia="Times New Roman" w:cs="Times New Roman"/>
      <w:lang w:eastAsia="en-AU"/>
    </w:rPr>
  </w:style>
  <w:style w:type="character" w:customStyle="1" w:styleId="NoteHeadingChar">
    <w:name w:val="Note Heading Char"/>
    <w:basedOn w:val="DefaultParagraphFont"/>
    <w:link w:val="NoteHeading"/>
    <w:uiPriority w:val="99"/>
    <w:semiHidden/>
    <w:rsid w:val="00552375"/>
    <w:rPr>
      <w:rFonts w:ascii="Calibri" w:eastAsia="Times New Roman" w:hAnsi="Calibri" w:cs="Times New Roman"/>
      <w:lang w:eastAsia="en-AU"/>
    </w:rPr>
  </w:style>
  <w:style w:type="numbering" w:styleId="1ai">
    <w:name w:val="Outline List 1"/>
    <w:basedOn w:val="NoList"/>
    <w:uiPriority w:val="99"/>
    <w:semiHidden/>
    <w:unhideWhenUsed/>
    <w:rsid w:val="00552375"/>
    <w:pPr>
      <w:numPr>
        <w:numId w:val="45"/>
      </w:numPr>
    </w:pPr>
  </w:style>
  <w:style w:type="numbering" w:styleId="111111">
    <w:name w:val="Outline List 2"/>
    <w:basedOn w:val="NoList"/>
    <w:uiPriority w:val="99"/>
    <w:semiHidden/>
    <w:unhideWhenUsed/>
    <w:rsid w:val="00552375"/>
    <w:pPr>
      <w:numPr>
        <w:numId w:val="44"/>
      </w:numPr>
    </w:pPr>
  </w:style>
  <w:style w:type="numbering" w:styleId="ArticleSection">
    <w:name w:val="Outline List 3"/>
    <w:basedOn w:val="NoList"/>
    <w:uiPriority w:val="99"/>
    <w:semiHidden/>
    <w:unhideWhenUsed/>
    <w:rsid w:val="00552375"/>
    <w:pPr>
      <w:numPr>
        <w:numId w:val="46"/>
      </w:numPr>
    </w:pPr>
  </w:style>
  <w:style w:type="paragraph" w:customStyle="1" w:styleId="CoverText">
    <w:name w:val="Cover Text"/>
    <w:uiPriority w:val="21"/>
    <w:semiHidden/>
    <w:rsid w:val="00552375"/>
    <w:pPr>
      <w:spacing w:after="0" w:line="240" w:lineRule="auto"/>
    </w:pPr>
    <w:rPr>
      <w:rFonts w:eastAsia="Times New Roman" w:cs="Times New Roman"/>
      <w:b/>
      <w:caps/>
      <w:color w:val="FFFFFF"/>
      <w:lang w:val="en-AU" w:eastAsia="en-AU"/>
    </w:rPr>
  </w:style>
  <w:style w:type="paragraph" w:customStyle="1" w:styleId="Note1">
    <w:name w:val="Note1"/>
    <w:uiPriority w:val="6"/>
    <w:semiHidden/>
    <w:qFormat/>
    <w:rsid w:val="00552375"/>
    <w:pPr>
      <w:numPr>
        <w:numId w:val="48"/>
      </w:numPr>
      <w:spacing w:before="120" w:after="0" w:line="240" w:lineRule="auto"/>
    </w:pPr>
    <w:rPr>
      <w:rFonts w:eastAsia="Times New Roman" w:cs="Times New Roman"/>
      <w:sz w:val="18"/>
      <w:szCs w:val="18"/>
      <w:lang w:eastAsia="en-AU"/>
    </w:rPr>
  </w:style>
  <w:style w:type="paragraph" w:customStyle="1" w:styleId="TextBoxHeading">
    <w:name w:val="Text Box Heading"/>
    <w:basedOn w:val="TextBoxNormal"/>
    <w:uiPriority w:val="14"/>
    <w:semiHidden/>
    <w:qFormat/>
    <w:rsid w:val="00552375"/>
    <w:rPr>
      <w:b/>
    </w:rPr>
  </w:style>
  <w:style w:type="paragraph" w:customStyle="1" w:styleId="TextBoxNormal">
    <w:name w:val="Text Box Normal"/>
    <w:basedOn w:val="Normal"/>
    <w:uiPriority w:val="14"/>
    <w:semiHidden/>
    <w:qFormat/>
    <w:rsid w:val="00552375"/>
    <w:pPr>
      <w:spacing w:line="240" w:lineRule="auto"/>
      <w:jc w:val="left"/>
    </w:pPr>
    <w:rPr>
      <w:rFonts w:eastAsia="Times New Roman" w:cs="Times New Roman"/>
      <w:color w:val="FFFFFF"/>
      <w:lang w:eastAsia="en-AU"/>
    </w:rPr>
  </w:style>
  <w:style w:type="paragraph" w:customStyle="1" w:styleId="QuoteBoxText">
    <w:name w:val="Quote Box Text"/>
    <w:uiPriority w:val="15"/>
    <w:semiHidden/>
    <w:qFormat/>
    <w:rsid w:val="00552375"/>
    <w:pPr>
      <w:spacing w:before="120" w:after="0" w:line="240" w:lineRule="auto"/>
      <w:ind w:left="397" w:right="397"/>
    </w:pPr>
    <w:rPr>
      <w:rFonts w:eastAsia="Times New Roman" w:cs="Times New Roman"/>
      <w:color w:val="FFFFFF"/>
      <w:lang w:val="en-AU" w:eastAsia="en-AU"/>
    </w:rPr>
  </w:style>
  <w:style w:type="paragraph" w:customStyle="1" w:styleId="QuoteBoxHeading">
    <w:name w:val="Quote Box Heading"/>
    <w:basedOn w:val="QuoteBoxText"/>
    <w:uiPriority w:val="15"/>
    <w:semiHidden/>
    <w:qFormat/>
    <w:rsid w:val="00552375"/>
    <w:pPr>
      <w:spacing w:before="280" w:after="120"/>
    </w:pPr>
    <w:rPr>
      <w:b/>
    </w:rPr>
  </w:style>
  <w:style w:type="paragraph" w:customStyle="1" w:styleId="SectionTitle">
    <w:name w:val="Section Title"/>
    <w:uiPriority w:val="22"/>
    <w:semiHidden/>
    <w:qFormat/>
    <w:rsid w:val="00552375"/>
    <w:pPr>
      <w:spacing w:after="0" w:line="240" w:lineRule="auto"/>
    </w:pPr>
    <w:rPr>
      <w:rFonts w:eastAsia="Times New Roman" w:cs="Times New Roman"/>
      <w:b/>
      <w:color w:val="1F497D" w:themeColor="text2"/>
      <w:sz w:val="60"/>
      <w:lang w:val="en-AU" w:eastAsia="en-AU"/>
    </w:rPr>
  </w:style>
  <w:style w:type="paragraph" w:customStyle="1" w:styleId="Watermark">
    <w:name w:val="Watermark"/>
    <w:uiPriority w:val="99"/>
    <w:semiHidden/>
    <w:rsid w:val="00552375"/>
    <w:pPr>
      <w:spacing w:after="0" w:line="1200" w:lineRule="exact"/>
    </w:pPr>
    <w:rPr>
      <w:rFonts w:asciiTheme="majorHAnsi" w:eastAsia="Times New Roman" w:hAnsiTheme="majorHAnsi" w:cs="Times New Roman"/>
      <w:b/>
      <w:caps/>
      <w:color w:val="D2DDE2" w:themeColor="accent3"/>
      <w:sz w:val="140"/>
      <w:lang w:val="en-AU" w:eastAsia="en-AU"/>
    </w:rPr>
  </w:style>
  <w:style w:type="character" w:customStyle="1" w:styleId="GlossaryChar">
    <w:name w:val="Glossary Char"/>
    <w:basedOn w:val="DefaultParagraphFont"/>
    <w:link w:val="Glossary"/>
    <w:uiPriority w:val="18"/>
    <w:rsid w:val="00552375"/>
    <w:rPr>
      <w:rFonts w:ascii="Calibri" w:eastAsiaTheme="minorEastAsia" w:hAnsi="Calibri"/>
      <w:lang w:eastAsia="en-NZ"/>
    </w:rPr>
  </w:style>
  <w:style w:type="paragraph" w:customStyle="1" w:styleId="Sub-listabc">
    <w:name w:val="Sub-list a b c"/>
    <w:basedOn w:val="BodyText"/>
    <w:qFormat/>
    <w:rsid w:val="00552375"/>
    <w:pPr>
      <w:numPr>
        <w:numId w:val="52"/>
      </w:numPr>
      <w:spacing w:before="0" w:line="240" w:lineRule="auto"/>
      <w:ind w:left="397" w:hanging="397"/>
    </w:pPr>
    <w:rPr>
      <w:rFonts w:eastAsia="Times New Roman" w:cs="Times New Roman"/>
      <w:lang w:eastAsia="en-AU"/>
    </w:rPr>
  </w:style>
  <w:style w:type="paragraph" w:customStyle="1" w:styleId="Quotebullet">
    <w:name w:val="Quote bullet"/>
    <w:basedOn w:val="ListBullet"/>
    <w:uiPriority w:val="99"/>
    <w:qFormat/>
    <w:rsid w:val="00552375"/>
    <w:pPr>
      <w:numPr>
        <w:numId w:val="0"/>
      </w:numPr>
      <w:ind w:left="794" w:right="397" w:firstLine="397"/>
    </w:pPr>
  </w:style>
  <w:style w:type="paragraph" w:customStyle="1" w:styleId="Hyperlink1">
    <w:name w:val="Hyperlink1"/>
    <w:basedOn w:val="BodyText"/>
    <w:link w:val="hyperlinkChar"/>
    <w:uiPriority w:val="99"/>
    <w:semiHidden/>
    <w:qFormat/>
    <w:rsid w:val="00552375"/>
    <w:pPr>
      <w:spacing w:line="240" w:lineRule="auto"/>
    </w:pPr>
    <w:rPr>
      <w:rFonts w:eastAsia="Times New Roman" w:cs="Times New Roman"/>
      <w:color w:val="6FC7B7"/>
      <w:lang w:eastAsia="en-AU"/>
    </w:rPr>
  </w:style>
  <w:style w:type="character" w:customStyle="1" w:styleId="hyperlinkChar">
    <w:name w:val="hyperlink Char"/>
    <w:basedOn w:val="BodyTextChar"/>
    <w:link w:val="Hyperlink1"/>
    <w:uiPriority w:val="99"/>
    <w:semiHidden/>
    <w:rsid w:val="00552375"/>
    <w:rPr>
      <w:rFonts w:ascii="Calibri" w:eastAsia="Times New Roman" w:hAnsi="Calibri" w:cs="Times New Roman"/>
      <w:color w:val="6FC7B7"/>
      <w:lang w:eastAsia="en-AU"/>
    </w:rPr>
  </w:style>
  <w:style w:type="paragraph" w:customStyle="1" w:styleId="Casestudybullets">
    <w:name w:val="Case study bullets"/>
    <w:basedOn w:val="Casestudytext"/>
    <w:uiPriority w:val="1"/>
    <w:semiHidden/>
    <w:qFormat/>
    <w:rsid w:val="00552375"/>
    <w:pPr>
      <w:spacing w:before="0"/>
      <w:ind w:left="644" w:hanging="360"/>
    </w:pPr>
  </w:style>
  <w:style w:type="paragraph" w:customStyle="1" w:styleId="Casestudytext">
    <w:name w:val="Case study text"/>
    <w:basedOn w:val="BodyText"/>
    <w:uiPriority w:val="1"/>
    <w:semiHidden/>
    <w:qFormat/>
    <w:rsid w:val="00552375"/>
    <w:pPr>
      <w:ind w:left="284" w:right="284"/>
    </w:pPr>
    <w:rPr>
      <w:color w:val="1C556C"/>
      <w:sz w:val="20"/>
    </w:rPr>
  </w:style>
  <w:style w:type="paragraph" w:customStyle="1" w:styleId="Casestudybold">
    <w:name w:val="Case study bold"/>
    <w:basedOn w:val="Casestudytext"/>
    <w:next w:val="Casestudytext"/>
    <w:uiPriority w:val="1"/>
    <w:semiHidden/>
    <w:rsid w:val="00552375"/>
    <w:pPr>
      <w:spacing w:before="240" w:after="0"/>
    </w:pPr>
    <w:rPr>
      <w:rFonts w:eastAsia="Times New Roman"/>
      <w:b/>
    </w:rPr>
  </w:style>
  <w:style w:type="character" w:customStyle="1" w:styleId="UnresolvedMention10">
    <w:name w:val="Unresolved Mention1"/>
    <w:basedOn w:val="DefaultParagraphFont"/>
    <w:uiPriority w:val="99"/>
    <w:semiHidden/>
    <w:unhideWhenUsed/>
    <w:rsid w:val="00552375"/>
    <w:rPr>
      <w:color w:val="808080"/>
      <w:shd w:val="clear" w:color="auto" w:fill="E6E6E6"/>
    </w:rPr>
  </w:style>
  <w:style w:type="paragraph" w:customStyle="1" w:styleId="CaptionText">
    <w:name w:val="CaptionText"/>
    <w:basedOn w:val="BodyText"/>
    <w:next w:val="BodyText"/>
    <w:semiHidden/>
    <w:rsid w:val="00552375"/>
    <w:pPr>
      <w:spacing w:before="0" w:after="180" w:line="240" w:lineRule="auto"/>
    </w:pPr>
    <w:rPr>
      <w:rFonts w:ascii="Arial" w:eastAsia="Times New Roman" w:hAnsi="Arial" w:cs="Times New Roman"/>
      <w:sz w:val="20"/>
      <w:szCs w:val="24"/>
      <w:lang w:eastAsia="en-GB"/>
    </w:rPr>
  </w:style>
  <w:style w:type="character" w:styleId="PlaceholderText">
    <w:name w:val="Placeholder Text"/>
    <w:basedOn w:val="DefaultParagraphFont"/>
    <w:uiPriority w:val="99"/>
    <w:semiHidden/>
    <w:rsid w:val="00552375"/>
    <w:rPr>
      <w:color w:val="808080"/>
    </w:rPr>
  </w:style>
  <w:style w:type="table" w:customStyle="1" w:styleId="TableGrid10">
    <w:name w:val="Table Grid1"/>
    <w:basedOn w:val="TableNormal"/>
    <w:next w:val="TableGrid"/>
    <w:uiPriority w:val="59"/>
    <w:rsid w:val="00552375"/>
    <w:pPr>
      <w:spacing w:after="0" w:line="240" w:lineRule="auto"/>
    </w:pPr>
    <w:rPr>
      <w:rFonts w:ascii="Calibri" w:eastAsia="Times New Roman" w:hAnsi="Calibri" w:cs="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6344"/>
    <w:rPr>
      <w:color w:val="605E5C"/>
      <w:shd w:val="clear" w:color="auto" w:fill="E1DFDD"/>
    </w:rPr>
  </w:style>
  <w:style w:type="character" w:customStyle="1" w:styleId="UnresolvedMention100">
    <w:name w:val="Unresolved Mention10"/>
    <w:basedOn w:val="DefaultParagraphFont"/>
    <w:uiPriority w:val="99"/>
    <w:semiHidden/>
    <w:unhideWhenUsed/>
    <w:rsid w:val="0004346B"/>
    <w:rPr>
      <w:color w:val="808080"/>
      <w:shd w:val="clear" w:color="auto" w:fill="E6E6E6"/>
    </w:rPr>
  </w:style>
  <w:style w:type="character" w:customStyle="1" w:styleId="UnresolvedMention1000">
    <w:name w:val="Unresolved Mention100"/>
    <w:basedOn w:val="DefaultParagraphFont"/>
    <w:uiPriority w:val="99"/>
    <w:semiHidden/>
    <w:unhideWhenUsed/>
    <w:rsid w:val="00B53F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101708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86440597">
      <w:bodyDiv w:val="1"/>
      <w:marLeft w:val="0"/>
      <w:marRight w:val="0"/>
      <w:marTop w:val="0"/>
      <w:marBottom w:val="0"/>
      <w:divBdr>
        <w:top w:val="none" w:sz="0" w:space="0" w:color="auto"/>
        <w:left w:val="none" w:sz="0" w:space="0" w:color="auto"/>
        <w:bottom w:val="none" w:sz="0" w:space="0" w:color="auto"/>
        <w:right w:val="none" w:sz="0" w:space="0" w:color="auto"/>
      </w:divBdr>
    </w:div>
    <w:div w:id="2033799280">
      <w:bodyDiv w:val="1"/>
      <w:marLeft w:val="0"/>
      <w:marRight w:val="0"/>
      <w:marTop w:val="0"/>
      <w:marBottom w:val="0"/>
      <w:divBdr>
        <w:top w:val="none" w:sz="0" w:space="0" w:color="auto"/>
        <w:left w:val="none" w:sz="0" w:space="0" w:color="auto"/>
        <w:bottom w:val="none" w:sz="0" w:space="0" w:color="auto"/>
        <w:right w:val="none" w:sz="0" w:space="0" w:color="auto"/>
      </w:divBdr>
      <w:divsChild>
        <w:div w:id="1622959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environment.govt.nz/publications/a-guide-to-implementing-clause-3-13-of-the-nps-fm-2020/" TargetMode="External"/><Relationship Id="rId42" Type="http://schemas.openxmlformats.org/officeDocument/2006/relationships/image" Target="media/image13.png"/><Relationship Id="rId47" Type="http://schemas.openxmlformats.org/officeDocument/2006/relationships/image" Target="media/image18.emf"/><Relationship Id="rId63" Type="http://schemas.openxmlformats.org/officeDocument/2006/relationships/hyperlink" Target="https://doi.org/10.1061/(ASCE)EE.1943-7870.0000834" TargetMode="External"/><Relationship Id="rId68" Type="http://schemas.openxmlformats.org/officeDocument/2006/relationships/hyperlink" Target="http://www.envirolink.govt.nz/assets/Uploads/1733-HBRC223-Ecosystem-health-in-highly-modified-lowland-catchments-Karamu-catchment-Hawkes-Bay.pdf" TargetMode="External"/><Relationship Id="rId16" Type="http://schemas.openxmlformats.org/officeDocument/2006/relationships/image" Target="media/image1.jpeg"/><Relationship Id="rId11" Type="http://schemas.openxmlformats.org/officeDocument/2006/relationships/endnotes" Target="endnotes.xml"/><Relationship Id="rId32" Type="http://schemas.openxmlformats.org/officeDocument/2006/relationships/image" Target="media/image7.jpeg"/><Relationship Id="rId37" Type="http://schemas.openxmlformats.org/officeDocument/2006/relationships/hyperlink" Target="https://tepuna.mfe.govt.nz/otcsdav/nodes/13656288/C__Users_perezk_AppData_Roaming_OpenText_OTEdit_EC_tepuna_c13656288_www.nems.org.nz%20" TargetMode="External"/><Relationship Id="rId53" Type="http://schemas.openxmlformats.org/officeDocument/2006/relationships/image" Target="media/image24.png"/><Relationship Id="rId58" Type="http://schemas.openxmlformats.org/officeDocument/2006/relationships/image" Target="media/image28.png"/><Relationship Id="rId74" Type="http://schemas.openxmlformats.org/officeDocument/2006/relationships/hyperlink" Target="https://environment.govt.nz/assets/Publications/Files/action-for-healthy-waterways-guidance-on-look-up-tables-for-setting-nutrient-targets-for-periphyton.pdf" TargetMode="External"/><Relationship Id="rId79" Type="http://schemas.openxmlformats.org/officeDocument/2006/relationships/footer" Target="footer6.xml"/><Relationship Id="rId5" Type="http://schemas.openxmlformats.org/officeDocument/2006/relationships/customXml" Target="../customXml/item5.xml"/><Relationship Id="rId61" Type="http://schemas.openxmlformats.org/officeDocument/2006/relationships/hyperlink" Target="http://www.mfe.govt.nz/sites/default/files/nz-periphyton-guide-jun00.pdf"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s://environment.govt.nz/publications/a-guide-to-implementing-clause-3-13-of-the-nps-fm-2020/" TargetMode="External"/><Relationship Id="rId22" Type="http://schemas.openxmlformats.org/officeDocument/2006/relationships/hyperlink" Target="http://www.mfe.govt.nz" TargetMode="External"/><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hyperlink" Target="https://tepuna.mfe.govt.nz/otcsdav/nodes/13656288/C__Users_perezk_AppData_Roaming_OpenText_OTEdit_EC_tepuna_c13656288_www.nems.org.nz"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cid:image004.png@01D4119E.18433670" TargetMode="External"/><Relationship Id="rId64" Type="http://schemas.openxmlformats.org/officeDocument/2006/relationships/hyperlink" Target="http://www.mfe.govt.nz/sites/default/files/media/Fresh%20water/Landuse%20Capacity%20report%202016%20Final%2014%20October%202016.pdf" TargetMode="External"/><Relationship Id="rId69" Type="http://schemas.openxmlformats.org/officeDocument/2006/relationships/hyperlink" Target="http://www.mfe.govt.nz/sites/default/files/media/Fresh%20water/fresh-water-guidance-on-uncertainty.pdf" TargetMode="External"/><Relationship Id="rId77"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hyperlink" Target="http://www.mfe.govt.nz/sites/default/files/media/Fresh%20water/a-draft-guide-to-attributes.pdf" TargetMode="External"/><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yperlink" Target="https://environment.govt.nz/publications/a-guide-to-implementing-clause-3-13-of-the-nps-fm-2020/" TargetMode="Externa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hyperlink" Target="https://tepuna.mfe.govt.nz/otcsdav/nodes/13656288/C__Users_perezk_AppData_Roaming_OpenText_OTEdit_EC_tepuna_c13656288_www.nems.org.nz" TargetMode="External"/><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hyperlink" Target="http://www.envirolink.govt.nz/assets/Uploads/R9-3-Instream-plant-and-nutrient-guidelines-Phase-3-report3.pdf" TargetMode="External"/><Relationship Id="rId20" Type="http://schemas.openxmlformats.org/officeDocument/2006/relationships/footer" Target="footer2.xml"/><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hyperlink" Target="https://www.niwa.co.nz/sites/niwa.co.nz/files/import/attachments/peri_complete.pdf" TargetMode="External"/><Relationship Id="rId70" Type="http://schemas.openxmlformats.org/officeDocument/2006/relationships/hyperlink" Target="http://www.mfe.govt.nz/sites/default/files/media/Fresh%20water/guide-to-freshwater-management-units_0.pdf" TargetMode="External"/><Relationship Id="rId75" Type="http://schemas.openxmlformats.org/officeDocument/2006/relationships/hyperlink" Target="http://www.envirolink.govt.nz/envirolink-tools/marine-tool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nvironment.govt.nz/publications/a-guide-to-implementing-clause-3-13-of-the-nps-fm-2020/" TargetMode="External"/><Relationship Id="rId23" Type="http://schemas.openxmlformats.org/officeDocument/2006/relationships/header" Target="header3.xml"/><Relationship Id="rId28" Type="http://schemas.openxmlformats.org/officeDocument/2006/relationships/hyperlink" Target="https://environment.govt.nz/what-government-is-doing/areas-of-work/freshwater/e/freshwater-reform/factsheets-on-policies-and-regulations-in-the-essential-freshwater-package/" TargetMode="External"/><Relationship Id="rId36" Type="http://schemas.openxmlformats.org/officeDocument/2006/relationships/hyperlink" Target="https://tepuna.mfe.govt.nz/otcsdav/nodes/13656288/C__Users_perezk_AppData_Roaming_OpenText_OTEdit_EC_tepuna_c13656288_www.nems.org.nz%20" TargetMode="External"/><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hyperlink" Target="https://www.horizons.govt.nz/publications-feedback/publications/water-quality-and-quantity" TargetMode="External"/><Relationship Id="rId73" Type="http://schemas.openxmlformats.org/officeDocument/2006/relationships/hyperlink" Target="https://www.mfe.govt.nz/sites/default/files/nz-guidelines-cyanobacteria-recreational-fresh-waters.pdf" TargetMode="Externa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nvironment.govt.nz/publications/a-guide-to-implementing-clause-3-13-of-the-nps-fm-2020/" TargetMode="External"/><Relationship Id="rId18" Type="http://schemas.openxmlformats.org/officeDocument/2006/relationships/header" Target="header2.xml"/><Relationship Id="rId39" Type="http://schemas.openxmlformats.org/officeDocument/2006/relationships/image" Target="media/image10.png"/><Relationship Id="rId34" Type="http://schemas.openxmlformats.org/officeDocument/2006/relationships/image" Target="media/image9.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eader" Target="header6.xml"/><Relationship Id="rId7" Type="http://schemas.openxmlformats.org/officeDocument/2006/relationships/styles" Target="styles.xml"/><Relationship Id="rId71" Type="http://schemas.openxmlformats.org/officeDocument/2006/relationships/hyperlink" Target="http://www.mfe.govt.nz/sites/default/files/media/Fresh%20water/nps-fm-guide-2017-final.pdf"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4.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www.envirolink.govt.nz/assets/Uploads/Review-of-the-NZ-instream-plant-and-nutrient-guidelines-and-development-of-an-extended-decision-making-framework.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publications/action-for-healthy-waterways-decisions-on-national-direction-and-regulations-for-freshwater-manag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ECM-1122293896-104912</_dlc_DocId>
    <Other_x0020_Details_2 xmlns="4a94300e-a927-4b92-9d3a-682523035cb6" xsi:nil="true"/>
    <Receiver xmlns="4a94300e-a927-4b92-9d3a-682523035cb6" xsi:nil="true"/>
    <Legacy_x0020_Version xmlns="4a94300e-a927-4b92-9d3a-682523035cb6" xsi:nil="true"/>
    <Author0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https://ministryforenvironment.sharepoint.com/sites/ECM-ER-Comms/_layouts/15/DocIdRedir.aspx?ID=ECM-1122293896-104912</Url>
      <Description>ECM-1122293896-104912</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To xmlns="4a94300e-a927-4b92-9d3a-682523035cb6" xsi:nil="true"/>
    <MTS_x0020_ID xmlns="4a94300e-a927-4b92-9d3a-682523035cb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91BEC-22B9-47F0-9033-A02BE4F21E13}">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36DCD54B-8C3F-47AC-82BC-217B90BC0C2E}">
  <ds:schemaRefs>
    <ds:schemaRef ds:uri="http://schemas.openxmlformats.org/officeDocument/2006/bibliography"/>
  </ds:schemaRefs>
</ds:datastoreItem>
</file>

<file path=customXml/itemProps3.xml><?xml version="1.0" encoding="utf-8"?>
<ds:datastoreItem xmlns:ds="http://schemas.openxmlformats.org/officeDocument/2006/customXml" ds:itemID="{3C9FDA5C-84FF-4188-9C51-8484F8DFF28E}">
  <ds:schemaRefs>
    <ds:schemaRef ds:uri="http://schemas.microsoft.com/sharepoint/events"/>
  </ds:schemaRefs>
</ds:datastoreItem>
</file>

<file path=customXml/itemProps4.xml><?xml version="1.0" encoding="utf-8"?>
<ds:datastoreItem xmlns:ds="http://schemas.openxmlformats.org/officeDocument/2006/customXml" ds:itemID="{E7E3F01A-CEED-42DA-94D0-3D1B2584F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EA47FD-F887-4ACF-B8EF-8D2DD3D8F4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27226</Words>
  <Characters>155191</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182053</CharactersWithSpaces>
  <SharedDoc>false</SharedDoc>
  <HLinks>
    <vt:vector size="432" baseType="variant">
      <vt:variant>
        <vt:i4>5111832</vt:i4>
      </vt:variant>
      <vt:variant>
        <vt:i4>606</vt:i4>
      </vt:variant>
      <vt:variant>
        <vt:i4>0</vt:i4>
      </vt:variant>
      <vt:variant>
        <vt:i4>5</vt:i4>
      </vt:variant>
      <vt:variant>
        <vt:lpwstr>http://www.envirolink.govt.nz/envirolink-tools/marine-tools/</vt:lpwstr>
      </vt:variant>
      <vt:variant>
        <vt:lpwstr/>
      </vt:variant>
      <vt:variant>
        <vt:i4>917507</vt:i4>
      </vt:variant>
      <vt:variant>
        <vt:i4>603</vt:i4>
      </vt:variant>
      <vt:variant>
        <vt:i4>0</vt:i4>
      </vt:variant>
      <vt:variant>
        <vt:i4>5</vt:i4>
      </vt:variant>
      <vt:variant>
        <vt:lpwstr>https://environment.govt.nz/assets/Publications/Files/action-for-healthy-waterways-guidance-on-look-up-tables-for-setting-nutrient-targets-for-periphyton.pdf</vt:lpwstr>
      </vt:variant>
      <vt:variant>
        <vt:lpwstr/>
      </vt:variant>
      <vt:variant>
        <vt:i4>5701699</vt:i4>
      </vt:variant>
      <vt:variant>
        <vt:i4>600</vt:i4>
      </vt:variant>
      <vt:variant>
        <vt:i4>0</vt:i4>
      </vt:variant>
      <vt:variant>
        <vt:i4>5</vt:i4>
      </vt:variant>
      <vt:variant>
        <vt:lpwstr>https://www.mfe.govt.nz/sites/default/files/nz-guidelines-cyanobacteria-recreational-fresh-waters.pdf</vt:lpwstr>
      </vt:variant>
      <vt:variant>
        <vt:lpwstr/>
      </vt:variant>
      <vt:variant>
        <vt:i4>5046349</vt:i4>
      </vt:variant>
      <vt:variant>
        <vt:i4>597</vt:i4>
      </vt:variant>
      <vt:variant>
        <vt:i4>0</vt:i4>
      </vt:variant>
      <vt:variant>
        <vt:i4>5</vt:i4>
      </vt:variant>
      <vt:variant>
        <vt:lpwstr>http://www.mfe.govt.nz/sites/default/files/media/Fresh water/a-draft-guide-to-attributes.pdf</vt:lpwstr>
      </vt:variant>
      <vt:variant>
        <vt:lpwstr/>
      </vt:variant>
      <vt:variant>
        <vt:i4>327707</vt:i4>
      </vt:variant>
      <vt:variant>
        <vt:i4>594</vt:i4>
      </vt:variant>
      <vt:variant>
        <vt:i4>0</vt:i4>
      </vt:variant>
      <vt:variant>
        <vt:i4>5</vt:i4>
      </vt:variant>
      <vt:variant>
        <vt:lpwstr>http://www.mfe.govt.nz/sites/default/files/media/Fresh water/nps-fm-guide-2017-final.pdf</vt:lpwstr>
      </vt:variant>
      <vt:variant>
        <vt:lpwstr/>
      </vt:variant>
      <vt:variant>
        <vt:i4>1900646</vt:i4>
      </vt:variant>
      <vt:variant>
        <vt:i4>591</vt:i4>
      </vt:variant>
      <vt:variant>
        <vt:i4>0</vt:i4>
      </vt:variant>
      <vt:variant>
        <vt:i4>5</vt:i4>
      </vt:variant>
      <vt:variant>
        <vt:lpwstr>http://www.mfe.govt.nz/sites/default/files/media/Fresh water/guide-to-freshwater-management-units_0.pdf</vt:lpwstr>
      </vt:variant>
      <vt:variant>
        <vt:lpwstr/>
      </vt:variant>
      <vt:variant>
        <vt:i4>4915289</vt:i4>
      </vt:variant>
      <vt:variant>
        <vt:i4>588</vt:i4>
      </vt:variant>
      <vt:variant>
        <vt:i4>0</vt:i4>
      </vt:variant>
      <vt:variant>
        <vt:i4>5</vt:i4>
      </vt:variant>
      <vt:variant>
        <vt:lpwstr>http://www.mfe.govt.nz/sites/default/files/media/Fresh water/fresh-water-guidance-on-uncertainty.pdf</vt:lpwstr>
      </vt:variant>
      <vt:variant>
        <vt:lpwstr/>
      </vt:variant>
      <vt:variant>
        <vt:i4>65622</vt:i4>
      </vt:variant>
      <vt:variant>
        <vt:i4>585</vt:i4>
      </vt:variant>
      <vt:variant>
        <vt:i4>0</vt:i4>
      </vt:variant>
      <vt:variant>
        <vt:i4>5</vt:i4>
      </vt:variant>
      <vt:variant>
        <vt:lpwstr>http://www.envirolink.govt.nz/assets/Uploads/1733-HBRC223-Ecosystem-health-in-highly-modified-lowland-catchments-Karamu-catchment-Hawkes-Bay.pdf</vt:lpwstr>
      </vt:variant>
      <vt:variant>
        <vt:lpwstr/>
      </vt:variant>
      <vt:variant>
        <vt:i4>1048659</vt:i4>
      </vt:variant>
      <vt:variant>
        <vt:i4>582</vt:i4>
      </vt:variant>
      <vt:variant>
        <vt:i4>0</vt:i4>
      </vt:variant>
      <vt:variant>
        <vt:i4>5</vt:i4>
      </vt:variant>
      <vt:variant>
        <vt:lpwstr>http://www.envirolink.govt.nz/assets/Uploads/R9-3-Instream-plant-and-nutrient-guidelines-Phase-3-report3.pdf</vt:lpwstr>
      </vt:variant>
      <vt:variant>
        <vt:lpwstr/>
      </vt:variant>
      <vt:variant>
        <vt:i4>1507338</vt:i4>
      </vt:variant>
      <vt:variant>
        <vt:i4>579</vt:i4>
      </vt:variant>
      <vt:variant>
        <vt:i4>0</vt:i4>
      </vt:variant>
      <vt:variant>
        <vt:i4>5</vt:i4>
      </vt:variant>
      <vt:variant>
        <vt:lpwstr>http://www.envirolink.govt.nz/assets/Uploads/Review-of-the-NZ-instream-plant-and-nutrient-guidelines-and-development-of-an-extended-decision-making-framework.pdf</vt:lpwstr>
      </vt:variant>
      <vt:variant>
        <vt:lpwstr/>
      </vt:variant>
      <vt:variant>
        <vt:i4>4128883</vt:i4>
      </vt:variant>
      <vt:variant>
        <vt:i4>576</vt:i4>
      </vt:variant>
      <vt:variant>
        <vt:i4>0</vt:i4>
      </vt:variant>
      <vt:variant>
        <vt:i4>5</vt:i4>
      </vt:variant>
      <vt:variant>
        <vt:lpwstr>https://www.horizons.govt.nz/publications-feedback/publications/water-quality-and-quantity</vt:lpwstr>
      </vt:variant>
      <vt:variant>
        <vt:lpwstr/>
      </vt:variant>
      <vt:variant>
        <vt:i4>3080310</vt:i4>
      </vt:variant>
      <vt:variant>
        <vt:i4>573</vt:i4>
      </vt:variant>
      <vt:variant>
        <vt:i4>0</vt:i4>
      </vt:variant>
      <vt:variant>
        <vt:i4>5</vt:i4>
      </vt:variant>
      <vt:variant>
        <vt:lpwstr>http://www.mfe.govt.nz/sites/default/files/media/Fresh water/Landuse Capacity report 2016 Final 14 October 2016.pdf</vt:lpwstr>
      </vt:variant>
      <vt:variant>
        <vt:lpwstr/>
      </vt:variant>
      <vt:variant>
        <vt:i4>7798841</vt:i4>
      </vt:variant>
      <vt:variant>
        <vt:i4>570</vt:i4>
      </vt:variant>
      <vt:variant>
        <vt:i4>0</vt:i4>
      </vt:variant>
      <vt:variant>
        <vt:i4>5</vt:i4>
      </vt:variant>
      <vt:variant>
        <vt:lpwstr>https://doi.org/10.1061/(ASCE)EE.1943-7870.0000834</vt:lpwstr>
      </vt:variant>
      <vt:variant>
        <vt:lpwstr/>
      </vt:variant>
      <vt:variant>
        <vt:i4>1900651</vt:i4>
      </vt:variant>
      <vt:variant>
        <vt:i4>567</vt:i4>
      </vt:variant>
      <vt:variant>
        <vt:i4>0</vt:i4>
      </vt:variant>
      <vt:variant>
        <vt:i4>5</vt:i4>
      </vt:variant>
      <vt:variant>
        <vt:lpwstr>https://www.niwa.co.nz/sites/niwa.co.nz/files/import/attachments/peri_complete.pdf</vt:lpwstr>
      </vt:variant>
      <vt:variant>
        <vt:lpwstr/>
      </vt:variant>
      <vt:variant>
        <vt:i4>1835013</vt:i4>
      </vt:variant>
      <vt:variant>
        <vt:i4>564</vt:i4>
      </vt:variant>
      <vt:variant>
        <vt:i4>0</vt:i4>
      </vt:variant>
      <vt:variant>
        <vt:i4>5</vt:i4>
      </vt:variant>
      <vt:variant>
        <vt:lpwstr>http://www.mfe.govt.nz/sites/default/files/nz-periphyton-guide-jun00.pdf</vt:lpwstr>
      </vt:variant>
      <vt:variant>
        <vt:lpwstr/>
      </vt:variant>
      <vt:variant>
        <vt:i4>458867</vt:i4>
      </vt:variant>
      <vt:variant>
        <vt:i4>438</vt:i4>
      </vt:variant>
      <vt:variant>
        <vt:i4>0</vt:i4>
      </vt:variant>
      <vt:variant>
        <vt:i4>5</vt:i4>
      </vt:variant>
      <vt:variant>
        <vt:lpwstr/>
      </vt:variant>
      <vt:variant>
        <vt:lpwstr>_3.2.2__Trophic</vt:lpwstr>
      </vt:variant>
      <vt:variant>
        <vt:i4>6357019</vt:i4>
      </vt:variant>
      <vt:variant>
        <vt:i4>309</vt:i4>
      </vt:variant>
      <vt:variant>
        <vt:i4>0</vt:i4>
      </vt:variant>
      <vt:variant>
        <vt:i4>5</vt:i4>
      </vt:variant>
      <vt:variant>
        <vt:lpwstr>https://tepuna.mfe.govt.nz/otcsdav/nodes/13656288/C__Users_perezk_AppData_Roaming_OpenText_OTEdit_EC_tepuna_c13656288_www.nems.org.nz</vt:lpwstr>
      </vt:variant>
      <vt:variant>
        <vt:lpwstr/>
      </vt:variant>
      <vt:variant>
        <vt:i4>6357019</vt:i4>
      </vt:variant>
      <vt:variant>
        <vt:i4>306</vt:i4>
      </vt:variant>
      <vt:variant>
        <vt:i4>0</vt:i4>
      </vt:variant>
      <vt:variant>
        <vt:i4>5</vt:i4>
      </vt:variant>
      <vt:variant>
        <vt:lpwstr>https://tepuna.mfe.govt.nz/otcsdav/nodes/13656288/C__Users_perezk_AppData_Roaming_OpenText_OTEdit_EC_tepuna_c13656288_www.nems.org.nz</vt:lpwstr>
      </vt:variant>
      <vt:variant>
        <vt:lpwstr/>
      </vt:variant>
      <vt:variant>
        <vt:i4>6357019</vt:i4>
      </vt:variant>
      <vt:variant>
        <vt:i4>303</vt:i4>
      </vt:variant>
      <vt:variant>
        <vt:i4>0</vt:i4>
      </vt:variant>
      <vt:variant>
        <vt:i4>5</vt:i4>
      </vt:variant>
      <vt:variant>
        <vt:lpwstr>https://tepuna.mfe.govt.nz/otcsdav/nodes/13656288/C__Users_perezk_AppData_Roaming_OpenText_OTEdit_EC_tepuna_c13656288_www.nems.org.nz</vt:lpwstr>
      </vt:variant>
      <vt:variant>
        <vt:lpwstr/>
      </vt:variant>
      <vt:variant>
        <vt:i4>720919</vt:i4>
      </vt:variant>
      <vt:variant>
        <vt:i4>300</vt:i4>
      </vt:variant>
      <vt:variant>
        <vt:i4>0</vt:i4>
      </vt:variant>
      <vt:variant>
        <vt:i4>5</vt:i4>
      </vt:variant>
      <vt:variant>
        <vt:lpwstr/>
      </vt:variant>
      <vt:variant>
        <vt:lpwstr>temporal</vt:lpwstr>
      </vt:variant>
      <vt:variant>
        <vt:i4>6357019</vt:i4>
      </vt:variant>
      <vt:variant>
        <vt:i4>297</vt:i4>
      </vt:variant>
      <vt:variant>
        <vt:i4>0</vt:i4>
      </vt:variant>
      <vt:variant>
        <vt:i4>5</vt:i4>
      </vt:variant>
      <vt:variant>
        <vt:lpwstr>https://tepuna.mfe.govt.nz/otcsdav/nodes/13656288/C__Users_perezk_AppData_Roaming_OpenText_OTEdit_EC_tepuna_c13656288_www.nems.org.nz</vt:lpwstr>
      </vt:variant>
      <vt:variant>
        <vt:lpwstr/>
      </vt:variant>
      <vt:variant>
        <vt:i4>2424943</vt:i4>
      </vt:variant>
      <vt:variant>
        <vt:i4>285</vt:i4>
      </vt:variant>
      <vt:variant>
        <vt:i4>0</vt:i4>
      </vt:variant>
      <vt:variant>
        <vt:i4>5</vt:i4>
      </vt:variant>
      <vt:variant>
        <vt:lpwstr/>
      </vt:variant>
      <vt:variant>
        <vt:lpwstr>casestudy1</vt:lpwstr>
      </vt:variant>
      <vt:variant>
        <vt:i4>4718683</vt:i4>
      </vt:variant>
      <vt:variant>
        <vt:i4>279</vt:i4>
      </vt:variant>
      <vt:variant>
        <vt:i4>0</vt:i4>
      </vt:variant>
      <vt:variant>
        <vt:i4>5</vt:i4>
      </vt:variant>
      <vt:variant>
        <vt:lpwstr>https://environment.govt.nz/what-government-is-doing/areas-of-work/freshwater/e/freshwater-reform/factsheets-on-policies-and-regulations-in-the-essential-freshwater-package/</vt:lpwstr>
      </vt:variant>
      <vt:variant>
        <vt:lpwstr/>
      </vt:variant>
      <vt:variant>
        <vt:i4>1245240</vt:i4>
      </vt:variant>
      <vt:variant>
        <vt:i4>272</vt:i4>
      </vt:variant>
      <vt:variant>
        <vt:i4>0</vt:i4>
      </vt:variant>
      <vt:variant>
        <vt:i4>5</vt:i4>
      </vt:variant>
      <vt:variant>
        <vt:lpwstr/>
      </vt:variant>
      <vt:variant>
        <vt:lpwstr>_Toc73711492</vt:lpwstr>
      </vt:variant>
      <vt:variant>
        <vt:i4>1048632</vt:i4>
      </vt:variant>
      <vt:variant>
        <vt:i4>266</vt:i4>
      </vt:variant>
      <vt:variant>
        <vt:i4>0</vt:i4>
      </vt:variant>
      <vt:variant>
        <vt:i4>5</vt:i4>
      </vt:variant>
      <vt:variant>
        <vt:lpwstr/>
      </vt:variant>
      <vt:variant>
        <vt:lpwstr>_Toc73711491</vt:lpwstr>
      </vt:variant>
      <vt:variant>
        <vt:i4>1114168</vt:i4>
      </vt:variant>
      <vt:variant>
        <vt:i4>260</vt:i4>
      </vt:variant>
      <vt:variant>
        <vt:i4>0</vt:i4>
      </vt:variant>
      <vt:variant>
        <vt:i4>5</vt:i4>
      </vt:variant>
      <vt:variant>
        <vt:lpwstr/>
      </vt:variant>
      <vt:variant>
        <vt:lpwstr>_Toc73711490</vt:lpwstr>
      </vt:variant>
      <vt:variant>
        <vt:i4>1572921</vt:i4>
      </vt:variant>
      <vt:variant>
        <vt:i4>254</vt:i4>
      </vt:variant>
      <vt:variant>
        <vt:i4>0</vt:i4>
      </vt:variant>
      <vt:variant>
        <vt:i4>5</vt:i4>
      </vt:variant>
      <vt:variant>
        <vt:lpwstr/>
      </vt:variant>
      <vt:variant>
        <vt:lpwstr>_Toc73711489</vt:lpwstr>
      </vt:variant>
      <vt:variant>
        <vt:i4>1638457</vt:i4>
      </vt:variant>
      <vt:variant>
        <vt:i4>248</vt:i4>
      </vt:variant>
      <vt:variant>
        <vt:i4>0</vt:i4>
      </vt:variant>
      <vt:variant>
        <vt:i4>5</vt:i4>
      </vt:variant>
      <vt:variant>
        <vt:lpwstr/>
      </vt:variant>
      <vt:variant>
        <vt:lpwstr>_Toc73711488</vt:lpwstr>
      </vt:variant>
      <vt:variant>
        <vt:i4>1441849</vt:i4>
      </vt:variant>
      <vt:variant>
        <vt:i4>242</vt:i4>
      </vt:variant>
      <vt:variant>
        <vt:i4>0</vt:i4>
      </vt:variant>
      <vt:variant>
        <vt:i4>5</vt:i4>
      </vt:variant>
      <vt:variant>
        <vt:lpwstr/>
      </vt:variant>
      <vt:variant>
        <vt:lpwstr>_Toc73711487</vt:lpwstr>
      </vt:variant>
      <vt:variant>
        <vt:i4>1507385</vt:i4>
      </vt:variant>
      <vt:variant>
        <vt:i4>236</vt:i4>
      </vt:variant>
      <vt:variant>
        <vt:i4>0</vt:i4>
      </vt:variant>
      <vt:variant>
        <vt:i4>5</vt:i4>
      </vt:variant>
      <vt:variant>
        <vt:lpwstr/>
      </vt:variant>
      <vt:variant>
        <vt:lpwstr>_Toc73711486</vt:lpwstr>
      </vt:variant>
      <vt:variant>
        <vt:i4>1310777</vt:i4>
      </vt:variant>
      <vt:variant>
        <vt:i4>230</vt:i4>
      </vt:variant>
      <vt:variant>
        <vt:i4>0</vt:i4>
      </vt:variant>
      <vt:variant>
        <vt:i4>5</vt:i4>
      </vt:variant>
      <vt:variant>
        <vt:lpwstr/>
      </vt:variant>
      <vt:variant>
        <vt:lpwstr>_Toc73711485</vt:lpwstr>
      </vt:variant>
      <vt:variant>
        <vt:i4>1376313</vt:i4>
      </vt:variant>
      <vt:variant>
        <vt:i4>224</vt:i4>
      </vt:variant>
      <vt:variant>
        <vt:i4>0</vt:i4>
      </vt:variant>
      <vt:variant>
        <vt:i4>5</vt:i4>
      </vt:variant>
      <vt:variant>
        <vt:lpwstr/>
      </vt:variant>
      <vt:variant>
        <vt:lpwstr>_Toc73711484</vt:lpwstr>
      </vt:variant>
      <vt:variant>
        <vt:i4>1179705</vt:i4>
      </vt:variant>
      <vt:variant>
        <vt:i4>218</vt:i4>
      </vt:variant>
      <vt:variant>
        <vt:i4>0</vt:i4>
      </vt:variant>
      <vt:variant>
        <vt:i4>5</vt:i4>
      </vt:variant>
      <vt:variant>
        <vt:lpwstr/>
      </vt:variant>
      <vt:variant>
        <vt:lpwstr>_Toc73711483</vt:lpwstr>
      </vt:variant>
      <vt:variant>
        <vt:i4>1245241</vt:i4>
      </vt:variant>
      <vt:variant>
        <vt:i4>212</vt:i4>
      </vt:variant>
      <vt:variant>
        <vt:i4>0</vt:i4>
      </vt:variant>
      <vt:variant>
        <vt:i4>5</vt:i4>
      </vt:variant>
      <vt:variant>
        <vt:lpwstr/>
      </vt:variant>
      <vt:variant>
        <vt:lpwstr>_Toc73711482</vt:lpwstr>
      </vt:variant>
      <vt:variant>
        <vt:i4>1048633</vt:i4>
      </vt:variant>
      <vt:variant>
        <vt:i4>206</vt:i4>
      </vt:variant>
      <vt:variant>
        <vt:i4>0</vt:i4>
      </vt:variant>
      <vt:variant>
        <vt:i4>5</vt:i4>
      </vt:variant>
      <vt:variant>
        <vt:lpwstr/>
      </vt:variant>
      <vt:variant>
        <vt:lpwstr>_Toc73711481</vt:lpwstr>
      </vt:variant>
      <vt:variant>
        <vt:i4>1114169</vt:i4>
      </vt:variant>
      <vt:variant>
        <vt:i4>200</vt:i4>
      </vt:variant>
      <vt:variant>
        <vt:i4>0</vt:i4>
      </vt:variant>
      <vt:variant>
        <vt:i4>5</vt:i4>
      </vt:variant>
      <vt:variant>
        <vt:lpwstr/>
      </vt:variant>
      <vt:variant>
        <vt:lpwstr>_Toc73711480</vt:lpwstr>
      </vt:variant>
      <vt:variant>
        <vt:i4>1572918</vt:i4>
      </vt:variant>
      <vt:variant>
        <vt:i4>194</vt:i4>
      </vt:variant>
      <vt:variant>
        <vt:i4>0</vt:i4>
      </vt:variant>
      <vt:variant>
        <vt:i4>5</vt:i4>
      </vt:variant>
      <vt:variant>
        <vt:lpwstr/>
      </vt:variant>
      <vt:variant>
        <vt:lpwstr>_Toc73711479</vt:lpwstr>
      </vt:variant>
      <vt:variant>
        <vt:i4>1638454</vt:i4>
      </vt:variant>
      <vt:variant>
        <vt:i4>188</vt:i4>
      </vt:variant>
      <vt:variant>
        <vt:i4>0</vt:i4>
      </vt:variant>
      <vt:variant>
        <vt:i4>5</vt:i4>
      </vt:variant>
      <vt:variant>
        <vt:lpwstr/>
      </vt:variant>
      <vt:variant>
        <vt:lpwstr>_Toc73711478</vt:lpwstr>
      </vt:variant>
      <vt:variant>
        <vt:i4>1441846</vt:i4>
      </vt:variant>
      <vt:variant>
        <vt:i4>182</vt:i4>
      </vt:variant>
      <vt:variant>
        <vt:i4>0</vt:i4>
      </vt:variant>
      <vt:variant>
        <vt:i4>5</vt:i4>
      </vt:variant>
      <vt:variant>
        <vt:lpwstr/>
      </vt:variant>
      <vt:variant>
        <vt:lpwstr>_Toc73711477</vt:lpwstr>
      </vt:variant>
      <vt:variant>
        <vt:i4>1507382</vt:i4>
      </vt:variant>
      <vt:variant>
        <vt:i4>176</vt:i4>
      </vt:variant>
      <vt:variant>
        <vt:i4>0</vt:i4>
      </vt:variant>
      <vt:variant>
        <vt:i4>5</vt:i4>
      </vt:variant>
      <vt:variant>
        <vt:lpwstr/>
      </vt:variant>
      <vt:variant>
        <vt:lpwstr>_Toc73711476</vt:lpwstr>
      </vt:variant>
      <vt:variant>
        <vt:i4>1310774</vt:i4>
      </vt:variant>
      <vt:variant>
        <vt:i4>170</vt:i4>
      </vt:variant>
      <vt:variant>
        <vt:i4>0</vt:i4>
      </vt:variant>
      <vt:variant>
        <vt:i4>5</vt:i4>
      </vt:variant>
      <vt:variant>
        <vt:lpwstr/>
      </vt:variant>
      <vt:variant>
        <vt:lpwstr>_Toc73711475</vt:lpwstr>
      </vt:variant>
      <vt:variant>
        <vt:i4>1376310</vt:i4>
      </vt:variant>
      <vt:variant>
        <vt:i4>164</vt:i4>
      </vt:variant>
      <vt:variant>
        <vt:i4>0</vt:i4>
      </vt:variant>
      <vt:variant>
        <vt:i4>5</vt:i4>
      </vt:variant>
      <vt:variant>
        <vt:lpwstr/>
      </vt:variant>
      <vt:variant>
        <vt:lpwstr>_Toc73711474</vt:lpwstr>
      </vt:variant>
      <vt:variant>
        <vt:i4>2031667</vt:i4>
      </vt:variant>
      <vt:variant>
        <vt:i4>155</vt:i4>
      </vt:variant>
      <vt:variant>
        <vt:i4>0</vt:i4>
      </vt:variant>
      <vt:variant>
        <vt:i4>5</vt:i4>
      </vt:variant>
      <vt:variant>
        <vt:lpwstr/>
      </vt:variant>
      <vt:variant>
        <vt:lpwstr>_Toc73713309</vt:lpwstr>
      </vt:variant>
      <vt:variant>
        <vt:i4>1966131</vt:i4>
      </vt:variant>
      <vt:variant>
        <vt:i4>149</vt:i4>
      </vt:variant>
      <vt:variant>
        <vt:i4>0</vt:i4>
      </vt:variant>
      <vt:variant>
        <vt:i4>5</vt:i4>
      </vt:variant>
      <vt:variant>
        <vt:lpwstr/>
      </vt:variant>
      <vt:variant>
        <vt:lpwstr>_Toc73713308</vt:lpwstr>
      </vt:variant>
      <vt:variant>
        <vt:i4>1114163</vt:i4>
      </vt:variant>
      <vt:variant>
        <vt:i4>143</vt:i4>
      </vt:variant>
      <vt:variant>
        <vt:i4>0</vt:i4>
      </vt:variant>
      <vt:variant>
        <vt:i4>5</vt:i4>
      </vt:variant>
      <vt:variant>
        <vt:lpwstr/>
      </vt:variant>
      <vt:variant>
        <vt:lpwstr>_Toc73713307</vt:lpwstr>
      </vt:variant>
      <vt:variant>
        <vt:i4>1048627</vt:i4>
      </vt:variant>
      <vt:variant>
        <vt:i4>137</vt:i4>
      </vt:variant>
      <vt:variant>
        <vt:i4>0</vt:i4>
      </vt:variant>
      <vt:variant>
        <vt:i4>5</vt:i4>
      </vt:variant>
      <vt:variant>
        <vt:lpwstr/>
      </vt:variant>
      <vt:variant>
        <vt:lpwstr>_Toc73713306</vt:lpwstr>
      </vt:variant>
      <vt:variant>
        <vt:i4>1245235</vt:i4>
      </vt:variant>
      <vt:variant>
        <vt:i4>131</vt:i4>
      </vt:variant>
      <vt:variant>
        <vt:i4>0</vt:i4>
      </vt:variant>
      <vt:variant>
        <vt:i4>5</vt:i4>
      </vt:variant>
      <vt:variant>
        <vt:lpwstr/>
      </vt:variant>
      <vt:variant>
        <vt:lpwstr>_Toc73713305</vt:lpwstr>
      </vt:variant>
      <vt:variant>
        <vt:i4>1179699</vt:i4>
      </vt:variant>
      <vt:variant>
        <vt:i4>125</vt:i4>
      </vt:variant>
      <vt:variant>
        <vt:i4>0</vt:i4>
      </vt:variant>
      <vt:variant>
        <vt:i4>5</vt:i4>
      </vt:variant>
      <vt:variant>
        <vt:lpwstr/>
      </vt:variant>
      <vt:variant>
        <vt:lpwstr>_Toc73713304</vt:lpwstr>
      </vt:variant>
      <vt:variant>
        <vt:i4>1376307</vt:i4>
      </vt:variant>
      <vt:variant>
        <vt:i4>119</vt:i4>
      </vt:variant>
      <vt:variant>
        <vt:i4>0</vt:i4>
      </vt:variant>
      <vt:variant>
        <vt:i4>5</vt:i4>
      </vt:variant>
      <vt:variant>
        <vt:lpwstr/>
      </vt:variant>
      <vt:variant>
        <vt:lpwstr>_Toc73713303</vt:lpwstr>
      </vt:variant>
      <vt:variant>
        <vt:i4>1310771</vt:i4>
      </vt:variant>
      <vt:variant>
        <vt:i4>113</vt:i4>
      </vt:variant>
      <vt:variant>
        <vt:i4>0</vt:i4>
      </vt:variant>
      <vt:variant>
        <vt:i4>5</vt:i4>
      </vt:variant>
      <vt:variant>
        <vt:lpwstr/>
      </vt:variant>
      <vt:variant>
        <vt:lpwstr>_Toc73713302</vt:lpwstr>
      </vt:variant>
      <vt:variant>
        <vt:i4>1507379</vt:i4>
      </vt:variant>
      <vt:variant>
        <vt:i4>107</vt:i4>
      </vt:variant>
      <vt:variant>
        <vt:i4>0</vt:i4>
      </vt:variant>
      <vt:variant>
        <vt:i4>5</vt:i4>
      </vt:variant>
      <vt:variant>
        <vt:lpwstr/>
      </vt:variant>
      <vt:variant>
        <vt:lpwstr>_Toc73713301</vt:lpwstr>
      </vt:variant>
      <vt:variant>
        <vt:i4>1441843</vt:i4>
      </vt:variant>
      <vt:variant>
        <vt:i4>101</vt:i4>
      </vt:variant>
      <vt:variant>
        <vt:i4>0</vt:i4>
      </vt:variant>
      <vt:variant>
        <vt:i4>5</vt:i4>
      </vt:variant>
      <vt:variant>
        <vt:lpwstr/>
      </vt:variant>
      <vt:variant>
        <vt:lpwstr>_Toc73713300</vt:lpwstr>
      </vt:variant>
      <vt:variant>
        <vt:i4>1966138</vt:i4>
      </vt:variant>
      <vt:variant>
        <vt:i4>95</vt:i4>
      </vt:variant>
      <vt:variant>
        <vt:i4>0</vt:i4>
      </vt:variant>
      <vt:variant>
        <vt:i4>5</vt:i4>
      </vt:variant>
      <vt:variant>
        <vt:lpwstr/>
      </vt:variant>
      <vt:variant>
        <vt:lpwstr>_Toc73713299</vt:lpwstr>
      </vt:variant>
      <vt:variant>
        <vt:i4>2031674</vt:i4>
      </vt:variant>
      <vt:variant>
        <vt:i4>89</vt:i4>
      </vt:variant>
      <vt:variant>
        <vt:i4>0</vt:i4>
      </vt:variant>
      <vt:variant>
        <vt:i4>5</vt:i4>
      </vt:variant>
      <vt:variant>
        <vt:lpwstr/>
      </vt:variant>
      <vt:variant>
        <vt:lpwstr>_Toc73713298</vt:lpwstr>
      </vt:variant>
      <vt:variant>
        <vt:i4>1048634</vt:i4>
      </vt:variant>
      <vt:variant>
        <vt:i4>83</vt:i4>
      </vt:variant>
      <vt:variant>
        <vt:i4>0</vt:i4>
      </vt:variant>
      <vt:variant>
        <vt:i4>5</vt:i4>
      </vt:variant>
      <vt:variant>
        <vt:lpwstr/>
      </vt:variant>
      <vt:variant>
        <vt:lpwstr>_Toc73713297</vt:lpwstr>
      </vt:variant>
      <vt:variant>
        <vt:i4>1507380</vt:i4>
      </vt:variant>
      <vt:variant>
        <vt:i4>74</vt:i4>
      </vt:variant>
      <vt:variant>
        <vt:i4>0</vt:i4>
      </vt:variant>
      <vt:variant>
        <vt:i4>5</vt:i4>
      </vt:variant>
      <vt:variant>
        <vt:lpwstr/>
      </vt:variant>
      <vt:variant>
        <vt:lpwstr>_Toc73711456</vt:lpwstr>
      </vt:variant>
      <vt:variant>
        <vt:i4>1310772</vt:i4>
      </vt:variant>
      <vt:variant>
        <vt:i4>68</vt:i4>
      </vt:variant>
      <vt:variant>
        <vt:i4>0</vt:i4>
      </vt:variant>
      <vt:variant>
        <vt:i4>5</vt:i4>
      </vt:variant>
      <vt:variant>
        <vt:lpwstr/>
      </vt:variant>
      <vt:variant>
        <vt:lpwstr>_Toc73711455</vt:lpwstr>
      </vt:variant>
      <vt:variant>
        <vt:i4>1376308</vt:i4>
      </vt:variant>
      <vt:variant>
        <vt:i4>62</vt:i4>
      </vt:variant>
      <vt:variant>
        <vt:i4>0</vt:i4>
      </vt:variant>
      <vt:variant>
        <vt:i4>5</vt:i4>
      </vt:variant>
      <vt:variant>
        <vt:lpwstr/>
      </vt:variant>
      <vt:variant>
        <vt:lpwstr>_Toc73711454</vt:lpwstr>
      </vt:variant>
      <vt:variant>
        <vt:i4>1179700</vt:i4>
      </vt:variant>
      <vt:variant>
        <vt:i4>56</vt:i4>
      </vt:variant>
      <vt:variant>
        <vt:i4>0</vt:i4>
      </vt:variant>
      <vt:variant>
        <vt:i4>5</vt:i4>
      </vt:variant>
      <vt:variant>
        <vt:lpwstr/>
      </vt:variant>
      <vt:variant>
        <vt:lpwstr>_Toc73711453</vt:lpwstr>
      </vt:variant>
      <vt:variant>
        <vt:i4>1245236</vt:i4>
      </vt:variant>
      <vt:variant>
        <vt:i4>50</vt:i4>
      </vt:variant>
      <vt:variant>
        <vt:i4>0</vt:i4>
      </vt:variant>
      <vt:variant>
        <vt:i4>5</vt:i4>
      </vt:variant>
      <vt:variant>
        <vt:lpwstr/>
      </vt:variant>
      <vt:variant>
        <vt:lpwstr>_Toc73711452</vt:lpwstr>
      </vt:variant>
      <vt:variant>
        <vt:i4>1048628</vt:i4>
      </vt:variant>
      <vt:variant>
        <vt:i4>44</vt:i4>
      </vt:variant>
      <vt:variant>
        <vt:i4>0</vt:i4>
      </vt:variant>
      <vt:variant>
        <vt:i4>5</vt:i4>
      </vt:variant>
      <vt:variant>
        <vt:lpwstr/>
      </vt:variant>
      <vt:variant>
        <vt:lpwstr>_Toc73711451</vt:lpwstr>
      </vt:variant>
      <vt:variant>
        <vt:i4>1114164</vt:i4>
      </vt:variant>
      <vt:variant>
        <vt:i4>38</vt:i4>
      </vt:variant>
      <vt:variant>
        <vt:i4>0</vt:i4>
      </vt:variant>
      <vt:variant>
        <vt:i4>5</vt:i4>
      </vt:variant>
      <vt:variant>
        <vt:lpwstr/>
      </vt:variant>
      <vt:variant>
        <vt:lpwstr>_Toc73711450</vt:lpwstr>
      </vt:variant>
      <vt:variant>
        <vt:i4>1572917</vt:i4>
      </vt:variant>
      <vt:variant>
        <vt:i4>32</vt:i4>
      </vt:variant>
      <vt:variant>
        <vt:i4>0</vt:i4>
      </vt:variant>
      <vt:variant>
        <vt:i4>5</vt:i4>
      </vt:variant>
      <vt:variant>
        <vt:lpwstr/>
      </vt:variant>
      <vt:variant>
        <vt:lpwstr>_Toc73711449</vt:lpwstr>
      </vt:variant>
      <vt:variant>
        <vt:i4>1638453</vt:i4>
      </vt:variant>
      <vt:variant>
        <vt:i4>26</vt:i4>
      </vt:variant>
      <vt:variant>
        <vt:i4>0</vt:i4>
      </vt:variant>
      <vt:variant>
        <vt:i4>5</vt:i4>
      </vt:variant>
      <vt:variant>
        <vt:lpwstr/>
      </vt:variant>
      <vt:variant>
        <vt:lpwstr>_Toc73711448</vt:lpwstr>
      </vt:variant>
      <vt:variant>
        <vt:i4>1441845</vt:i4>
      </vt:variant>
      <vt:variant>
        <vt:i4>20</vt:i4>
      </vt:variant>
      <vt:variant>
        <vt:i4>0</vt:i4>
      </vt:variant>
      <vt:variant>
        <vt:i4>5</vt:i4>
      </vt:variant>
      <vt:variant>
        <vt:lpwstr/>
      </vt:variant>
      <vt:variant>
        <vt:lpwstr>_Toc73711447</vt:lpwstr>
      </vt:variant>
      <vt:variant>
        <vt:i4>1507381</vt:i4>
      </vt:variant>
      <vt:variant>
        <vt:i4>14</vt:i4>
      </vt:variant>
      <vt:variant>
        <vt:i4>0</vt:i4>
      </vt:variant>
      <vt:variant>
        <vt:i4>5</vt:i4>
      </vt:variant>
      <vt:variant>
        <vt:lpwstr/>
      </vt:variant>
      <vt:variant>
        <vt:lpwstr>_Toc73711446</vt:lpwstr>
      </vt:variant>
      <vt:variant>
        <vt:i4>1310773</vt:i4>
      </vt:variant>
      <vt:variant>
        <vt:i4>8</vt:i4>
      </vt:variant>
      <vt:variant>
        <vt:i4>0</vt:i4>
      </vt:variant>
      <vt:variant>
        <vt:i4>5</vt:i4>
      </vt:variant>
      <vt:variant>
        <vt:lpwstr/>
      </vt:variant>
      <vt:variant>
        <vt:lpwstr>_Toc73711445</vt:lpwstr>
      </vt:variant>
      <vt:variant>
        <vt:i4>6684781</vt:i4>
      </vt:variant>
      <vt:variant>
        <vt:i4>3</vt:i4>
      </vt:variant>
      <vt:variant>
        <vt:i4>0</vt:i4>
      </vt:variant>
      <vt:variant>
        <vt:i4>5</vt:i4>
      </vt:variant>
      <vt:variant>
        <vt:lpwstr>http://www.mfe.govt.nz/</vt:lpwstr>
      </vt:variant>
      <vt:variant>
        <vt:lpwstr/>
      </vt:variant>
      <vt:variant>
        <vt:i4>1638411</vt:i4>
      </vt:variant>
      <vt:variant>
        <vt:i4>0</vt:i4>
      </vt:variant>
      <vt:variant>
        <vt:i4>0</vt:i4>
      </vt:variant>
      <vt:variant>
        <vt:i4>5</vt:i4>
      </vt:variant>
      <vt:variant>
        <vt:lpwstr>https://environment.govt.nz/publications/a-guide-to-implementing-clause-3-13-of-the-nps-fm-2020/</vt:lpwstr>
      </vt:variant>
      <vt:variant>
        <vt:lpwstr/>
      </vt:variant>
      <vt:variant>
        <vt:i4>4915290</vt:i4>
      </vt:variant>
      <vt:variant>
        <vt:i4>0</vt:i4>
      </vt:variant>
      <vt:variant>
        <vt:i4>0</vt:i4>
      </vt:variant>
      <vt:variant>
        <vt:i4>5</vt:i4>
      </vt:variant>
      <vt:variant>
        <vt:lpwstr>https://environment.govt.nz/publications/action-for-healthy-waterways-decisions-on-national-direction-and-regulations-for-freshwater-management/</vt:lpwstr>
      </vt:variant>
      <vt:variant>
        <vt:lpwstr/>
      </vt:variant>
      <vt:variant>
        <vt:i4>1638411</vt:i4>
      </vt:variant>
      <vt:variant>
        <vt:i4>3</vt:i4>
      </vt:variant>
      <vt:variant>
        <vt:i4>0</vt:i4>
      </vt:variant>
      <vt:variant>
        <vt:i4>5</vt:i4>
      </vt:variant>
      <vt:variant>
        <vt:lpwstr>https://environment.govt.nz/publications/a-guide-to-implementing-clause-3-13-of-the-nps-fm-2020/</vt:lpwstr>
      </vt:variant>
      <vt:variant>
        <vt:lpwstr/>
      </vt:variant>
      <vt:variant>
        <vt:i4>1638411</vt:i4>
      </vt:variant>
      <vt:variant>
        <vt:i4>0</vt:i4>
      </vt:variant>
      <vt:variant>
        <vt:i4>0</vt:i4>
      </vt:variant>
      <vt:variant>
        <vt:i4>5</vt:i4>
      </vt:variant>
      <vt:variant>
        <vt:lpwstr>https://environment.govt.nz/publications/a-guide-to-implementing-clause-3-13-of-the-nps-fm-2020/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2023-10-19T21:58:00Z</dcterms:created>
  <dcterms:modified xsi:type="dcterms:W3CDTF">2023-10-19T22:20:00Z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2023-10-19T21:58:08Z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136c74eb-c054-4982-bf31-5f947bd565fd</vt:lpwstr>
  </property>
  <property fmtid="{D5CDD505-2E9C-101B-9397-08002B2CF9AE}" pid="8" name="MSIP_Label_52dda6cc-d61d-4fd2-bf18-9b3017d931cc_ContentBits">
    <vt:lpwstr>0</vt:lpwstr>
  </property>
  <property fmtid="{D5CDD505-2E9C-101B-9397-08002B2CF9AE}" pid="9" name="MediaServiceImageTags">
    <vt:lpwstr/>
  </property>
  <property fmtid="{D5CDD505-2E9C-101B-9397-08002B2CF9AE}" pid="10" name="ContentTypeId">
    <vt:lpwstr>0x010100EA5FB0BEBF7DE54D9F252D8A06C053F7</vt:lpwstr>
  </property>
  <property fmtid="{D5CDD505-2E9C-101B-9397-08002B2CF9AE}" pid="11" name="_dlc_DocIdItemGuid">
    <vt:lpwstr>0e92a75e-c818-4f3f-98c4-fce38786e38c</vt:lpwstr>
  </property>
</Properties>
</file>