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25D1" w14:textId="77777777" w:rsidR="00AF0934" w:rsidRDefault="00AF0934" w:rsidP="0090025D">
      <w:pPr>
        <w:pStyle w:val="Title"/>
      </w:pPr>
      <w:r>
        <w:t xml:space="preserve">2011 </w:t>
      </w:r>
      <w:r w:rsidR="001D6AB0">
        <w:t>Users</w:t>
      </w:r>
      <w:r w:rsidR="009C6DE6">
        <w:t>’</w:t>
      </w:r>
      <w:r w:rsidR="001D6AB0">
        <w:t xml:space="preserve"> Guide </w:t>
      </w:r>
    </w:p>
    <w:p w14:paraId="06BDAF0D" w14:textId="77777777" w:rsidR="00AF0934" w:rsidRDefault="001D6AB0" w:rsidP="0090025D">
      <w:pPr>
        <w:pStyle w:val="Title"/>
      </w:pPr>
      <w:r>
        <w:t xml:space="preserve">to </w:t>
      </w:r>
      <w:r w:rsidR="00AF0934">
        <w:t xml:space="preserve">the revised </w:t>
      </w:r>
    </w:p>
    <w:p w14:paraId="35F13D52" w14:textId="77777777" w:rsidR="00AF0934" w:rsidRDefault="001D6AB0" w:rsidP="0090025D">
      <w:pPr>
        <w:pStyle w:val="Title"/>
      </w:pPr>
      <w:r>
        <w:t>National Environmental Standards</w:t>
      </w:r>
      <w:r w:rsidR="00A73949">
        <w:t xml:space="preserve"> </w:t>
      </w:r>
    </w:p>
    <w:p w14:paraId="02CA4417" w14:textId="77777777" w:rsidR="001D6AB0" w:rsidRDefault="001D6AB0" w:rsidP="0090025D">
      <w:pPr>
        <w:pStyle w:val="Title"/>
      </w:pPr>
      <w:r>
        <w:t>for Air Quality</w:t>
      </w:r>
    </w:p>
    <w:p w14:paraId="24A2DCE8" w14:textId="77777777" w:rsidR="00FF51E8" w:rsidRDefault="00FF51E8" w:rsidP="00FF51E8">
      <w:pPr>
        <w:pStyle w:val="Subtitle"/>
      </w:pPr>
      <w:r>
        <w:t>Updated 2014</w:t>
      </w:r>
    </w:p>
    <w:p w14:paraId="17016CC1" w14:textId="77777777" w:rsidR="006814D5" w:rsidRDefault="006814D5" w:rsidP="0090025D"/>
    <w:p w14:paraId="2CB5E2A2" w14:textId="77777777" w:rsidR="006814D5" w:rsidRPr="005267D4" w:rsidRDefault="006814D5" w:rsidP="0090025D">
      <w:pPr>
        <w:sectPr w:rsidR="006814D5" w:rsidRPr="005267D4">
          <w:headerReference w:type="default" r:id="rId9"/>
          <w:footerReference w:type="default" r:id="rId10"/>
          <w:pgSz w:w="11907" w:h="16840" w:code="9"/>
          <w:pgMar w:top="5670" w:right="1418" w:bottom="1701" w:left="1418" w:header="567" w:footer="1134" w:gutter="0"/>
          <w:cols w:space="720"/>
        </w:sectPr>
      </w:pPr>
    </w:p>
    <w:p w14:paraId="58C4355F" w14:textId="77777777" w:rsidR="00C016FB" w:rsidRPr="00563CE9" w:rsidRDefault="00172732" w:rsidP="00473A31">
      <w:pPr>
        <w:pStyle w:val="Imprint"/>
        <w:spacing w:after="60"/>
        <w:rPr>
          <w:b/>
        </w:rPr>
      </w:pPr>
      <w:r w:rsidRPr="00172732">
        <w:rPr>
          <w:b/>
        </w:rPr>
        <w:lastRenderedPageBreak/>
        <w:t>Disclaimer</w:t>
      </w:r>
    </w:p>
    <w:p w14:paraId="7A405327" w14:textId="77777777" w:rsidR="006E4B5E" w:rsidRPr="00473A31" w:rsidRDefault="00D26F73" w:rsidP="0090025D">
      <w:pPr>
        <w:pStyle w:val="PlainText"/>
        <w:rPr>
          <w:rFonts w:ascii="Arial" w:hAnsi="Arial" w:cs="Arial"/>
          <w:sz w:val="20"/>
          <w:szCs w:val="20"/>
        </w:rPr>
      </w:pPr>
      <w:r w:rsidRPr="00473A31">
        <w:rPr>
          <w:rFonts w:ascii="Arial" w:hAnsi="Arial" w:cs="Arial"/>
          <w:sz w:val="20"/>
          <w:szCs w:val="20"/>
        </w:rPr>
        <w:t>The information in this publication is, according to the Ministry for the Environment’s best efforts, accurate at the time of publication and the Ministry makes every reasonable effort to keep it current and accurate. However, users of the publication are advised that:</w:t>
      </w:r>
    </w:p>
    <w:p w14:paraId="10C2F09D" w14:textId="77777777" w:rsidR="006E4B5E" w:rsidRPr="00473A31" w:rsidRDefault="00D26F73" w:rsidP="00AF3A32">
      <w:pPr>
        <w:pStyle w:val="PlainText"/>
        <w:numPr>
          <w:ilvl w:val="0"/>
          <w:numId w:val="22"/>
        </w:numPr>
        <w:rPr>
          <w:rFonts w:ascii="Arial" w:hAnsi="Arial" w:cs="Arial"/>
          <w:sz w:val="20"/>
          <w:szCs w:val="20"/>
        </w:rPr>
      </w:pPr>
      <w:r w:rsidRPr="00473A31">
        <w:rPr>
          <w:rFonts w:ascii="Arial" w:hAnsi="Arial" w:cs="Arial"/>
          <w:sz w:val="20"/>
          <w:szCs w:val="20"/>
        </w:rPr>
        <w:t xml:space="preserve">the information provided has no official status and so does not alter the laws of New Zealand and other official guidelines or requirements </w:t>
      </w:r>
    </w:p>
    <w:p w14:paraId="21956AD0" w14:textId="77777777" w:rsidR="006E4B5E" w:rsidRPr="00473A31" w:rsidRDefault="00D26F73" w:rsidP="00AF3A32">
      <w:pPr>
        <w:pStyle w:val="PlainText"/>
        <w:numPr>
          <w:ilvl w:val="0"/>
          <w:numId w:val="22"/>
        </w:numPr>
        <w:rPr>
          <w:rFonts w:ascii="Arial" w:hAnsi="Arial" w:cs="Arial"/>
          <w:sz w:val="20"/>
          <w:szCs w:val="20"/>
        </w:rPr>
      </w:pPr>
      <w:r w:rsidRPr="00473A31">
        <w:rPr>
          <w:rFonts w:ascii="Arial" w:hAnsi="Arial" w:cs="Arial"/>
          <w:sz w:val="20"/>
          <w:szCs w:val="20"/>
        </w:rPr>
        <w:t xml:space="preserve">it does not constitute legal advice, and users should take specific advice from qualified professional people before undertaking any action as a result of information obtained from this publication </w:t>
      </w:r>
    </w:p>
    <w:p w14:paraId="7C2F74BE" w14:textId="77777777" w:rsidR="006E4B5E" w:rsidRPr="00473A31" w:rsidRDefault="00D26F73" w:rsidP="00AF3A32">
      <w:pPr>
        <w:pStyle w:val="PlainText"/>
        <w:numPr>
          <w:ilvl w:val="0"/>
          <w:numId w:val="22"/>
        </w:numPr>
        <w:rPr>
          <w:rFonts w:ascii="Arial" w:hAnsi="Arial" w:cs="Arial"/>
          <w:sz w:val="20"/>
          <w:szCs w:val="20"/>
        </w:rPr>
      </w:pPr>
      <w:r w:rsidRPr="00473A31">
        <w:rPr>
          <w:rFonts w:ascii="Arial" w:hAnsi="Arial" w:cs="Arial"/>
          <w:sz w:val="20"/>
          <w:szCs w:val="20"/>
        </w:rPr>
        <w:t xml:space="preserve">the Ministry for the Environment does not accept any responsibility or liability whatsoever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 </w:t>
      </w:r>
    </w:p>
    <w:p w14:paraId="439E8C4B" w14:textId="77777777" w:rsidR="006E4B5E" w:rsidRPr="00473A31" w:rsidRDefault="00D26F73" w:rsidP="00AF3A32">
      <w:pPr>
        <w:pStyle w:val="Imprint"/>
        <w:numPr>
          <w:ilvl w:val="0"/>
          <w:numId w:val="22"/>
        </w:numPr>
        <w:rPr>
          <w:sz w:val="20"/>
        </w:rPr>
      </w:pPr>
      <w:r w:rsidRPr="00473A31">
        <w:rPr>
          <w:rFonts w:cs="Arial"/>
          <w:sz w:val="20"/>
        </w:rPr>
        <w:t>all references to websites,</w:t>
      </w:r>
      <w:r w:rsidRPr="00473A31">
        <w:rPr>
          <w:sz w:val="20"/>
        </w:rPr>
        <w:t xml:space="preserve"> organisations or people not within the Ministry for the Environment are provided for convenience only and should not be taken as endorsement of those websites or information contained in those websites nor of organisations or people referred to.</w:t>
      </w:r>
    </w:p>
    <w:p w14:paraId="3478E90C" w14:textId="77777777" w:rsidR="006572F2" w:rsidRPr="005267D4" w:rsidRDefault="006572F2" w:rsidP="0090025D">
      <w:pPr>
        <w:pStyle w:val="Imprint"/>
      </w:pPr>
    </w:p>
    <w:p w14:paraId="1D9135FF" w14:textId="77777777" w:rsidR="00C016FB" w:rsidRPr="00563CE9" w:rsidRDefault="00172732" w:rsidP="00473A31">
      <w:pPr>
        <w:pStyle w:val="Imprint"/>
        <w:spacing w:after="60"/>
        <w:rPr>
          <w:b/>
        </w:rPr>
      </w:pPr>
      <w:r w:rsidRPr="00172732">
        <w:rPr>
          <w:b/>
        </w:rPr>
        <w:t>Acknowledgements</w:t>
      </w:r>
    </w:p>
    <w:p w14:paraId="66D139CC" w14:textId="77777777" w:rsidR="008D3F9A" w:rsidRPr="00473A31" w:rsidRDefault="00563CE9" w:rsidP="0090025D">
      <w:pPr>
        <w:pStyle w:val="Imprint"/>
        <w:rPr>
          <w:sz w:val="20"/>
        </w:rPr>
      </w:pPr>
      <w:r w:rsidRPr="00473A31">
        <w:rPr>
          <w:sz w:val="20"/>
        </w:rPr>
        <w:t xml:space="preserve">The 2011 Users’ Guide has been prepared, under contract by Emission Impossible Ltd and Greg Hill – Resource Management/Planning Consultant to the Ministry for the </w:t>
      </w:r>
      <w:r w:rsidRPr="00473A31">
        <w:rPr>
          <w:rFonts w:cs="Arial"/>
          <w:sz w:val="20"/>
        </w:rPr>
        <w:t>Environment.</w:t>
      </w:r>
      <w:r w:rsidRPr="00473A31">
        <w:rPr>
          <w:sz w:val="20"/>
        </w:rPr>
        <w:t xml:space="preserve"> </w:t>
      </w:r>
      <w:r w:rsidR="008D3F9A" w:rsidRPr="00473A31">
        <w:rPr>
          <w:sz w:val="20"/>
        </w:rPr>
        <w:t>The authors would like to thank</w:t>
      </w:r>
      <w:r w:rsidR="00806ABC">
        <w:rPr>
          <w:sz w:val="20"/>
        </w:rPr>
        <w:t xml:space="preserve"> m</w:t>
      </w:r>
      <w:r w:rsidR="00806ABC" w:rsidRPr="00473A31">
        <w:rPr>
          <w:sz w:val="20"/>
        </w:rPr>
        <w:t>embers of the National Air Quality Working Group</w:t>
      </w:r>
      <w:r w:rsidR="00806ABC">
        <w:rPr>
          <w:sz w:val="20"/>
        </w:rPr>
        <w:t xml:space="preserve">; </w:t>
      </w:r>
      <w:r w:rsidR="00806ABC" w:rsidRPr="00473A31">
        <w:rPr>
          <w:sz w:val="20"/>
        </w:rPr>
        <w:t>Herb Familton, Auckland Council</w:t>
      </w:r>
      <w:r w:rsidR="00806ABC">
        <w:rPr>
          <w:sz w:val="20"/>
        </w:rPr>
        <w:t xml:space="preserve">; and </w:t>
      </w:r>
      <w:r w:rsidR="00806ABC" w:rsidRPr="00473A31">
        <w:rPr>
          <w:sz w:val="20"/>
        </w:rPr>
        <w:t>Tim Mallet, Environment Canterbury</w:t>
      </w:r>
      <w:r w:rsidR="00806ABC">
        <w:rPr>
          <w:sz w:val="20"/>
        </w:rPr>
        <w:t xml:space="preserve"> f</w:t>
      </w:r>
      <w:r w:rsidR="008D3F9A" w:rsidRPr="00473A31">
        <w:rPr>
          <w:sz w:val="20"/>
        </w:rPr>
        <w:t>or contributing to the development of this document.</w:t>
      </w:r>
    </w:p>
    <w:p w14:paraId="03A32FDD" w14:textId="77777777" w:rsidR="008D3F9A" w:rsidRPr="00473A31" w:rsidRDefault="008D3F9A" w:rsidP="0090025D">
      <w:pPr>
        <w:pStyle w:val="Imprint"/>
        <w:rPr>
          <w:sz w:val="20"/>
        </w:rPr>
      </w:pPr>
    </w:p>
    <w:p w14:paraId="266FE237" w14:textId="77777777" w:rsidR="00D04785" w:rsidRPr="005267D4" w:rsidRDefault="00D04785" w:rsidP="0090025D">
      <w:pPr>
        <w:pStyle w:val="Imprint"/>
      </w:pPr>
    </w:p>
    <w:p w14:paraId="2D4622E9" w14:textId="77777777" w:rsidR="00C016FB" w:rsidRPr="005267D4" w:rsidRDefault="00C016FB" w:rsidP="0090025D">
      <w:pPr>
        <w:pStyle w:val="Imprint"/>
      </w:pPr>
    </w:p>
    <w:p w14:paraId="76B610B2" w14:textId="77777777" w:rsidR="00C016FB" w:rsidRPr="005267D4" w:rsidRDefault="00C016FB" w:rsidP="0090025D">
      <w:pPr>
        <w:pStyle w:val="Imprint"/>
      </w:pPr>
      <w:r w:rsidRPr="005267D4">
        <w:t xml:space="preserve">This </w:t>
      </w:r>
      <w:r w:rsidR="00E44E04">
        <w:t>guide</w:t>
      </w:r>
      <w:r w:rsidR="00E44E04" w:rsidRPr="005267D4">
        <w:t xml:space="preserve"> </w:t>
      </w:r>
      <w:r w:rsidRPr="005267D4">
        <w:t>may be cited as:</w:t>
      </w:r>
    </w:p>
    <w:p w14:paraId="41AB6484" w14:textId="77777777" w:rsidR="00C016FB" w:rsidRPr="005267D4" w:rsidRDefault="00740B36" w:rsidP="0090025D">
      <w:pPr>
        <w:pStyle w:val="Imprint"/>
      </w:pPr>
      <w:r w:rsidRPr="001004AB">
        <w:t>Ministry for the Environment</w:t>
      </w:r>
      <w:r w:rsidR="00C016FB" w:rsidRPr="001004AB">
        <w:t xml:space="preserve">. </w:t>
      </w:r>
      <w:r w:rsidRPr="001004AB">
        <w:t>2011</w:t>
      </w:r>
      <w:r w:rsidR="00C016FB" w:rsidRPr="001004AB">
        <w:t xml:space="preserve">. </w:t>
      </w:r>
      <w:r w:rsidR="00AF0934" w:rsidRPr="009B7E94">
        <w:rPr>
          <w:i/>
          <w:iCs/>
        </w:rPr>
        <w:t xml:space="preserve">2011 </w:t>
      </w:r>
      <w:r w:rsidR="007648EF" w:rsidRPr="009B7E94">
        <w:rPr>
          <w:i/>
          <w:iCs/>
        </w:rPr>
        <w:t xml:space="preserve">Users’ Guide to </w:t>
      </w:r>
      <w:r w:rsidR="00D60116" w:rsidRPr="009B7E94">
        <w:rPr>
          <w:i/>
          <w:iCs/>
        </w:rPr>
        <w:t xml:space="preserve">the </w:t>
      </w:r>
      <w:r w:rsidR="00AF0934" w:rsidRPr="009B7E94">
        <w:rPr>
          <w:i/>
          <w:iCs/>
        </w:rPr>
        <w:t xml:space="preserve">revised </w:t>
      </w:r>
      <w:r w:rsidR="007648EF" w:rsidRPr="009B7E94">
        <w:rPr>
          <w:i/>
          <w:iCs/>
        </w:rPr>
        <w:t>National Environmental Standards for Air Quality</w:t>
      </w:r>
      <w:r w:rsidR="00D04785" w:rsidRPr="009B7E94">
        <w:rPr>
          <w:i/>
          <w:iCs/>
        </w:rPr>
        <w:t>: Updated 2014</w:t>
      </w:r>
      <w:r w:rsidRPr="001004AB">
        <w:t>.</w:t>
      </w:r>
      <w:r w:rsidR="00C016FB" w:rsidRPr="005267D4">
        <w:t xml:space="preserve"> Wellington: Ministry for the Environment.</w:t>
      </w:r>
    </w:p>
    <w:p w14:paraId="673BEC80" w14:textId="77777777" w:rsidR="00C016FB" w:rsidRPr="005267D4" w:rsidRDefault="00C016FB" w:rsidP="0090025D">
      <w:pPr>
        <w:pStyle w:val="Imprint"/>
      </w:pPr>
    </w:p>
    <w:p w14:paraId="00ECCE75" w14:textId="77777777" w:rsidR="00C016FB" w:rsidRDefault="00C016FB" w:rsidP="0090025D">
      <w:pPr>
        <w:pStyle w:val="Imprint"/>
      </w:pPr>
      <w:r w:rsidRPr="005267D4">
        <w:t xml:space="preserve">Published in </w:t>
      </w:r>
      <w:r w:rsidR="008D3F9A" w:rsidRPr="002C46E7">
        <w:t>August 2011</w:t>
      </w:r>
      <w:r w:rsidRPr="005267D4">
        <w:t xml:space="preserve"> by the</w:t>
      </w:r>
      <w:r w:rsidRPr="005267D4">
        <w:br/>
        <w:t xml:space="preserve">Ministry for the Environment </w:t>
      </w:r>
      <w:r w:rsidRPr="005267D4">
        <w:br/>
        <w:t>Manatū Mō Te Taiao</w:t>
      </w:r>
      <w:r w:rsidRPr="005267D4">
        <w:br/>
        <w:t>PO Box 10362, Wellington 6143, New Zealand</w:t>
      </w:r>
    </w:p>
    <w:p w14:paraId="17B91DD2" w14:textId="77777777" w:rsidR="00BE7996" w:rsidRPr="005267D4" w:rsidRDefault="00BE7996" w:rsidP="0090025D">
      <w:pPr>
        <w:pStyle w:val="Imprint"/>
      </w:pPr>
      <w:r>
        <w:t>Updated January 2014</w:t>
      </w:r>
    </w:p>
    <w:p w14:paraId="33B9C76D" w14:textId="77777777" w:rsidR="00473A31" w:rsidRDefault="00473A31" w:rsidP="0090025D">
      <w:pPr>
        <w:pStyle w:val="Imprint"/>
      </w:pPr>
    </w:p>
    <w:p w14:paraId="7924602C" w14:textId="77777777" w:rsidR="00C016FB" w:rsidRPr="005267D4" w:rsidRDefault="00C016FB" w:rsidP="0090025D">
      <w:pPr>
        <w:pStyle w:val="Imprint"/>
      </w:pPr>
      <w:r w:rsidRPr="005267D4">
        <w:t xml:space="preserve">ISBN: </w:t>
      </w:r>
      <w:r w:rsidR="00B20697" w:rsidRPr="00B20697">
        <w:t>978-0-478-</w:t>
      </w:r>
      <w:r w:rsidR="0030091F">
        <w:t>41236-9</w:t>
      </w:r>
      <w:r w:rsidRPr="00B20697">
        <w:t xml:space="preserve"> </w:t>
      </w:r>
    </w:p>
    <w:p w14:paraId="038A69B1" w14:textId="77777777" w:rsidR="00C016FB" w:rsidRPr="005267D4" w:rsidRDefault="00C016FB" w:rsidP="0090025D">
      <w:pPr>
        <w:pStyle w:val="Imprint"/>
      </w:pPr>
      <w:r w:rsidRPr="005267D4">
        <w:t xml:space="preserve">Publication number: ME </w:t>
      </w:r>
      <w:r w:rsidR="00E379BB">
        <w:t>1</w:t>
      </w:r>
      <w:r w:rsidR="0030091F">
        <w:t>141</w:t>
      </w:r>
    </w:p>
    <w:p w14:paraId="7005642B" w14:textId="77777777" w:rsidR="000D46EF" w:rsidRDefault="000D46EF" w:rsidP="00563CE9">
      <w:pPr>
        <w:pStyle w:val="Imprint"/>
      </w:pPr>
    </w:p>
    <w:p w14:paraId="19E0C0A8" w14:textId="77777777" w:rsidR="00C016FB" w:rsidRDefault="00C016FB" w:rsidP="005F4EBB">
      <w:pPr>
        <w:pStyle w:val="Title"/>
        <w:spacing w:line="240" w:lineRule="auto"/>
        <w:jc w:val="left"/>
        <w:rPr>
          <w:b w:val="0"/>
          <w:i/>
          <w:sz w:val="22"/>
          <w:szCs w:val="22"/>
        </w:rPr>
      </w:pPr>
      <w:r w:rsidRPr="00AF3A32">
        <w:rPr>
          <w:b w:val="0"/>
          <w:sz w:val="22"/>
          <w:szCs w:val="22"/>
        </w:rPr>
        <w:t xml:space="preserve">Other publications in this series include: </w:t>
      </w:r>
      <w:r w:rsidR="000D46EF" w:rsidRPr="00C17DFB">
        <w:rPr>
          <w:b w:val="0"/>
          <w:i/>
          <w:sz w:val="22"/>
          <w:szCs w:val="22"/>
        </w:rPr>
        <w:t>Clean Healthy Air for All New Zealanders: The national Air Quality Compliance Strategy to Meet the PM</w:t>
      </w:r>
      <w:r w:rsidR="000D46EF" w:rsidRPr="00C17DFB">
        <w:rPr>
          <w:b w:val="0"/>
          <w:i/>
          <w:sz w:val="22"/>
          <w:szCs w:val="22"/>
          <w:vertAlign w:val="subscript"/>
        </w:rPr>
        <w:t>10</w:t>
      </w:r>
      <w:r w:rsidR="000D46EF" w:rsidRPr="00C17DFB">
        <w:rPr>
          <w:b w:val="0"/>
          <w:i/>
          <w:sz w:val="22"/>
          <w:szCs w:val="22"/>
        </w:rPr>
        <w:t xml:space="preserve"> Standard</w:t>
      </w:r>
    </w:p>
    <w:p w14:paraId="5E4BAA65" w14:textId="77777777" w:rsidR="00E44E04" w:rsidRPr="00AF3A32" w:rsidRDefault="00E44E04" w:rsidP="005F4EBB">
      <w:pPr>
        <w:pStyle w:val="Title"/>
        <w:spacing w:line="240" w:lineRule="auto"/>
        <w:jc w:val="left"/>
        <w:rPr>
          <w:b w:val="0"/>
          <w:sz w:val="22"/>
          <w:szCs w:val="22"/>
        </w:rPr>
      </w:pPr>
    </w:p>
    <w:p w14:paraId="17D4DBD5" w14:textId="77777777" w:rsidR="00C016FB" w:rsidRPr="005267D4" w:rsidRDefault="00C016FB" w:rsidP="0090025D">
      <w:pPr>
        <w:pStyle w:val="Imprint"/>
      </w:pPr>
      <w:r w:rsidRPr="005267D4">
        <w:t xml:space="preserve">© Crown copyright New </w:t>
      </w:r>
      <w:r w:rsidRPr="0090218A">
        <w:t xml:space="preserve">Zealand </w:t>
      </w:r>
      <w:r w:rsidR="00E44E04">
        <w:t>2014</w:t>
      </w:r>
    </w:p>
    <w:p w14:paraId="5C022683" w14:textId="77777777" w:rsidR="005F4EBB" w:rsidRDefault="005F4EBB" w:rsidP="0090025D">
      <w:pPr>
        <w:pStyle w:val="Imprint"/>
      </w:pPr>
    </w:p>
    <w:p w14:paraId="598C48E7" w14:textId="7BC50297" w:rsidR="00806ABC" w:rsidRPr="005267D4" w:rsidRDefault="00C016FB" w:rsidP="0090025D">
      <w:pPr>
        <w:pStyle w:val="Imprint"/>
      </w:pPr>
      <w:r w:rsidRPr="005267D4">
        <w:t>This document is available on the Ministry for the Environment’s website:</w:t>
      </w:r>
      <w:r w:rsidR="006B2F3A">
        <w:t xml:space="preserve"> </w:t>
      </w:r>
      <w:hyperlink r:id="rId11" w:history="1">
        <w:r w:rsidR="006B2F3A" w:rsidRPr="006B2F3A">
          <w:rPr>
            <w:rStyle w:val="Hyperlink"/>
          </w:rPr>
          <w:t>environment@mfe.govt.nz</w:t>
        </w:r>
      </w:hyperlink>
      <w:r w:rsidR="006B2F3A">
        <w:t>.</w:t>
      </w:r>
      <w:r w:rsidRPr="005267D4">
        <w:br/>
      </w:r>
    </w:p>
    <w:p w14:paraId="75D5B389" w14:textId="7A19749C" w:rsidR="00725A18" w:rsidRPr="005267D4" w:rsidRDefault="0043717E" w:rsidP="0090025D">
      <w:r w:rsidRPr="008D79FF">
        <w:rPr>
          <w:noProof/>
          <w:lang w:val="en-US"/>
        </w:rPr>
        <w:drawing>
          <wp:inline distT="0" distB="0" distL="0" distR="0" wp14:anchorId="3C0CDB99" wp14:editId="781FE176">
            <wp:extent cx="1971675" cy="609600"/>
            <wp:effectExtent l="0" t="0" r="0" b="0"/>
            <wp:docPr id="1" name="Picture 2"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14:paraId="22558502" w14:textId="77777777" w:rsidR="00725A18" w:rsidRPr="005267D4" w:rsidRDefault="00725A18" w:rsidP="0090025D">
      <w:pPr>
        <w:sectPr w:rsidR="00725A18" w:rsidRPr="005267D4">
          <w:headerReference w:type="even" r:id="rId13"/>
          <w:headerReference w:type="default" r:id="rId14"/>
          <w:footerReference w:type="even" r:id="rId15"/>
          <w:footerReference w:type="default" r:id="rId16"/>
          <w:headerReference w:type="first" r:id="rId17"/>
          <w:pgSz w:w="11907" w:h="16840" w:code="9"/>
          <w:pgMar w:top="1701" w:right="1418" w:bottom="1701" w:left="1418" w:header="567" w:footer="567" w:gutter="567"/>
          <w:pgNumType w:fmt="lowerRoman"/>
          <w:cols w:space="720"/>
        </w:sectPr>
      </w:pPr>
    </w:p>
    <w:p w14:paraId="45DC697B" w14:textId="77777777" w:rsidR="001D6AB0" w:rsidRDefault="001D6AB0" w:rsidP="0090025D">
      <w:pPr>
        <w:pStyle w:val="Heading1"/>
      </w:pPr>
      <w:bookmarkStart w:id="0" w:name="_Toc300856579"/>
      <w:r>
        <w:lastRenderedPageBreak/>
        <w:t>Forew</w:t>
      </w:r>
      <w:r w:rsidR="00294E22">
        <w:t>o</w:t>
      </w:r>
      <w:r>
        <w:t>rd</w:t>
      </w:r>
      <w:bookmarkEnd w:id="0"/>
    </w:p>
    <w:p w14:paraId="33C75FA9" w14:textId="77777777" w:rsidR="006F4861" w:rsidRDefault="008D06C7" w:rsidP="0090025D">
      <w:pPr>
        <w:pStyle w:val="BodyText"/>
      </w:pPr>
      <w:r>
        <w:t xml:space="preserve">Clean healthy air contributes to New Zealand’s quality of life – not only people’s health, but also the natural functioning of and the “beauty of the natural and physical environment” </w:t>
      </w:r>
      <w:r w:rsidR="00A934A8">
        <w:br/>
      </w:r>
      <w:r w:rsidRPr="00507321">
        <w:t>(MfE, 2007</w:t>
      </w:r>
      <w:r w:rsidR="00507321" w:rsidRPr="00507321">
        <w:t>a</w:t>
      </w:r>
      <w:r>
        <w:t>). Air and air quality can be described as both a taonga and a part of the traditional kaitiakitanga</w:t>
      </w:r>
      <w:r w:rsidR="004C78D4">
        <w:t xml:space="preserve"> </w:t>
      </w:r>
      <w:r>
        <w:t>for M</w:t>
      </w:r>
      <w:r w:rsidRPr="00B7265F">
        <w:t>ā</w:t>
      </w:r>
      <w:r w:rsidR="00E44E04">
        <w:t>ori.</w:t>
      </w:r>
    </w:p>
    <w:p w14:paraId="02ADB748" w14:textId="77777777" w:rsidR="006F4861" w:rsidRDefault="006F4861" w:rsidP="0090025D">
      <w:pPr>
        <w:pStyle w:val="BodyText"/>
      </w:pPr>
    </w:p>
    <w:p w14:paraId="5D5CF350" w14:textId="77777777" w:rsidR="006F4861" w:rsidRPr="00A556FB" w:rsidRDefault="006F4861" w:rsidP="0090025D">
      <w:pPr>
        <w:pStyle w:val="BodyText"/>
      </w:pPr>
      <w:r w:rsidRPr="00A556FB">
        <w:t xml:space="preserve">The first national environmental standards </w:t>
      </w:r>
      <w:r>
        <w:t xml:space="preserve">for air quality </w:t>
      </w:r>
      <w:r w:rsidRPr="00A556FB">
        <w:t>were introduced in 2004</w:t>
      </w:r>
      <w:r>
        <w:t xml:space="preserve"> to set a guaranteed minimum level of health protection for all New Zealanders</w:t>
      </w:r>
      <w:r w:rsidRPr="00A556FB">
        <w:t>. At that time there was a strong need for action on ambient levels of partic</w:t>
      </w:r>
      <w:r>
        <w:t>ulate matter</w:t>
      </w:r>
      <w:r w:rsidRPr="00A556FB">
        <w:t xml:space="preserve"> </w:t>
      </w:r>
      <w:r>
        <w:t>less than 10 micrometres (PM</w:t>
      </w:r>
      <w:r w:rsidRPr="00C1386B">
        <w:rPr>
          <w:vertAlign w:val="subscript"/>
        </w:rPr>
        <w:t>10</w:t>
      </w:r>
      <w:r>
        <w:t xml:space="preserve">) </w:t>
      </w:r>
      <w:r w:rsidRPr="00A556FB">
        <w:t xml:space="preserve">in most parts of the country, largely due to emissions from </w:t>
      </w:r>
      <w:r w:rsidR="008D06C7">
        <w:t xml:space="preserve">solid fuel </w:t>
      </w:r>
      <w:r w:rsidRPr="00A556FB">
        <w:t xml:space="preserve">domestic heating </w:t>
      </w:r>
      <w:r w:rsidR="008D06C7">
        <w:t xml:space="preserve">appliances </w:t>
      </w:r>
      <w:r w:rsidRPr="00A556FB">
        <w:t>in winter.</w:t>
      </w:r>
    </w:p>
    <w:p w14:paraId="51EF19B5" w14:textId="77777777" w:rsidR="006F4861" w:rsidRPr="00A556FB" w:rsidRDefault="006F4861" w:rsidP="0090025D">
      <w:pPr>
        <w:pStyle w:val="BodyText"/>
      </w:pPr>
    </w:p>
    <w:p w14:paraId="5CBA16D5" w14:textId="77777777" w:rsidR="008D06C7" w:rsidRDefault="006F4861" w:rsidP="0090025D">
      <w:pPr>
        <w:pStyle w:val="BodyText"/>
      </w:pPr>
      <w:r w:rsidRPr="00A556FB">
        <w:t xml:space="preserve">Five years later (2009), the Minister for the Environment announced a review of the </w:t>
      </w:r>
      <w:r w:rsidR="00D752E1" w:rsidRPr="00A556FB">
        <w:t xml:space="preserve">Regulations </w:t>
      </w:r>
      <w:r w:rsidRPr="00A556FB">
        <w:t>relating to PM</w:t>
      </w:r>
      <w:r w:rsidRPr="00A556FB">
        <w:rPr>
          <w:vertAlign w:val="subscript"/>
        </w:rPr>
        <w:t>10.</w:t>
      </w:r>
      <w:r w:rsidRPr="00A556FB">
        <w:t xml:space="preserve"> This </w:t>
      </w:r>
      <w:r w:rsidR="008D06C7">
        <w:t>review</w:t>
      </w:r>
      <w:r w:rsidRPr="00A556FB">
        <w:t xml:space="preserve"> address</w:t>
      </w:r>
      <w:r w:rsidR="008D06C7">
        <w:t>ed</w:t>
      </w:r>
      <w:r w:rsidRPr="00A556FB">
        <w:t xml:space="preserve"> concerns regarding the perceived ‘stringency’ of the ambient standard, the lack of equity for industrial air pollution sources, and the difficulty in achieving the original target timeline of 2013. </w:t>
      </w:r>
    </w:p>
    <w:p w14:paraId="6A0AE0AA" w14:textId="77777777" w:rsidR="008D06C7" w:rsidRDefault="008D06C7" w:rsidP="0090025D">
      <w:pPr>
        <w:pStyle w:val="BodyText"/>
      </w:pPr>
    </w:p>
    <w:p w14:paraId="3E59BA31" w14:textId="77777777" w:rsidR="006F4861" w:rsidRDefault="006F4861" w:rsidP="0090025D">
      <w:pPr>
        <w:pStyle w:val="BodyText"/>
      </w:pPr>
      <w:r w:rsidRPr="00A556FB">
        <w:t xml:space="preserve">In response, the standards were revised and the amended </w:t>
      </w:r>
      <w:r w:rsidR="00D752E1">
        <w:t>R</w:t>
      </w:r>
      <w:r w:rsidR="00D752E1" w:rsidRPr="00A556FB">
        <w:t xml:space="preserve">egulations </w:t>
      </w:r>
      <w:r w:rsidRPr="00A556FB">
        <w:t xml:space="preserve">came into force </w:t>
      </w:r>
      <w:r>
        <w:t>on 1 June 2011</w:t>
      </w:r>
      <w:r w:rsidRPr="00A556FB">
        <w:t>.</w:t>
      </w:r>
      <w:r w:rsidR="00E44E04">
        <w:t xml:space="preserve"> </w:t>
      </w:r>
      <w:r w:rsidR="008D06C7">
        <w:t>These have been consolidated into the Resource Management (National Environmental Standards for Air Quality) Regulations 2004.</w:t>
      </w:r>
    </w:p>
    <w:p w14:paraId="1348BAE0" w14:textId="77777777" w:rsidR="00507321" w:rsidRDefault="00507321" w:rsidP="0090025D">
      <w:pPr>
        <w:pStyle w:val="BodyText"/>
      </w:pPr>
    </w:p>
    <w:p w14:paraId="6835EB61" w14:textId="77777777" w:rsidR="00507321" w:rsidRDefault="00507321" w:rsidP="0090025D">
      <w:pPr>
        <w:pStyle w:val="BodyText"/>
      </w:pPr>
      <w:r>
        <w:t xml:space="preserve">The 2011 Users’ Guide is intended to provide assistance on interpreting and implementing all the air quality </w:t>
      </w:r>
      <w:r w:rsidR="00D752E1">
        <w:t>Regulations</w:t>
      </w:r>
      <w:r>
        <w:t>. It seeks to promote consistency of application across New Zealand and consequently the earlier delivery of clean healthy air to all New Zealanders.</w:t>
      </w:r>
    </w:p>
    <w:p w14:paraId="7793D76E" w14:textId="77777777" w:rsidR="006F4861" w:rsidRPr="00A556FB" w:rsidRDefault="006F4861" w:rsidP="0090025D">
      <w:pPr>
        <w:pStyle w:val="BodyText"/>
      </w:pPr>
    </w:p>
    <w:p w14:paraId="7DBC8613" w14:textId="77777777" w:rsidR="006F4861" w:rsidRDefault="006F4861" w:rsidP="0090025D">
      <w:pPr>
        <w:pStyle w:val="BodyText"/>
      </w:pPr>
      <w:r w:rsidRPr="00A556FB">
        <w:t xml:space="preserve">This document is aimed </w:t>
      </w:r>
      <w:r>
        <w:t>at a technical rather than a general audience. The primary audience will be r</w:t>
      </w:r>
      <w:r w:rsidRPr="00A556FB">
        <w:t xml:space="preserve">egional council officers </w:t>
      </w:r>
      <w:r>
        <w:t>(</w:t>
      </w:r>
      <w:r w:rsidRPr="00A556FB">
        <w:t>and their elected representatives</w:t>
      </w:r>
      <w:r>
        <w:t>) and air quality practitioners</w:t>
      </w:r>
      <w:r w:rsidR="008D06C7">
        <w:t>. It</w:t>
      </w:r>
      <w:r>
        <w:t xml:space="preserve"> will also be of interest </w:t>
      </w:r>
      <w:r w:rsidR="00507321">
        <w:t xml:space="preserve">to </w:t>
      </w:r>
      <w:r w:rsidRPr="00A556FB">
        <w:t xml:space="preserve">other stakeholders, such as </w:t>
      </w:r>
      <w:r>
        <w:t xml:space="preserve">planners, resource managers, lawyers, industry, </w:t>
      </w:r>
      <w:r w:rsidRPr="00A556FB">
        <w:t xml:space="preserve">business, </w:t>
      </w:r>
      <w:r>
        <w:t xml:space="preserve">and environmental </w:t>
      </w:r>
      <w:r w:rsidRPr="00A556FB">
        <w:t>consultants</w:t>
      </w:r>
      <w:r>
        <w:t>.</w:t>
      </w:r>
    </w:p>
    <w:p w14:paraId="4470957E" w14:textId="77777777" w:rsidR="008D06C7" w:rsidRPr="00AF0934" w:rsidRDefault="008D06C7" w:rsidP="0090025D">
      <w:pPr>
        <w:pStyle w:val="Bullet"/>
        <w:sectPr w:rsidR="008D06C7" w:rsidRPr="00AF0934">
          <w:headerReference w:type="even" r:id="rId18"/>
          <w:headerReference w:type="default" r:id="rId19"/>
          <w:footerReference w:type="even" r:id="rId20"/>
          <w:footerReference w:type="default" r:id="rId21"/>
          <w:headerReference w:type="first" r:id="rId22"/>
          <w:pgSz w:w="11907" w:h="16840" w:code="9"/>
          <w:pgMar w:top="1701" w:right="1418" w:bottom="1701" w:left="1418" w:header="567" w:footer="567" w:gutter="567"/>
          <w:pgNumType w:fmt="lowerRoman"/>
          <w:cols w:space="720"/>
        </w:sectPr>
      </w:pPr>
    </w:p>
    <w:p w14:paraId="2E23CFBA" w14:textId="77777777" w:rsidR="00725A18" w:rsidRPr="005267D4" w:rsidRDefault="00725A18" w:rsidP="0090025D">
      <w:pPr>
        <w:pStyle w:val="Heading1"/>
      </w:pPr>
      <w:bookmarkStart w:id="1" w:name="_Toc300856580"/>
      <w:r w:rsidRPr="005267D4">
        <w:lastRenderedPageBreak/>
        <w:t>Contents</w:t>
      </w:r>
      <w:bookmarkEnd w:id="1"/>
    </w:p>
    <w:p w14:paraId="2EE4DAF4" w14:textId="77777777" w:rsidR="009A509D" w:rsidRDefault="0011281F" w:rsidP="0090025D">
      <w:pPr>
        <w:pStyle w:val="TOC1"/>
        <w:rPr>
          <w:rFonts w:ascii="Calibri" w:hAnsi="Calibri"/>
          <w:noProof/>
          <w:sz w:val="22"/>
          <w:szCs w:val="22"/>
          <w:lang w:eastAsia="en-NZ"/>
        </w:rPr>
      </w:pPr>
      <w:r w:rsidRPr="0011281F">
        <w:fldChar w:fldCharType="begin"/>
      </w:r>
      <w:r w:rsidR="005D3DC5" w:rsidRPr="005267D4">
        <w:instrText xml:space="preserve"> TOC \o "1-1" \t "Heading 2,2" </w:instrText>
      </w:r>
      <w:r w:rsidRPr="0011281F">
        <w:fldChar w:fldCharType="separate"/>
      </w:r>
      <w:r w:rsidR="009A509D">
        <w:rPr>
          <w:noProof/>
        </w:rPr>
        <w:t>Foreword</w:t>
      </w:r>
      <w:r w:rsidR="009A509D">
        <w:rPr>
          <w:noProof/>
        </w:rPr>
        <w:tab/>
      </w:r>
      <w:r>
        <w:rPr>
          <w:noProof/>
        </w:rPr>
        <w:fldChar w:fldCharType="begin"/>
      </w:r>
      <w:r w:rsidR="00BF7293">
        <w:rPr>
          <w:noProof/>
        </w:rPr>
        <w:instrText xml:space="preserve"> PAGEREF _Toc300856579 \h </w:instrText>
      </w:r>
      <w:r>
        <w:rPr>
          <w:noProof/>
        </w:rPr>
      </w:r>
      <w:r>
        <w:rPr>
          <w:noProof/>
        </w:rPr>
        <w:fldChar w:fldCharType="separate"/>
      </w:r>
      <w:r w:rsidR="00320D7E">
        <w:rPr>
          <w:noProof/>
        </w:rPr>
        <w:t>iii</w:t>
      </w:r>
      <w:r>
        <w:rPr>
          <w:noProof/>
        </w:rPr>
        <w:fldChar w:fldCharType="end"/>
      </w:r>
    </w:p>
    <w:p w14:paraId="1CB087F4" w14:textId="77777777" w:rsidR="009A509D" w:rsidRDefault="009A509D" w:rsidP="0090025D">
      <w:pPr>
        <w:pStyle w:val="TOC1"/>
        <w:rPr>
          <w:rFonts w:ascii="Calibri" w:hAnsi="Calibri"/>
          <w:noProof/>
          <w:sz w:val="22"/>
          <w:szCs w:val="22"/>
          <w:lang w:eastAsia="en-NZ"/>
        </w:rPr>
      </w:pPr>
      <w:r>
        <w:rPr>
          <w:noProof/>
        </w:rPr>
        <w:t>1</w:t>
      </w:r>
      <w:r>
        <w:rPr>
          <w:rFonts w:ascii="Calibri" w:hAnsi="Calibri"/>
          <w:noProof/>
          <w:sz w:val="22"/>
          <w:szCs w:val="22"/>
          <w:lang w:eastAsia="en-NZ"/>
        </w:rPr>
        <w:tab/>
      </w:r>
      <w:r>
        <w:rPr>
          <w:noProof/>
        </w:rPr>
        <w:t>Introduction</w:t>
      </w:r>
      <w:r>
        <w:rPr>
          <w:noProof/>
        </w:rPr>
        <w:tab/>
      </w:r>
      <w:r w:rsidR="0011281F">
        <w:rPr>
          <w:noProof/>
        </w:rPr>
        <w:fldChar w:fldCharType="begin"/>
      </w:r>
      <w:r w:rsidR="00BF7293">
        <w:rPr>
          <w:noProof/>
        </w:rPr>
        <w:instrText xml:space="preserve"> PAGEREF _Toc300856581 \h </w:instrText>
      </w:r>
      <w:r w:rsidR="0011281F">
        <w:rPr>
          <w:noProof/>
        </w:rPr>
      </w:r>
      <w:r w:rsidR="0011281F">
        <w:rPr>
          <w:noProof/>
        </w:rPr>
        <w:fldChar w:fldCharType="separate"/>
      </w:r>
      <w:r w:rsidR="00320D7E">
        <w:rPr>
          <w:noProof/>
        </w:rPr>
        <w:t>1</w:t>
      </w:r>
      <w:r w:rsidR="0011281F">
        <w:rPr>
          <w:noProof/>
        </w:rPr>
        <w:fldChar w:fldCharType="end"/>
      </w:r>
    </w:p>
    <w:p w14:paraId="3B5C4FCB" w14:textId="77777777" w:rsidR="009A509D" w:rsidRDefault="009A509D" w:rsidP="0090025D">
      <w:pPr>
        <w:pStyle w:val="TOC2"/>
        <w:rPr>
          <w:rFonts w:ascii="Calibri" w:hAnsi="Calibri"/>
          <w:noProof/>
          <w:sz w:val="22"/>
          <w:szCs w:val="22"/>
          <w:lang w:eastAsia="en-NZ"/>
        </w:rPr>
      </w:pPr>
      <w:r>
        <w:rPr>
          <w:noProof/>
        </w:rPr>
        <w:t>1.1</w:t>
      </w:r>
      <w:r>
        <w:rPr>
          <w:rFonts w:ascii="Calibri" w:hAnsi="Calibri"/>
          <w:noProof/>
          <w:sz w:val="22"/>
          <w:szCs w:val="22"/>
          <w:lang w:eastAsia="en-NZ"/>
        </w:rPr>
        <w:tab/>
      </w:r>
      <w:r>
        <w:rPr>
          <w:noProof/>
        </w:rPr>
        <w:t>What is the purpose of the Users’ Guide?</w:t>
      </w:r>
      <w:r>
        <w:rPr>
          <w:noProof/>
        </w:rPr>
        <w:tab/>
      </w:r>
      <w:r w:rsidR="0011281F">
        <w:rPr>
          <w:noProof/>
        </w:rPr>
        <w:fldChar w:fldCharType="begin"/>
      </w:r>
      <w:r w:rsidR="00BF7293">
        <w:rPr>
          <w:noProof/>
        </w:rPr>
        <w:instrText xml:space="preserve"> PAGEREF _Toc300856582 \h </w:instrText>
      </w:r>
      <w:r w:rsidR="0011281F">
        <w:rPr>
          <w:noProof/>
        </w:rPr>
      </w:r>
      <w:r w:rsidR="0011281F">
        <w:rPr>
          <w:noProof/>
        </w:rPr>
        <w:fldChar w:fldCharType="separate"/>
      </w:r>
      <w:r w:rsidR="00320D7E">
        <w:rPr>
          <w:noProof/>
        </w:rPr>
        <w:t>1</w:t>
      </w:r>
      <w:r w:rsidR="0011281F">
        <w:rPr>
          <w:noProof/>
        </w:rPr>
        <w:fldChar w:fldCharType="end"/>
      </w:r>
    </w:p>
    <w:p w14:paraId="5F6DE268" w14:textId="77777777" w:rsidR="009A509D" w:rsidRDefault="009A509D" w:rsidP="0090025D">
      <w:pPr>
        <w:pStyle w:val="TOC2"/>
        <w:rPr>
          <w:rFonts w:ascii="Calibri" w:hAnsi="Calibri"/>
          <w:noProof/>
          <w:sz w:val="22"/>
          <w:szCs w:val="22"/>
          <w:lang w:eastAsia="en-NZ"/>
        </w:rPr>
      </w:pPr>
      <w:r>
        <w:rPr>
          <w:noProof/>
        </w:rPr>
        <w:t>1.2</w:t>
      </w:r>
      <w:r>
        <w:rPr>
          <w:rFonts w:ascii="Calibri" w:hAnsi="Calibri"/>
          <w:noProof/>
          <w:sz w:val="22"/>
          <w:szCs w:val="22"/>
          <w:lang w:eastAsia="en-NZ"/>
        </w:rPr>
        <w:tab/>
      </w:r>
      <w:r>
        <w:rPr>
          <w:noProof/>
        </w:rPr>
        <w:t>What are national environmental standards?</w:t>
      </w:r>
      <w:r>
        <w:rPr>
          <w:noProof/>
        </w:rPr>
        <w:tab/>
      </w:r>
      <w:r w:rsidR="0011281F">
        <w:rPr>
          <w:noProof/>
        </w:rPr>
        <w:fldChar w:fldCharType="begin"/>
      </w:r>
      <w:r w:rsidR="00BF7293">
        <w:rPr>
          <w:noProof/>
        </w:rPr>
        <w:instrText xml:space="preserve"> PAGEREF _Toc300856583 \h </w:instrText>
      </w:r>
      <w:r w:rsidR="0011281F">
        <w:rPr>
          <w:noProof/>
        </w:rPr>
      </w:r>
      <w:r w:rsidR="0011281F">
        <w:rPr>
          <w:noProof/>
        </w:rPr>
        <w:fldChar w:fldCharType="separate"/>
      </w:r>
      <w:r w:rsidR="00320D7E">
        <w:rPr>
          <w:noProof/>
        </w:rPr>
        <w:t>1</w:t>
      </w:r>
      <w:r w:rsidR="0011281F">
        <w:rPr>
          <w:noProof/>
        </w:rPr>
        <w:fldChar w:fldCharType="end"/>
      </w:r>
    </w:p>
    <w:p w14:paraId="15938A73" w14:textId="77777777" w:rsidR="009A509D" w:rsidRDefault="009A509D" w:rsidP="0090025D">
      <w:pPr>
        <w:pStyle w:val="TOC2"/>
        <w:rPr>
          <w:rFonts w:ascii="Calibri" w:hAnsi="Calibri"/>
          <w:noProof/>
          <w:sz w:val="22"/>
          <w:szCs w:val="22"/>
          <w:lang w:eastAsia="en-NZ"/>
        </w:rPr>
      </w:pPr>
      <w:r>
        <w:rPr>
          <w:noProof/>
        </w:rPr>
        <w:t>1.3</w:t>
      </w:r>
      <w:r>
        <w:rPr>
          <w:rFonts w:ascii="Calibri" w:hAnsi="Calibri"/>
          <w:noProof/>
          <w:sz w:val="22"/>
          <w:szCs w:val="22"/>
          <w:lang w:eastAsia="en-NZ"/>
        </w:rPr>
        <w:tab/>
      </w:r>
      <w:r>
        <w:rPr>
          <w:noProof/>
        </w:rPr>
        <w:t>What is covered by the Users’ Guide?</w:t>
      </w:r>
      <w:r>
        <w:rPr>
          <w:noProof/>
        </w:rPr>
        <w:tab/>
      </w:r>
      <w:r w:rsidR="0011281F">
        <w:rPr>
          <w:noProof/>
        </w:rPr>
        <w:fldChar w:fldCharType="begin"/>
      </w:r>
      <w:r w:rsidR="00BF7293">
        <w:rPr>
          <w:noProof/>
        </w:rPr>
        <w:instrText xml:space="preserve"> PAGEREF _Toc300856584 \h </w:instrText>
      </w:r>
      <w:r w:rsidR="0011281F">
        <w:rPr>
          <w:noProof/>
        </w:rPr>
      </w:r>
      <w:r w:rsidR="0011281F">
        <w:rPr>
          <w:noProof/>
        </w:rPr>
        <w:fldChar w:fldCharType="separate"/>
      </w:r>
      <w:r w:rsidR="00320D7E">
        <w:rPr>
          <w:noProof/>
        </w:rPr>
        <w:t>4</w:t>
      </w:r>
      <w:r w:rsidR="0011281F">
        <w:rPr>
          <w:noProof/>
        </w:rPr>
        <w:fldChar w:fldCharType="end"/>
      </w:r>
    </w:p>
    <w:p w14:paraId="58330903" w14:textId="77777777" w:rsidR="009A509D" w:rsidRDefault="009A509D" w:rsidP="0090025D">
      <w:pPr>
        <w:pStyle w:val="TOC2"/>
        <w:rPr>
          <w:rFonts w:ascii="Calibri" w:hAnsi="Calibri"/>
          <w:noProof/>
          <w:sz w:val="22"/>
          <w:szCs w:val="22"/>
          <w:lang w:eastAsia="en-NZ"/>
        </w:rPr>
      </w:pPr>
      <w:r>
        <w:rPr>
          <w:noProof/>
        </w:rPr>
        <w:t>1.4</w:t>
      </w:r>
      <w:r>
        <w:rPr>
          <w:rFonts w:ascii="Calibri" w:hAnsi="Calibri"/>
          <w:noProof/>
          <w:sz w:val="22"/>
          <w:szCs w:val="22"/>
          <w:lang w:eastAsia="en-NZ"/>
        </w:rPr>
        <w:tab/>
      </w:r>
      <w:r>
        <w:rPr>
          <w:noProof/>
        </w:rPr>
        <w:t>Who is the intended audience?</w:t>
      </w:r>
      <w:r>
        <w:rPr>
          <w:noProof/>
        </w:rPr>
        <w:tab/>
      </w:r>
      <w:r w:rsidR="0011281F">
        <w:rPr>
          <w:noProof/>
        </w:rPr>
        <w:fldChar w:fldCharType="begin"/>
      </w:r>
      <w:r w:rsidR="00BF7293">
        <w:rPr>
          <w:noProof/>
        </w:rPr>
        <w:instrText xml:space="preserve"> PAGEREF _Toc300856585 \h </w:instrText>
      </w:r>
      <w:r w:rsidR="0011281F">
        <w:rPr>
          <w:noProof/>
        </w:rPr>
      </w:r>
      <w:r w:rsidR="0011281F">
        <w:rPr>
          <w:noProof/>
        </w:rPr>
        <w:fldChar w:fldCharType="separate"/>
      </w:r>
      <w:r w:rsidR="00320D7E">
        <w:rPr>
          <w:noProof/>
        </w:rPr>
        <w:t>5</w:t>
      </w:r>
      <w:r w:rsidR="0011281F">
        <w:rPr>
          <w:noProof/>
        </w:rPr>
        <w:fldChar w:fldCharType="end"/>
      </w:r>
    </w:p>
    <w:p w14:paraId="38ED8A83" w14:textId="77777777" w:rsidR="009A509D" w:rsidRDefault="009A509D" w:rsidP="0090025D">
      <w:pPr>
        <w:pStyle w:val="TOC2"/>
        <w:rPr>
          <w:rFonts w:ascii="Calibri" w:hAnsi="Calibri"/>
          <w:noProof/>
          <w:sz w:val="22"/>
          <w:szCs w:val="22"/>
          <w:lang w:eastAsia="en-NZ"/>
        </w:rPr>
      </w:pPr>
      <w:r>
        <w:rPr>
          <w:noProof/>
        </w:rPr>
        <w:t>1.5</w:t>
      </w:r>
      <w:r>
        <w:rPr>
          <w:rFonts w:ascii="Calibri" w:hAnsi="Calibri"/>
          <w:noProof/>
          <w:sz w:val="22"/>
          <w:szCs w:val="22"/>
          <w:lang w:eastAsia="en-NZ"/>
        </w:rPr>
        <w:tab/>
      </w:r>
      <w:r>
        <w:rPr>
          <w:noProof/>
        </w:rPr>
        <w:t>How does the Users’ Guide fit with other documents?</w:t>
      </w:r>
      <w:r>
        <w:rPr>
          <w:noProof/>
        </w:rPr>
        <w:tab/>
      </w:r>
      <w:r w:rsidR="0011281F">
        <w:rPr>
          <w:noProof/>
        </w:rPr>
        <w:fldChar w:fldCharType="begin"/>
      </w:r>
      <w:r w:rsidR="00BF7293">
        <w:rPr>
          <w:noProof/>
        </w:rPr>
        <w:instrText xml:space="preserve"> PAGEREF _Toc300856586 \h </w:instrText>
      </w:r>
      <w:r w:rsidR="0011281F">
        <w:rPr>
          <w:noProof/>
        </w:rPr>
      </w:r>
      <w:r w:rsidR="0011281F">
        <w:rPr>
          <w:noProof/>
        </w:rPr>
        <w:fldChar w:fldCharType="separate"/>
      </w:r>
      <w:r w:rsidR="00320D7E">
        <w:rPr>
          <w:noProof/>
        </w:rPr>
        <w:t>5</w:t>
      </w:r>
      <w:r w:rsidR="0011281F">
        <w:rPr>
          <w:noProof/>
        </w:rPr>
        <w:fldChar w:fldCharType="end"/>
      </w:r>
    </w:p>
    <w:p w14:paraId="0BE795F1" w14:textId="77777777" w:rsidR="009A509D" w:rsidRDefault="009A509D" w:rsidP="0090025D">
      <w:pPr>
        <w:pStyle w:val="TOC2"/>
        <w:rPr>
          <w:rFonts w:ascii="Calibri" w:hAnsi="Calibri"/>
          <w:noProof/>
          <w:sz w:val="22"/>
          <w:szCs w:val="22"/>
          <w:lang w:eastAsia="en-NZ"/>
        </w:rPr>
      </w:pPr>
      <w:r>
        <w:rPr>
          <w:noProof/>
        </w:rPr>
        <w:t>1.6</w:t>
      </w:r>
      <w:r>
        <w:rPr>
          <w:rFonts w:ascii="Calibri" w:hAnsi="Calibri"/>
          <w:noProof/>
          <w:sz w:val="22"/>
          <w:szCs w:val="22"/>
          <w:lang w:eastAsia="en-NZ"/>
        </w:rPr>
        <w:tab/>
      </w:r>
      <w:r>
        <w:rPr>
          <w:noProof/>
        </w:rPr>
        <w:t>How is the Users’ Guide structured?</w:t>
      </w:r>
      <w:r>
        <w:rPr>
          <w:noProof/>
        </w:rPr>
        <w:tab/>
      </w:r>
      <w:r w:rsidR="0011281F">
        <w:rPr>
          <w:noProof/>
        </w:rPr>
        <w:fldChar w:fldCharType="begin"/>
      </w:r>
      <w:r w:rsidR="00BF7293">
        <w:rPr>
          <w:noProof/>
        </w:rPr>
        <w:instrText xml:space="preserve"> PAGEREF _Toc300856587 \h </w:instrText>
      </w:r>
      <w:r w:rsidR="0011281F">
        <w:rPr>
          <w:noProof/>
        </w:rPr>
      </w:r>
      <w:r w:rsidR="0011281F">
        <w:rPr>
          <w:noProof/>
        </w:rPr>
        <w:fldChar w:fldCharType="separate"/>
      </w:r>
      <w:r w:rsidR="00320D7E">
        <w:rPr>
          <w:noProof/>
        </w:rPr>
        <w:t>7</w:t>
      </w:r>
      <w:r w:rsidR="0011281F">
        <w:rPr>
          <w:noProof/>
        </w:rPr>
        <w:fldChar w:fldCharType="end"/>
      </w:r>
    </w:p>
    <w:p w14:paraId="4E6FE391" w14:textId="77777777" w:rsidR="009A509D" w:rsidRDefault="009A509D" w:rsidP="0090025D">
      <w:pPr>
        <w:pStyle w:val="TOC1"/>
        <w:rPr>
          <w:rFonts w:ascii="Calibri" w:hAnsi="Calibri"/>
          <w:noProof/>
          <w:sz w:val="22"/>
          <w:szCs w:val="22"/>
          <w:lang w:eastAsia="en-NZ"/>
        </w:rPr>
      </w:pPr>
      <w:r>
        <w:rPr>
          <w:noProof/>
        </w:rPr>
        <w:t>2</w:t>
      </w:r>
      <w:r>
        <w:rPr>
          <w:rFonts w:ascii="Calibri" w:hAnsi="Calibri"/>
          <w:noProof/>
          <w:sz w:val="22"/>
          <w:szCs w:val="22"/>
          <w:lang w:eastAsia="en-NZ"/>
        </w:rPr>
        <w:tab/>
      </w:r>
      <w:r>
        <w:rPr>
          <w:noProof/>
        </w:rPr>
        <w:t>Dioxin and Other Toxic Substances</w:t>
      </w:r>
      <w:r>
        <w:rPr>
          <w:noProof/>
        </w:rPr>
        <w:tab/>
      </w:r>
      <w:r w:rsidR="0011281F">
        <w:rPr>
          <w:noProof/>
        </w:rPr>
        <w:fldChar w:fldCharType="begin"/>
      </w:r>
      <w:r w:rsidR="00BF7293">
        <w:rPr>
          <w:noProof/>
        </w:rPr>
        <w:instrText xml:space="preserve"> PAGEREF _Toc300856588 \h </w:instrText>
      </w:r>
      <w:r w:rsidR="0011281F">
        <w:rPr>
          <w:noProof/>
        </w:rPr>
      </w:r>
      <w:r w:rsidR="0011281F">
        <w:rPr>
          <w:noProof/>
        </w:rPr>
        <w:fldChar w:fldCharType="separate"/>
      </w:r>
      <w:r w:rsidR="00320D7E">
        <w:rPr>
          <w:noProof/>
        </w:rPr>
        <w:t>8</w:t>
      </w:r>
      <w:r w:rsidR="0011281F">
        <w:rPr>
          <w:noProof/>
        </w:rPr>
        <w:fldChar w:fldCharType="end"/>
      </w:r>
    </w:p>
    <w:p w14:paraId="357A012D" w14:textId="77777777" w:rsidR="009A509D" w:rsidRDefault="009A509D" w:rsidP="0090025D">
      <w:pPr>
        <w:pStyle w:val="TOC2"/>
        <w:rPr>
          <w:rFonts w:ascii="Calibri" w:hAnsi="Calibri"/>
          <w:noProof/>
          <w:sz w:val="22"/>
          <w:szCs w:val="22"/>
          <w:lang w:eastAsia="en-NZ"/>
        </w:rPr>
      </w:pPr>
      <w:r>
        <w:rPr>
          <w:noProof/>
        </w:rPr>
        <w:t>2.1</w:t>
      </w:r>
      <w:r>
        <w:rPr>
          <w:rFonts w:ascii="Calibri" w:hAnsi="Calibri"/>
          <w:noProof/>
          <w:sz w:val="22"/>
          <w:szCs w:val="22"/>
          <w:lang w:eastAsia="en-NZ"/>
        </w:rPr>
        <w:tab/>
      </w:r>
      <w:r>
        <w:rPr>
          <w:noProof/>
        </w:rPr>
        <w:t>Background</w:t>
      </w:r>
      <w:r>
        <w:rPr>
          <w:noProof/>
        </w:rPr>
        <w:tab/>
      </w:r>
      <w:r w:rsidR="0011281F">
        <w:rPr>
          <w:noProof/>
        </w:rPr>
        <w:fldChar w:fldCharType="begin"/>
      </w:r>
      <w:r w:rsidR="00BF7293">
        <w:rPr>
          <w:noProof/>
        </w:rPr>
        <w:instrText xml:space="preserve"> PAGEREF _Toc300856589 \h </w:instrText>
      </w:r>
      <w:r w:rsidR="0011281F">
        <w:rPr>
          <w:noProof/>
        </w:rPr>
      </w:r>
      <w:r w:rsidR="0011281F">
        <w:rPr>
          <w:noProof/>
        </w:rPr>
        <w:fldChar w:fldCharType="separate"/>
      </w:r>
      <w:r w:rsidR="00320D7E">
        <w:rPr>
          <w:noProof/>
        </w:rPr>
        <w:t>8</w:t>
      </w:r>
      <w:r w:rsidR="0011281F">
        <w:rPr>
          <w:noProof/>
        </w:rPr>
        <w:fldChar w:fldCharType="end"/>
      </w:r>
    </w:p>
    <w:p w14:paraId="248BEA79" w14:textId="77777777" w:rsidR="009A509D" w:rsidRDefault="009A509D" w:rsidP="0090025D">
      <w:pPr>
        <w:pStyle w:val="TOC2"/>
        <w:rPr>
          <w:rFonts w:ascii="Calibri" w:hAnsi="Calibri"/>
          <w:noProof/>
          <w:sz w:val="22"/>
          <w:szCs w:val="22"/>
          <w:lang w:eastAsia="en-NZ"/>
        </w:rPr>
      </w:pPr>
      <w:r>
        <w:rPr>
          <w:noProof/>
        </w:rPr>
        <w:t>2.2</w:t>
      </w:r>
      <w:r>
        <w:rPr>
          <w:rFonts w:ascii="Calibri" w:hAnsi="Calibri"/>
          <w:noProof/>
          <w:sz w:val="22"/>
          <w:szCs w:val="22"/>
          <w:lang w:eastAsia="en-NZ"/>
        </w:rPr>
        <w:tab/>
      </w:r>
      <w:r>
        <w:rPr>
          <w:noProof/>
        </w:rPr>
        <w:t>What activities do the standards prohibit?</w:t>
      </w:r>
      <w:r>
        <w:rPr>
          <w:noProof/>
        </w:rPr>
        <w:tab/>
      </w:r>
      <w:r w:rsidR="0011281F">
        <w:rPr>
          <w:noProof/>
        </w:rPr>
        <w:fldChar w:fldCharType="begin"/>
      </w:r>
      <w:r w:rsidR="00BF7293">
        <w:rPr>
          <w:noProof/>
        </w:rPr>
        <w:instrText xml:space="preserve"> PAGEREF _Toc300856590 \h </w:instrText>
      </w:r>
      <w:r w:rsidR="0011281F">
        <w:rPr>
          <w:noProof/>
        </w:rPr>
      </w:r>
      <w:r w:rsidR="0011281F">
        <w:rPr>
          <w:noProof/>
        </w:rPr>
        <w:fldChar w:fldCharType="separate"/>
      </w:r>
      <w:r w:rsidR="00320D7E">
        <w:rPr>
          <w:noProof/>
        </w:rPr>
        <w:t>10</w:t>
      </w:r>
      <w:r w:rsidR="0011281F">
        <w:rPr>
          <w:noProof/>
        </w:rPr>
        <w:fldChar w:fldCharType="end"/>
      </w:r>
    </w:p>
    <w:p w14:paraId="26AEF69B" w14:textId="77777777" w:rsidR="009A509D" w:rsidRDefault="009A509D" w:rsidP="0090025D">
      <w:pPr>
        <w:pStyle w:val="TOC2"/>
        <w:rPr>
          <w:rFonts w:ascii="Calibri" w:hAnsi="Calibri"/>
          <w:noProof/>
          <w:sz w:val="22"/>
          <w:szCs w:val="22"/>
          <w:lang w:eastAsia="en-NZ"/>
        </w:rPr>
      </w:pPr>
      <w:r>
        <w:rPr>
          <w:noProof/>
        </w:rPr>
        <w:t>2.3</w:t>
      </w:r>
      <w:r>
        <w:rPr>
          <w:rFonts w:ascii="Calibri" w:hAnsi="Calibri"/>
          <w:noProof/>
          <w:sz w:val="22"/>
          <w:szCs w:val="22"/>
          <w:lang w:eastAsia="en-NZ"/>
        </w:rPr>
        <w:tab/>
      </w:r>
      <w:r>
        <w:rPr>
          <w:noProof/>
        </w:rPr>
        <w:t xml:space="preserve"> How do the bans work in practice</w:t>
      </w:r>
      <w:r>
        <w:rPr>
          <w:noProof/>
        </w:rPr>
        <w:tab/>
      </w:r>
      <w:r w:rsidR="0011281F">
        <w:rPr>
          <w:noProof/>
        </w:rPr>
        <w:fldChar w:fldCharType="begin"/>
      </w:r>
      <w:r w:rsidR="00BF7293">
        <w:rPr>
          <w:noProof/>
        </w:rPr>
        <w:instrText xml:space="preserve"> PAGEREF _Toc300856591 \h </w:instrText>
      </w:r>
      <w:r w:rsidR="0011281F">
        <w:rPr>
          <w:noProof/>
        </w:rPr>
      </w:r>
      <w:r w:rsidR="0011281F">
        <w:rPr>
          <w:noProof/>
        </w:rPr>
        <w:fldChar w:fldCharType="separate"/>
      </w:r>
      <w:r w:rsidR="00320D7E">
        <w:rPr>
          <w:noProof/>
        </w:rPr>
        <w:t>17</w:t>
      </w:r>
      <w:r w:rsidR="0011281F">
        <w:rPr>
          <w:noProof/>
        </w:rPr>
        <w:fldChar w:fldCharType="end"/>
      </w:r>
    </w:p>
    <w:p w14:paraId="21375933" w14:textId="77777777" w:rsidR="009A509D" w:rsidRDefault="009A509D" w:rsidP="0090025D">
      <w:pPr>
        <w:pStyle w:val="TOC2"/>
        <w:rPr>
          <w:rFonts w:ascii="Calibri" w:hAnsi="Calibri"/>
          <w:noProof/>
          <w:sz w:val="22"/>
          <w:szCs w:val="22"/>
          <w:lang w:eastAsia="en-NZ"/>
        </w:rPr>
      </w:pPr>
      <w:r>
        <w:rPr>
          <w:noProof/>
        </w:rPr>
        <w:t>2.4</w:t>
      </w:r>
      <w:r>
        <w:rPr>
          <w:rFonts w:ascii="Calibri" w:hAnsi="Calibri"/>
          <w:noProof/>
          <w:sz w:val="22"/>
          <w:szCs w:val="22"/>
          <w:lang w:eastAsia="en-NZ"/>
        </w:rPr>
        <w:tab/>
      </w:r>
      <w:r>
        <w:rPr>
          <w:noProof/>
        </w:rPr>
        <w:t>Enforcement</w:t>
      </w:r>
      <w:r>
        <w:rPr>
          <w:noProof/>
        </w:rPr>
        <w:tab/>
      </w:r>
      <w:r w:rsidR="0011281F">
        <w:rPr>
          <w:noProof/>
        </w:rPr>
        <w:fldChar w:fldCharType="begin"/>
      </w:r>
      <w:r w:rsidR="00BF7293">
        <w:rPr>
          <w:noProof/>
        </w:rPr>
        <w:instrText xml:space="preserve"> PAGEREF _Toc300856592 \h </w:instrText>
      </w:r>
      <w:r w:rsidR="0011281F">
        <w:rPr>
          <w:noProof/>
        </w:rPr>
      </w:r>
      <w:r w:rsidR="0011281F">
        <w:rPr>
          <w:noProof/>
        </w:rPr>
        <w:fldChar w:fldCharType="separate"/>
      </w:r>
      <w:r w:rsidR="00320D7E">
        <w:rPr>
          <w:noProof/>
        </w:rPr>
        <w:t>20</w:t>
      </w:r>
      <w:r w:rsidR="0011281F">
        <w:rPr>
          <w:noProof/>
        </w:rPr>
        <w:fldChar w:fldCharType="end"/>
      </w:r>
    </w:p>
    <w:p w14:paraId="6365B88A" w14:textId="77777777" w:rsidR="009A509D" w:rsidRDefault="009A509D" w:rsidP="0090025D">
      <w:pPr>
        <w:pStyle w:val="TOC2"/>
        <w:rPr>
          <w:rFonts w:ascii="Calibri" w:hAnsi="Calibri"/>
          <w:noProof/>
          <w:sz w:val="22"/>
          <w:szCs w:val="22"/>
          <w:lang w:eastAsia="en-NZ"/>
        </w:rPr>
      </w:pPr>
      <w:r>
        <w:rPr>
          <w:noProof/>
        </w:rPr>
        <w:t>2.5</w:t>
      </w:r>
      <w:r>
        <w:rPr>
          <w:rFonts w:ascii="Calibri" w:hAnsi="Calibri"/>
          <w:noProof/>
          <w:sz w:val="22"/>
          <w:szCs w:val="22"/>
          <w:lang w:eastAsia="en-NZ"/>
        </w:rPr>
        <w:tab/>
      </w:r>
      <w:r>
        <w:rPr>
          <w:noProof/>
        </w:rPr>
        <w:t>Reporting requirements</w:t>
      </w:r>
      <w:r>
        <w:rPr>
          <w:noProof/>
        </w:rPr>
        <w:tab/>
      </w:r>
      <w:r w:rsidR="0011281F">
        <w:rPr>
          <w:noProof/>
        </w:rPr>
        <w:fldChar w:fldCharType="begin"/>
      </w:r>
      <w:r w:rsidR="00BF7293">
        <w:rPr>
          <w:noProof/>
        </w:rPr>
        <w:instrText xml:space="preserve"> PAGEREF _Toc300856593 \h </w:instrText>
      </w:r>
      <w:r w:rsidR="0011281F">
        <w:rPr>
          <w:noProof/>
        </w:rPr>
      </w:r>
      <w:r w:rsidR="0011281F">
        <w:rPr>
          <w:noProof/>
        </w:rPr>
        <w:fldChar w:fldCharType="separate"/>
      </w:r>
      <w:r w:rsidR="00320D7E">
        <w:rPr>
          <w:noProof/>
        </w:rPr>
        <w:t>22</w:t>
      </w:r>
      <w:r w:rsidR="0011281F">
        <w:rPr>
          <w:noProof/>
        </w:rPr>
        <w:fldChar w:fldCharType="end"/>
      </w:r>
    </w:p>
    <w:p w14:paraId="50657D1E" w14:textId="77777777" w:rsidR="009A509D" w:rsidRDefault="009A509D" w:rsidP="0090025D">
      <w:pPr>
        <w:pStyle w:val="TOC1"/>
        <w:rPr>
          <w:rFonts w:ascii="Calibri" w:hAnsi="Calibri"/>
          <w:noProof/>
          <w:sz w:val="22"/>
          <w:szCs w:val="22"/>
          <w:lang w:eastAsia="en-NZ"/>
        </w:rPr>
      </w:pPr>
      <w:r>
        <w:rPr>
          <w:noProof/>
        </w:rPr>
        <w:t>3</w:t>
      </w:r>
      <w:r>
        <w:rPr>
          <w:rFonts w:ascii="Calibri" w:hAnsi="Calibri"/>
          <w:noProof/>
          <w:sz w:val="22"/>
          <w:szCs w:val="22"/>
          <w:lang w:eastAsia="en-NZ"/>
        </w:rPr>
        <w:tab/>
      </w:r>
      <w:r>
        <w:rPr>
          <w:noProof/>
        </w:rPr>
        <w:t>Ambient Air Quality Standards for Carbon Monoxide, Nitrogen Dioxide, Ozone and Sulphur Dioxide</w:t>
      </w:r>
      <w:r>
        <w:rPr>
          <w:noProof/>
        </w:rPr>
        <w:tab/>
      </w:r>
      <w:r w:rsidR="0011281F">
        <w:rPr>
          <w:noProof/>
        </w:rPr>
        <w:fldChar w:fldCharType="begin"/>
      </w:r>
      <w:r w:rsidR="00BF7293">
        <w:rPr>
          <w:noProof/>
        </w:rPr>
        <w:instrText xml:space="preserve"> PAGEREF _Toc300856594 \h </w:instrText>
      </w:r>
      <w:r w:rsidR="0011281F">
        <w:rPr>
          <w:noProof/>
        </w:rPr>
      </w:r>
      <w:r w:rsidR="0011281F">
        <w:rPr>
          <w:noProof/>
        </w:rPr>
        <w:fldChar w:fldCharType="separate"/>
      </w:r>
      <w:r w:rsidR="00320D7E">
        <w:rPr>
          <w:noProof/>
        </w:rPr>
        <w:t>23</w:t>
      </w:r>
      <w:r w:rsidR="0011281F">
        <w:rPr>
          <w:noProof/>
        </w:rPr>
        <w:fldChar w:fldCharType="end"/>
      </w:r>
    </w:p>
    <w:p w14:paraId="607DD2D2" w14:textId="77777777" w:rsidR="009A509D" w:rsidRDefault="009A509D" w:rsidP="0090025D">
      <w:pPr>
        <w:pStyle w:val="TOC2"/>
        <w:rPr>
          <w:rFonts w:ascii="Calibri" w:hAnsi="Calibri"/>
          <w:noProof/>
          <w:sz w:val="22"/>
          <w:szCs w:val="22"/>
          <w:lang w:eastAsia="en-NZ"/>
        </w:rPr>
      </w:pPr>
      <w:r>
        <w:rPr>
          <w:noProof/>
        </w:rPr>
        <w:t>3.1</w:t>
      </w:r>
      <w:r>
        <w:rPr>
          <w:rFonts w:ascii="Calibri" w:hAnsi="Calibri"/>
          <w:noProof/>
          <w:sz w:val="22"/>
          <w:szCs w:val="22"/>
          <w:lang w:eastAsia="en-NZ"/>
        </w:rPr>
        <w:tab/>
      </w:r>
      <w:r>
        <w:rPr>
          <w:noProof/>
        </w:rPr>
        <w:t>Introduction</w:t>
      </w:r>
      <w:r>
        <w:rPr>
          <w:noProof/>
        </w:rPr>
        <w:tab/>
      </w:r>
      <w:r w:rsidR="0011281F">
        <w:rPr>
          <w:noProof/>
        </w:rPr>
        <w:fldChar w:fldCharType="begin"/>
      </w:r>
      <w:r w:rsidR="00BF7293">
        <w:rPr>
          <w:noProof/>
        </w:rPr>
        <w:instrText xml:space="preserve"> PAGEREF _Toc300856595 \h </w:instrText>
      </w:r>
      <w:r w:rsidR="0011281F">
        <w:rPr>
          <w:noProof/>
        </w:rPr>
      </w:r>
      <w:r w:rsidR="0011281F">
        <w:rPr>
          <w:noProof/>
        </w:rPr>
        <w:fldChar w:fldCharType="separate"/>
      </w:r>
      <w:r w:rsidR="00320D7E">
        <w:rPr>
          <w:noProof/>
        </w:rPr>
        <w:t>23</w:t>
      </w:r>
      <w:r w:rsidR="0011281F">
        <w:rPr>
          <w:noProof/>
        </w:rPr>
        <w:fldChar w:fldCharType="end"/>
      </w:r>
    </w:p>
    <w:p w14:paraId="560DA3D8" w14:textId="77777777" w:rsidR="009A509D" w:rsidRDefault="009A509D" w:rsidP="0090025D">
      <w:pPr>
        <w:pStyle w:val="TOC2"/>
        <w:rPr>
          <w:rFonts w:ascii="Calibri" w:hAnsi="Calibri"/>
          <w:noProof/>
          <w:sz w:val="22"/>
          <w:szCs w:val="22"/>
          <w:lang w:eastAsia="en-NZ"/>
        </w:rPr>
      </w:pPr>
      <w:r>
        <w:rPr>
          <w:noProof/>
        </w:rPr>
        <w:t>3.2</w:t>
      </w:r>
      <w:r>
        <w:rPr>
          <w:rFonts w:ascii="Calibri" w:hAnsi="Calibri"/>
          <w:noProof/>
          <w:sz w:val="22"/>
          <w:szCs w:val="22"/>
          <w:lang w:eastAsia="en-NZ"/>
        </w:rPr>
        <w:tab/>
      </w:r>
      <w:r>
        <w:rPr>
          <w:noProof/>
        </w:rPr>
        <w:t>Adverse effects</w:t>
      </w:r>
      <w:r>
        <w:rPr>
          <w:noProof/>
        </w:rPr>
        <w:tab/>
      </w:r>
      <w:r w:rsidR="0011281F">
        <w:rPr>
          <w:noProof/>
        </w:rPr>
        <w:fldChar w:fldCharType="begin"/>
      </w:r>
      <w:r w:rsidR="00BF7293">
        <w:rPr>
          <w:noProof/>
        </w:rPr>
        <w:instrText xml:space="preserve"> PAGEREF _Toc300856596 \h </w:instrText>
      </w:r>
      <w:r w:rsidR="0011281F">
        <w:rPr>
          <w:noProof/>
        </w:rPr>
      </w:r>
      <w:r w:rsidR="0011281F">
        <w:rPr>
          <w:noProof/>
        </w:rPr>
        <w:fldChar w:fldCharType="separate"/>
      </w:r>
      <w:r w:rsidR="00320D7E">
        <w:rPr>
          <w:noProof/>
        </w:rPr>
        <w:t>24</w:t>
      </w:r>
      <w:r w:rsidR="0011281F">
        <w:rPr>
          <w:noProof/>
        </w:rPr>
        <w:fldChar w:fldCharType="end"/>
      </w:r>
    </w:p>
    <w:p w14:paraId="64538256" w14:textId="77777777" w:rsidR="009A509D" w:rsidRDefault="009A509D" w:rsidP="0090025D">
      <w:pPr>
        <w:pStyle w:val="TOC2"/>
        <w:rPr>
          <w:rFonts w:ascii="Calibri" w:hAnsi="Calibri"/>
          <w:noProof/>
          <w:sz w:val="22"/>
          <w:szCs w:val="22"/>
          <w:lang w:eastAsia="en-NZ"/>
        </w:rPr>
      </w:pPr>
      <w:r>
        <w:rPr>
          <w:noProof/>
        </w:rPr>
        <w:t>3.3</w:t>
      </w:r>
      <w:r>
        <w:rPr>
          <w:rFonts w:ascii="Calibri" w:hAnsi="Calibri"/>
          <w:noProof/>
          <w:sz w:val="22"/>
          <w:szCs w:val="22"/>
          <w:lang w:eastAsia="en-NZ"/>
        </w:rPr>
        <w:tab/>
      </w:r>
      <w:r>
        <w:rPr>
          <w:noProof/>
        </w:rPr>
        <w:t>The ambient air quality standards</w:t>
      </w:r>
      <w:r>
        <w:rPr>
          <w:noProof/>
        </w:rPr>
        <w:tab/>
      </w:r>
      <w:r w:rsidR="0011281F">
        <w:rPr>
          <w:noProof/>
        </w:rPr>
        <w:fldChar w:fldCharType="begin"/>
      </w:r>
      <w:r w:rsidR="00BF7293">
        <w:rPr>
          <w:noProof/>
        </w:rPr>
        <w:instrText xml:space="preserve"> PAGEREF _Toc300856597 \h </w:instrText>
      </w:r>
      <w:r w:rsidR="0011281F">
        <w:rPr>
          <w:noProof/>
        </w:rPr>
      </w:r>
      <w:r w:rsidR="0011281F">
        <w:rPr>
          <w:noProof/>
        </w:rPr>
        <w:fldChar w:fldCharType="separate"/>
      </w:r>
      <w:r w:rsidR="00320D7E">
        <w:rPr>
          <w:noProof/>
        </w:rPr>
        <w:t>26</w:t>
      </w:r>
      <w:r w:rsidR="0011281F">
        <w:rPr>
          <w:noProof/>
        </w:rPr>
        <w:fldChar w:fldCharType="end"/>
      </w:r>
    </w:p>
    <w:p w14:paraId="72BC1A85" w14:textId="77777777" w:rsidR="009A509D" w:rsidRDefault="009A509D" w:rsidP="0090025D">
      <w:pPr>
        <w:pStyle w:val="TOC2"/>
        <w:rPr>
          <w:rFonts w:ascii="Calibri" w:hAnsi="Calibri"/>
          <w:noProof/>
          <w:sz w:val="22"/>
          <w:szCs w:val="22"/>
          <w:lang w:eastAsia="en-NZ"/>
        </w:rPr>
      </w:pPr>
      <w:r>
        <w:rPr>
          <w:noProof/>
        </w:rPr>
        <w:t>3.4</w:t>
      </w:r>
      <w:r>
        <w:rPr>
          <w:rFonts w:ascii="Calibri" w:hAnsi="Calibri"/>
          <w:noProof/>
          <w:sz w:val="22"/>
          <w:szCs w:val="22"/>
          <w:lang w:eastAsia="en-NZ"/>
        </w:rPr>
        <w:tab/>
      </w:r>
      <w:r>
        <w:rPr>
          <w:noProof/>
        </w:rPr>
        <w:t>Where do the ambient standards apply?</w:t>
      </w:r>
      <w:r>
        <w:rPr>
          <w:noProof/>
        </w:rPr>
        <w:tab/>
      </w:r>
      <w:r w:rsidR="0011281F">
        <w:rPr>
          <w:noProof/>
        </w:rPr>
        <w:fldChar w:fldCharType="begin"/>
      </w:r>
      <w:r w:rsidR="00BF7293">
        <w:rPr>
          <w:noProof/>
        </w:rPr>
        <w:instrText xml:space="preserve"> PAGEREF _Toc300856598 \h </w:instrText>
      </w:r>
      <w:r w:rsidR="0011281F">
        <w:rPr>
          <w:noProof/>
        </w:rPr>
      </w:r>
      <w:r w:rsidR="0011281F">
        <w:rPr>
          <w:noProof/>
        </w:rPr>
        <w:fldChar w:fldCharType="separate"/>
      </w:r>
      <w:r w:rsidR="00320D7E">
        <w:rPr>
          <w:noProof/>
        </w:rPr>
        <w:t>30</w:t>
      </w:r>
      <w:r w:rsidR="0011281F">
        <w:rPr>
          <w:noProof/>
        </w:rPr>
        <w:fldChar w:fldCharType="end"/>
      </w:r>
    </w:p>
    <w:p w14:paraId="35525521" w14:textId="77777777" w:rsidR="009A509D" w:rsidRDefault="009A509D" w:rsidP="0090025D">
      <w:pPr>
        <w:pStyle w:val="TOC2"/>
        <w:rPr>
          <w:rFonts w:ascii="Calibri" w:hAnsi="Calibri"/>
          <w:noProof/>
          <w:sz w:val="22"/>
          <w:szCs w:val="22"/>
          <w:lang w:eastAsia="en-NZ"/>
        </w:rPr>
      </w:pPr>
      <w:r>
        <w:rPr>
          <w:noProof/>
        </w:rPr>
        <w:t>3.5</w:t>
      </w:r>
      <w:r>
        <w:rPr>
          <w:rFonts w:ascii="Calibri" w:hAnsi="Calibri"/>
          <w:noProof/>
          <w:sz w:val="22"/>
          <w:szCs w:val="22"/>
          <w:lang w:eastAsia="en-NZ"/>
        </w:rPr>
        <w:tab/>
      </w:r>
      <w:r>
        <w:rPr>
          <w:noProof/>
        </w:rPr>
        <w:t>Monitoring</w:t>
      </w:r>
      <w:r>
        <w:rPr>
          <w:noProof/>
        </w:rPr>
        <w:tab/>
      </w:r>
      <w:r w:rsidR="0011281F">
        <w:rPr>
          <w:noProof/>
        </w:rPr>
        <w:fldChar w:fldCharType="begin"/>
      </w:r>
      <w:r w:rsidR="00BF7293">
        <w:rPr>
          <w:noProof/>
        </w:rPr>
        <w:instrText xml:space="preserve"> PAGEREF _Toc300856599 \h </w:instrText>
      </w:r>
      <w:r w:rsidR="0011281F">
        <w:rPr>
          <w:noProof/>
        </w:rPr>
      </w:r>
      <w:r w:rsidR="0011281F">
        <w:rPr>
          <w:noProof/>
        </w:rPr>
        <w:fldChar w:fldCharType="separate"/>
      </w:r>
      <w:r w:rsidR="00320D7E">
        <w:rPr>
          <w:noProof/>
        </w:rPr>
        <w:t>33</w:t>
      </w:r>
      <w:r w:rsidR="0011281F">
        <w:rPr>
          <w:noProof/>
        </w:rPr>
        <w:fldChar w:fldCharType="end"/>
      </w:r>
    </w:p>
    <w:p w14:paraId="3298B3B9" w14:textId="77777777" w:rsidR="009A509D" w:rsidRDefault="009A509D" w:rsidP="0090025D">
      <w:pPr>
        <w:pStyle w:val="TOC2"/>
        <w:rPr>
          <w:rFonts w:ascii="Calibri" w:hAnsi="Calibri"/>
          <w:noProof/>
          <w:sz w:val="22"/>
          <w:szCs w:val="22"/>
          <w:lang w:eastAsia="en-NZ"/>
        </w:rPr>
      </w:pPr>
      <w:r>
        <w:rPr>
          <w:noProof/>
        </w:rPr>
        <w:t>3.6</w:t>
      </w:r>
      <w:r>
        <w:rPr>
          <w:rFonts w:ascii="Calibri" w:hAnsi="Calibri"/>
          <w:noProof/>
          <w:sz w:val="22"/>
          <w:szCs w:val="22"/>
          <w:lang w:eastAsia="en-NZ"/>
        </w:rPr>
        <w:tab/>
      </w:r>
      <w:r>
        <w:rPr>
          <w:noProof/>
        </w:rPr>
        <w:t>Exceedances</w:t>
      </w:r>
      <w:r>
        <w:rPr>
          <w:noProof/>
        </w:rPr>
        <w:tab/>
      </w:r>
      <w:r w:rsidR="0011281F">
        <w:rPr>
          <w:noProof/>
        </w:rPr>
        <w:fldChar w:fldCharType="begin"/>
      </w:r>
      <w:r w:rsidR="00BF7293">
        <w:rPr>
          <w:noProof/>
        </w:rPr>
        <w:instrText xml:space="preserve"> PAGEREF _Toc300856600 \h </w:instrText>
      </w:r>
      <w:r w:rsidR="0011281F">
        <w:rPr>
          <w:noProof/>
        </w:rPr>
      </w:r>
      <w:r w:rsidR="0011281F">
        <w:rPr>
          <w:noProof/>
        </w:rPr>
        <w:fldChar w:fldCharType="separate"/>
      </w:r>
      <w:r w:rsidR="00320D7E">
        <w:rPr>
          <w:noProof/>
        </w:rPr>
        <w:t>39</w:t>
      </w:r>
      <w:r w:rsidR="0011281F">
        <w:rPr>
          <w:noProof/>
        </w:rPr>
        <w:fldChar w:fldCharType="end"/>
      </w:r>
    </w:p>
    <w:p w14:paraId="273386CB" w14:textId="77777777" w:rsidR="009A509D" w:rsidRDefault="009A509D" w:rsidP="0090025D">
      <w:pPr>
        <w:pStyle w:val="TOC2"/>
        <w:rPr>
          <w:rFonts w:ascii="Calibri" w:hAnsi="Calibri"/>
          <w:noProof/>
          <w:sz w:val="22"/>
          <w:szCs w:val="22"/>
          <w:lang w:eastAsia="en-NZ"/>
        </w:rPr>
      </w:pPr>
      <w:r>
        <w:rPr>
          <w:noProof/>
        </w:rPr>
        <w:t>3.7</w:t>
      </w:r>
      <w:r>
        <w:rPr>
          <w:rFonts w:ascii="Calibri" w:hAnsi="Calibri"/>
          <w:noProof/>
          <w:sz w:val="22"/>
          <w:szCs w:val="22"/>
          <w:lang w:eastAsia="en-NZ"/>
        </w:rPr>
        <w:tab/>
      </w:r>
      <w:r>
        <w:rPr>
          <w:noProof/>
        </w:rPr>
        <w:t xml:space="preserve">Reporting </w:t>
      </w:r>
      <w:r w:rsidR="00E44E04">
        <w:rPr>
          <w:noProof/>
        </w:rPr>
        <w:t>breaches</w:t>
      </w:r>
      <w:r>
        <w:rPr>
          <w:noProof/>
        </w:rPr>
        <w:tab/>
      </w:r>
      <w:r w:rsidR="0011281F">
        <w:rPr>
          <w:noProof/>
        </w:rPr>
        <w:fldChar w:fldCharType="begin"/>
      </w:r>
      <w:r w:rsidR="00BF7293">
        <w:rPr>
          <w:noProof/>
        </w:rPr>
        <w:instrText xml:space="preserve"> PAGEREF _Toc300856601 \h </w:instrText>
      </w:r>
      <w:r w:rsidR="0011281F">
        <w:rPr>
          <w:noProof/>
        </w:rPr>
      </w:r>
      <w:r w:rsidR="0011281F">
        <w:rPr>
          <w:noProof/>
        </w:rPr>
        <w:fldChar w:fldCharType="separate"/>
      </w:r>
      <w:r w:rsidR="00320D7E">
        <w:rPr>
          <w:noProof/>
        </w:rPr>
        <w:t>40</w:t>
      </w:r>
      <w:r w:rsidR="0011281F">
        <w:rPr>
          <w:noProof/>
        </w:rPr>
        <w:fldChar w:fldCharType="end"/>
      </w:r>
    </w:p>
    <w:p w14:paraId="7EC6D144" w14:textId="77777777" w:rsidR="009A509D" w:rsidRDefault="009A509D" w:rsidP="0090025D">
      <w:pPr>
        <w:pStyle w:val="TOC2"/>
        <w:rPr>
          <w:rFonts w:ascii="Calibri" w:hAnsi="Calibri"/>
          <w:noProof/>
          <w:sz w:val="22"/>
          <w:szCs w:val="22"/>
          <w:lang w:eastAsia="en-NZ"/>
        </w:rPr>
      </w:pPr>
      <w:r>
        <w:rPr>
          <w:noProof/>
        </w:rPr>
        <w:t>3.8</w:t>
      </w:r>
      <w:r>
        <w:rPr>
          <w:rFonts w:ascii="Calibri" w:hAnsi="Calibri"/>
          <w:noProof/>
          <w:sz w:val="22"/>
          <w:szCs w:val="22"/>
          <w:lang w:eastAsia="en-NZ"/>
        </w:rPr>
        <w:tab/>
      </w:r>
      <w:r>
        <w:rPr>
          <w:noProof/>
        </w:rPr>
        <w:t>Exceptional circumstances</w:t>
      </w:r>
      <w:r>
        <w:rPr>
          <w:noProof/>
        </w:rPr>
        <w:tab/>
      </w:r>
      <w:r w:rsidR="0011281F">
        <w:rPr>
          <w:noProof/>
        </w:rPr>
        <w:fldChar w:fldCharType="begin"/>
      </w:r>
      <w:r w:rsidR="00BF7293">
        <w:rPr>
          <w:noProof/>
        </w:rPr>
        <w:instrText xml:space="preserve"> PAGEREF _Toc300856602 \h </w:instrText>
      </w:r>
      <w:r w:rsidR="0011281F">
        <w:rPr>
          <w:noProof/>
        </w:rPr>
      </w:r>
      <w:r w:rsidR="0011281F">
        <w:rPr>
          <w:noProof/>
        </w:rPr>
        <w:fldChar w:fldCharType="separate"/>
      </w:r>
      <w:r w:rsidR="00320D7E">
        <w:rPr>
          <w:noProof/>
        </w:rPr>
        <w:t>41</w:t>
      </w:r>
      <w:r w:rsidR="0011281F">
        <w:rPr>
          <w:noProof/>
        </w:rPr>
        <w:fldChar w:fldCharType="end"/>
      </w:r>
    </w:p>
    <w:p w14:paraId="2C570E66" w14:textId="77777777" w:rsidR="009A509D" w:rsidRDefault="009A509D" w:rsidP="0090025D">
      <w:pPr>
        <w:pStyle w:val="TOC2"/>
        <w:rPr>
          <w:rFonts w:ascii="Calibri" w:hAnsi="Calibri"/>
          <w:noProof/>
          <w:sz w:val="22"/>
          <w:szCs w:val="22"/>
          <w:lang w:eastAsia="en-NZ"/>
        </w:rPr>
      </w:pPr>
      <w:r>
        <w:rPr>
          <w:noProof/>
        </w:rPr>
        <w:t>3.9</w:t>
      </w:r>
      <w:r>
        <w:rPr>
          <w:rFonts w:ascii="Calibri" w:hAnsi="Calibri"/>
          <w:noProof/>
          <w:sz w:val="22"/>
          <w:szCs w:val="22"/>
          <w:lang w:eastAsia="en-NZ"/>
        </w:rPr>
        <w:tab/>
      </w:r>
      <w:r>
        <w:rPr>
          <w:noProof/>
        </w:rPr>
        <w:t>Ambient standards and resource consents</w:t>
      </w:r>
      <w:r>
        <w:rPr>
          <w:noProof/>
        </w:rPr>
        <w:tab/>
      </w:r>
      <w:r w:rsidR="0011281F">
        <w:rPr>
          <w:noProof/>
        </w:rPr>
        <w:fldChar w:fldCharType="begin"/>
      </w:r>
      <w:r w:rsidR="00BF7293">
        <w:rPr>
          <w:noProof/>
        </w:rPr>
        <w:instrText xml:space="preserve"> PAGEREF _Toc300856603 \h </w:instrText>
      </w:r>
      <w:r w:rsidR="0011281F">
        <w:rPr>
          <w:noProof/>
        </w:rPr>
      </w:r>
      <w:r w:rsidR="0011281F">
        <w:rPr>
          <w:noProof/>
        </w:rPr>
        <w:fldChar w:fldCharType="separate"/>
      </w:r>
      <w:r w:rsidR="00320D7E">
        <w:rPr>
          <w:noProof/>
        </w:rPr>
        <w:t>41</w:t>
      </w:r>
      <w:r w:rsidR="0011281F">
        <w:rPr>
          <w:noProof/>
        </w:rPr>
        <w:fldChar w:fldCharType="end"/>
      </w:r>
    </w:p>
    <w:p w14:paraId="22D019BA" w14:textId="77777777" w:rsidR="009A509D" w:rsidRDefault="009A509D" w:rsidP="0090025D">
      <w:pPr>
        <w:pStyle w:val="TOC2"/>
        <w:rPr>
          <w:rFonts w:ascii="Calibri" w:hAnsi="Calibri"/>
          <w:noProof/>
          <w:sz w:val="22"/>
          <w:szCs w:val="22"/>
          <w:lang w:eastAsia="en-NZ"/>
        </w:rPr>
      </w:pPr>
      <w:r>
        <w:rPr>
          <w:noProof/>
        </w:rPr>
        <w:t>3.10</w:t>
      </w:r>
      <w:r>
        <w:rPr>
          <w:rFonts w:ascii="Calibri" w:hAnsi="Calibri"/>
          <w:noProof/>
          <w:sz w:val="22"/>
          <w:szCs w:val="22"/>
          <w:lang w:eastAsia="en-NZ"/>
        </w:rPr>
        <w:tab/>
      </w:r>
      <w:r>
        <w:rPr>
          <w:noProof/>
        </w:rPr>
        <w:t>Impacts on regulatory documents</w:t>
      </w:r>
      <w:r>
        <w:rPr>
          <w:noProof/>
        </w:rPr>
        <w:tab/>
      </w:r>
      <w:r w:rsidR="0011281F">
        <w:rPr>
          <w:noProof/>
        </w:rPr>
        <w:fldChar w:fldCharType="begin"/>
      </w:r>
      <w:r w:rsidR="00BF7293">
        <w:rPr>
          <w:noProof/>
        </w:rPr>
        <w:instrText xml:space="preserve"> PAGEREF _Toc300856604 \h </w:instrText>
      </w:r>
      <w:r w:rsidR="0011281F">
        <w:rPr>
          <w:noProof/>
        </w:rPr>
      </w:r>
      <w:r w:rsidR="0011281F">
        <w:rPr>
          <w:noProof/>
        </w:rPr>
        <w:fldChar w:fldCharType="separate"/>
      </w:r>
      <w:r w:rsidR="00320D7E">
        <w:rPr>
          <w:noProof/>
        </w:rPr>
        <w:t>51</w:t>
      </w:r>
      <w:r w:rsidR="0011281F">
        <w:rPr>
          <w:noProof/>
        </w:rPr>
        <w:fldChar w:fldCharType="end"/>
      </w:r>
    </w:p>
    <w:p w14:paraId="2477B0AA" w14:textId="77777777" w:rsidR="009A509D" w:rsidRDefault="009A509D" w:rsidP="0090025D">
      <w:pPr>
        <w:pStyle w:val="TOC2"/>
        <w:rPr>
          <w:rFonts w:ascii="Calibri" w:hAnsi="Calibri"/>
          <w:noProof/>
          <w:sz w:val="22"/>
          <w:szCs w:val="22"/>
          <w:lang w:eastAsia="en-NZ"/>
        </w:rPr>
      </w:pPr>
      <w:r>
        <w:rPr>
          <w:noProof/>
        </w:rPr>
        <w:t>3.11</w:t>
      </w:r>
      <w:r>
        <w:rPr>
          <w:rFonts w:ascii="Calibri" w:hAnsi="Calibri"/>
          <w:noProof/>
          <w:sz w:val="22"/>
          <w:szCs w:val="22"/>
          <w:lang w:eastAsia="en-NZ"/>
        </w:rPr>
        <w:tab/>
      </w:r>
      <w:r>
        <w:rPr>
          <w:noProof/>
        </w:rPr>
        <w:t>Implementing the ambient standards</w:t>
      </w:r>
      <w:r>
        <w:rPr>
          <w:noProof/>
        </w:rPr>
        <w:tab/>
      </w:r>
      <w:r w:rsidR="0011281F">
        <w:rPr>
          <w:noProof/>
        </w:rPr>
        <w:fldChar w:fldCharType="begin"/>
      </w:r>
      <w:r w:rsidR="00BF7293">
        <w:rPr>
          <w:noProof/>
        </w:rPr>
        <w:instrText xml:space="preserve"> PAGEREF _Toc300856605 \h </w:instrText>
      </w:r>
      <w:r w:rsidR="0011281F">
        <w:rPr>
          <w:noProof/>
        </w:rPr>
      </w:r>
      <w:r w:rsidR="0011281F">
        <w:rPr>
          <w:noProof/>
        </w:rPr>
        <w:fldChar w:fldCharType="separate"/>
      </w:r>
      <w:r w:rsidR="00320D7E">
        <w:rPr>
          <w:noProof/>
        </w:rPr>
        <w:t>53</w:t>
      </w:r>
      <w:r w:rsidR="0011281F">
        <w:rPr>
          <w:noProof/>
        </w:rPr>
        <w:fldChar w:fldCharType="end"/>
      </w:r>
    </w:p>
    <w:p w14:paraId="1EC13729" w14:textId="77777777" w:rsidR="009A509D" w:rsidRDefault="009A509D" w:rsidP="0090025D">
      <w:pPr>
        <w:pStyle w:val="TOC2"/>
        <w:rPr>
          <w:rFonts w:ascii="Calibri" w:hAnsi="Calibri"/>
          <w:noProof/>
          <w:sz w:val="22"/>
          <w:szCs w:val="22"/>
          <w:lang w:eastAsia="en-NZ"/>
        </w:rPr>
      </w:pPr>
      <w:r>
        <w:rPr>
          <w:noProof/>
        </w:rPr>
        <w:t>3.12</w:t>
      </w:r>
      <w:r>
        <w:rPr>
          <w:rFonts w:ascii="Calibri" w:hAnsi="Calibri"/>
          <w:noProof/>
          <w:sz w:val="22"/>
          <w:szCs w:val="22"/>
          <w:lang w:eastAsia="en-NZ"/>
        </w:rPr>
        <w:tab/>
      </w:r>
      <w:r>
        <w:rPr>
          <w:noProof/>
        </w:rPr>
        <w:t>Enforcement</w:t>
      </w:r>
      <w:r>
        <w:rPr>
          <w:noProof/>
        </w:rPr>
        <w:tab/>
      </w:r>
      <w:r w:rsidR="0011281F">
        <w:rPr>
          <w:noProof/>
        </w:rPr>
        <w:fldChar w:fldCharType="begin"/>
      </w:r>
      <w:r w:rsidR="00BF7293">
        <w:rPr>
          <w:noProof/>
        </w:rPr>
        <w:instrText xml:space="preserve"> PAGEREF _Toc300856606 \h </w:instrText>
      </w:r>
      <w:r w:rsidR="0011281F">
        <w:rPr>
          <w:noProof/>
        </w:rPr>
      </w:r>
      <w:r w:rsidR="0011281F">
        <w:rPr>
          <w:noProof/>
        </w:rPr>
        <w:fldChar w:fldCharType="separate"/>
      </w:r>
      <w:r w:rsidR="00320D7E">
        <w:rPr>
          <w:noProof/>
        </w:rPr>
        <w:t>54</w:t>
      </w:r>
      <w:r w:rsidR="0011281F">
        <w:rPr>
          <w:noProof/>
        </w:rPr>
        <w:fldChar w:fldCharType="end"/>
      </w:r>
    </w:p>
    <w:p w14:paraId="756DEBB8" w14:textId="77777777" w:rsidR="009A509D" w:rsidRDefault="009A509D" w:rsidP="0090025D">
      <w:pPr>
        <w:pStyle w:val="TOC2"/>
        <w:rPr>
          <w:rFonts w:ascii="Calibri" w:hAnsi="Calibri"/>
          <w:noProof/>
          <w:sz w:val="22"/>
          <w:szCs w:val="22"/>
          <w:lang w:eastAsia="en-NZ"/>
        </w:rPr>
      </w:pPr>
      <w:r>
        <w:rPr>
          <w:noProof/>
        </w:rPr>
        <w:t>3.13</w:t>
      </w:r>
      <w:r>
        <w:rPr>
          <w:rFonts w:ascii="Calibri" w:hAnsi="Calibri"/>
          <w:noProof/>
          <w:sz w:val="22"/>
          <w:szCs w:val="22"/>
          <w:lang w:eastAsia="en-NZ"/>
        </w:rPr>
        <w:tab/>
      </w:r>
      <w:r>
        <w:rPr>
          <w:noProof/>
        </w:rPr>
        <w:t>Reporting requirements</w:t>
      </w:r>
      <w:r>
        <w:rPr>
          <w:noProof/>
        </w:rPr>
        <w:tab/>
      </w:r>
      <w:r w:rsidR="0011281F">
        <w:rPr>
          <w:noProof/>
        </w:rPr>
        <w:fldChar w:fldCharType="begin"/>
      </w:r>
      <w:r w:rsidR="00BF7293">
        <w:rPr>
          <w:noProof/>
        </w:rPr>
        <w:instrText xml:space="preserve"> PAGEREF _Toc300856607 \h </w:instrText>
      </w:r>
      <w:r w:rsidR="0011281F">
        <w:rPr>
          <w:noProof/>
        </w:rPr>
      </w:r>
      <w:r w:rsidR="0011281F">
        <w:rPr>
          <w:noProof/>
        </w:rPr>
        <w:fldChar w:fldCharType="separate"/>
      </w:r>
      <w:r w:rsidR="00320D7E">
        <w:rPr>
          <w:noProof/>
        </w:rPr>
        <w:t>54</w:t>
      </w:r>
      <w:r w:rsidR="0011281F">
        <w:rPr>
          <w:noProof/>
        </w:rPr>
        <w:fldChar w:fldCharType="end"/>
      </w:r>
    </w:p>
    <w:p w14:paraId="14F8EB28" w14:textId="77777777" w:rsidR="009A509D" w:rsidRDefault="009A509D" w:rsidP="0090025D">
      <w:pPr>
        <w:pStyle w:val="TOC1"/>
        <w:rPr>
          <w:rFonts w:ascii="Calibri" w:hAnsi="Calibri"/>
          <w:noProof/>
          <w:sz w:val="22"/>
          <w:szCs w:val="22"/>
          <w:lang w:eastAsia="en-NZ"/>
        </w:rPr>
      </w:pPr>
      <w:r>
        <w:rPr>
          <w:noProof/>
        </w:rPr>
        <w:t>4</w:t>
      </w:r>
      <w:r>
        <w:rPr>
          <w:rFonts w:ascii="Calibri" w:hAnsi="Calibri"/>
          <w:noProof/>
          <w:sz w:val="22"/>
          <w:szCs w:val="22"/>
          <w:lang w:eastAsia="en-NZ"/>
        </w:rPr>
        <w:tab/>
      </w:r>
      <w:r>
        <w:rPr>
          <w:noProof/>
        </w:rPr>
        <w:t>Ambient Air Quality Standard for PM</w:t>
      </w:r>
      <w:r w:rsidRPr="00460145">
        <w:rPr>
          <w:noProof/>
          <w:vertAlign w:val="subscript"/>
        </w:rPr>
        <w:t>10</w:t>
      </w:r>
      <w:r>
        <w:rPr>
          <w:noProof/>
        </w:rPr>
        <w:tab/>
      </w:r>
      <w:r w:rsidR="0011281F">
        <w:rPr>
          <w:noProof/>
        </w:rPr>
        <w:fldChar w:fldCharType="begin"/>
      </w:r>
      <w:r w:rsidR="00BF7293">
        <w:rPr>
          <w:noProof/>
        </w:rPr>
        <w:instrText xml:space="preserve"> PAGEREF _Toc300856608 \h </w:instrText>
      </w:r>
      <w:r w:rsidR="0011281F">
        <w:rPr>
          <w:noProof/>
        </w:rPr>
      </w:r>
      <w:r w:rsidR="0011281F">
        <w:rPr>
          <w:noProof/>
        </w:rPr>
        <w:fldChar w:fldCharType="separate"/>
      </w:r>
      <w:r w:rsidR="00320D7E">
        <w:rPr>
          <w:noProof/>
        </w:rPr>
        <w:t>55</w:t>
      </w:r>
      <w:r w:rsidR="0011281F">
        <w:rPr>
          <w:noProof/>
        </w:rPr>
        <w:fldChar w:fldCharType="end"/>
      </w:r>
    </w:p>
    <w:p w14:paraId="2C621401" w14:textId="77777777" w:rsidR="009A509D" w:rsidRDefault="009A509D" w:rsidP="0090025D">
      <w:pPr>
        <w:pStyle w:val="TOC2"/>
        <w:rPr>
          <w:rFonts w:ascii="Calibri" w:hAnsi="Calibri"/>
          <w:noProof/>
          <w:sz w:val="22"/>
          <w:szCs w:val="22"/>
          <w:lang w:eastAsia="en-NZ"/>
        </w:rPr>
      </w:pPr>
      <w:r>
        <w:rPr>
          <w:noProof/>
        </w:rPr>
        <w:t>4.1</w:t>
      </w:r>
      <w:r>
        <w:rPr>
          <w:rFonts w:ascii="Calibri" w:hAnsi="Calibri"/>
          <w:noProof/>
          <w:sz w:val="22"/>
          <w:szCs w:val="22"/>
          <w:lang w:eastAsia="en-NZ"/>
        </w:rPr>
        <w:tab/>
      </w:r>
      <w:r>
        <w:rPr>
          <w:noProof/>
        </w:rPr>
        <w:t>Introduction</w:t>
      </w:r>
      <w:r>
        <w:rPr>
          <w:noProof/>
        </w:rPr>
        <w:tab/>
      </w:r>
      <w:r w:rsidR="0011281F">
        <w:rPr>
          <w:noProof/>
        </w:rPr>
        <w:fldChar w:fldCharType="begin"/>
      </w:r>
      <w:r w:rsidR="00BF7293">
        <w:rPr>
          <w:noProof/>
        </w:rPr>
        <w:instrText xml:space="preserve"> PAGEREF _Toc300856609 \h </w:instrText>
      </w:r>
      <w:r w:rsidR="0011281F">
        <w:rPr>
          <w:noProof/>
        </w:rPr>
      </w:r>
      <w:r w:rsidR="0011281F">
        <w:rPr>
          <w:noProof/>
        </w:rPr>
        <w:fldChar w:fldCharType="separate"/>
      </w:r>
      <w:r w:rsidR="00320D7E">
        <w:rPr>
          <w:noProof/>
        </w:rPr>
        <w:t>55</w:t>
      </w:r>
      <w:r w:rsidR="0011281F">
        <w:rPr>
          <w:noProof/>
        </w:rPr>
        <w:fldChar w:fldCharType="end"/>
      </w:r>
    </w:p>
    <w:p w14:paraId="49A6463A" w14:textId="77777777" w:rsidR="009A509D" w:rsidRDefault="009A509D" w:rsidP="0090025D">
      <w:pPr>
        <w:pStyle w:val="TOC2"/>
        <w:rPr>
          <w:rFonts w:ascii="Calibri" w:hAnsi="Calibri"/>
          <w:noProof/>
          <w:sz w:val="22"/>
          <w:szCs w:val="22"/>
          <w:lang w:eastAsia="en-NZ"/>
        </w:rPr>
      </w:pPr>
      <w:r>
        <w:rPr>
          <w:noProof/>
        </w:rPr>
        <w:t>4.2</w:t>
      </w:r>
      <w:r>
        <w:rPr>
          <w:rFonts w:ascii="Calibri" w:hAnsi="Calibri"/>
          <w:noProof/>
          <w:sz w:val="22"/>
          <w:szCs w:val="22"/>
          <w:lang w:eastAsia="en-NZ"/>
        </w:rPr>
        <w:tab/>
      </w:r>
      <w:r>
        <w:rPr>
          <w:noProof/>
        </w:rPr>
        <w:t>Adverse effects of PM</w:t>
      </w:r>
      <w:r w:rsidRPr="00460145">
        <w:rPr>
          <w:noProof/>
          <w:vertAlign w:val="subscript"/>
        </w:rPr>
        <w:t>10</w:t>
      </w:r>
      <w:r>
        <w:rPr>
          <w:noProof/>
        </w:rPr>
        <w:t xml:space="preserve"> (and PM</w:t>
      </w:r>
      <w:r w:rsidRPr="00460145">
        <w:rPr>
          <w:noProof/>
          <w:vertAlign w:val="subscript"/>
        </w:rPr>
        <w:t>2.5</w:t>
      </w:r>
      <w:r>
        <w:rPr>
          <w:noProof/>
        </w:rPr>
        <w:t>)</w:t>
      </w:r>
      <w:r>
        <w:rPr>
          <w:noProof/>
        </w:rPr>
        <w:tab/>
      </w:r>
      <w:r w:rsidR="0011281F">
        <w:rPr>
          <w:noProof/>
        </w:rPr>
        <w:fldChar w:fldCharType="begin"/>
      </w:r>
      <w:r w:rsidR="00BF7293">
        <w:rPr>
          <w:noProof/>
        </w:rPr>
        <w:instrText xml:space="preserve"> PAGEREF _Toc300856610 \h </w:instrText>
      </w:r>
      <w:r w:rsidR="0011281F">
        <w:rPr>
          <w:noProof/>
        </w:rPr>
      </w:r>
      <w:r w:rsidR="0011281F">
        <w:rPr>
          <w:noProof/>
        </w:rPr>
        <w:fldChar w:fldCharType="separate"/>
      </w:r>
      <w:r w:rsidR="00320D7E">
        <w:rPr>
          <w:noProof/>
        </w:rPr>
        <w:t>56</w:t>
      </w:r>
      <w:r w:rsidR="0011281F">
        <w:rPr>
          <w:noProof/>
        </w:rPr>
        <w:fldChar w:fldCharType="end"/>
      </w:r>
    </w:p>
    <w:p w14:paraId="0AE0ED13" w14:textId="77777777" w:rsidR="009A509D" w:rsidRDefault="009A509D" w:rsidP="0090025D">
      <w:pPr>
        <w:pStyle w:val="TOC2"/>
        <w:rPr>
          <w:rFonts w:ascii="Calibri" w:hAnsi="Calibri"/>
          <w:noProof/>
          <w:sz w:val="22"/>
          <w:szCs w:val="22"/>
          <w:lang w:eastAsia="en-NZ"/>
        </w:rPr>
      </w:pPr>
      <w:r>
        <w:rPr>
          <w:noProof/>
        </w:rPr>
        <w:t>4.3</w:t>
      </w:r>
      <w:r>
        <w:rPr>
          <w:rFonts w:ascii="Calibri" w:hAnsi="Calibri"/>
          <w:noProof/>
          <w:sz w:val="22"/>
          <w:szCs w:val="22"/>
          <w:lang w:eastAsia="en-NZ"/>
        </w:rPr>
        <w:tab/>
      </w:r>
      <w:r>
        <w:rPr>
          <w:noProof/>
        </w:rPr>
        <w:t>What is the ambient PM</w:t>
      </w:r>
      <w:r w:rsidRPr="00460145">
        <w:rPr>
          <w:noProof/>
          <w:vertAlign w:val="subscript"/>
        </w:rPr>
        <w:t>10</w:t>
      </w:r>
      <w:r>
        <w:rPr>
          <w:noProof/>
        </w:rPr>
        <w:t xml:space="preserve"> standard?</w:t>
      </w:r>
      <w:r>
        <w:rPr>
          <w:noProof/>
        </w:rPr>
        <w:tab/>
      </w:r>
      <w:r w:rsidR="0011281F">
        <w:rPr>
          <w:noProof/>
        </w:rPr>
        <w:fldChar w:fldCharType="begin"/>
      </w:r>
      <w:r w:rsidR="00BF7293">
        <w:rPr>
          <w:noProof/>
        </w:rPr>
        <w:instrText xml:space="preserve"> PAGEREF _Toc300856611 \h </w:instrText>
      </w:r>
      <w:r w:rsidR="0011281F">
        <w:rPr>
          <w:noProof/>
        </w:rPr>
      </w:r>
      <w:r w:rsidR="0011281F">
        <w:rPr>
          <w:noProof/>
        </w:rPr>
        <w:fldChar w:fldCharType="separate"/>
      </w:r>
      <w:r w:rsidR="00320D7E">
        <w:rPr>
          <w:noProof/>
        </w:rPr>
        <w:t>57</w:t>
      </w:r>
      <w:r w:rsidR="0011281F">
        <w:rPr>
          <w:noProof/>
        </w:rPr>
        <w:fldChar w:fldCharType="end"/>
      </w:r>
    </w:p>
    <w:p w14:paraId="71F3A8BF" w14:textId="77777777" w:rsidR="009A509D" w:rsidRDefault="009A509D" w:rsidP="0090025D">
      <w:pPr>
        <w:pStyle w:val="TOC2"/>
        <w:rPr>
          <w:rFonts w:ascii="Calibri" w:hAnsi="Calibri"/>
          <w:noProof/>
          <w:sz w:val="22"/>
          <w:szCs w:val="22"/>
          <w:lang w:eastAsia="en-NZ"/>
        </w:rPr>
      </w:pPr>
      <w:r>
        <w:rPr>
          <w:noProof/>
        </w:rPr>
        <w:t>4.4</w:t>
      </w:r>
      <w:r>
        <w:rPr>
          <w:rFonts w:ascii="Calibri" w:hAnsi="Calibri"/>
          <w:noProof/>
          <w:sz w:val="22"/>
          <w:szCs w:val="22"/>
          <w:lang w:eastAsia="en-NZ"/>
        </w:rPr>
        <w:tab/>
      </w:r>
      <w:r>
        <w:rPr>
          <w:noProof/>
        </w:rPr>
        <w:t>Split targets for meeting the ambient PM</w:t>
      </w:r>
      <w:r w:rsidRPr="00460145">
        <w:rPr>
          <w:noProof/>
          <w:vertAlign w:val="subscript"/>
        </w:rPr>
        <w:t>10</w:t>
      </w:r>
      <w:r>
        <w:rPr>
          <w:noProof/>
        </w:rPr>
        <w:t xml:space="preserve"> standard</w:t>
      </w:r>
      <w:r>
        <w:rPr>
          <w:noProof/>
        </w:rPr>
        <w:tab/>
      </w:r>
      <w:r w:rsidR="0011281F">
        <w:rPr>
          <w:noProof/>
        </w:rPr>
        <w:fldChar w:fldCharType="begin"/>
      </w:r>
      <w:r w:rsidR="00BF7293">
        <w:rPr>
          <w:noProof/>
        </w:rPr>
        <w:instrText xml:space="preserve"> PAGEREF _Toc300856612 \h </w:instrText>
      </w:r>
      <w:r w:rsidR="0011281F">
        <w:rPr>
          <w:noProof/>
        </w:rPr>
      </w:r>
      <w:r w:rsidR="0011281F">
        <w:rPr>
          <w:noProof/>
        </w:rPr>
        <w:fldChar w:fldCharType="separate"/>
      </w:r>
      <w:r w:rsidR="00320D7E">
        <w:rPr>
          <w:noProof/>
        </w:rPr>
        <w:t>58</w:t>
      </w:r>
      <w:r w:rsidR="0011281F">
        <w:rPr>
          <w:noProof/>
        </w:rPr>
        <w:fldChar w:fldCharType="end"/>
      </w:r>
    </w:p>
    <w:p w14:paraId="2B9DA618" w14:textId="77777777" w:rsidR="009A509D" w:rsidRDefault="009A509D" w:rsidP="0090025D">
      <w:pPr>
        <w:pStyle w:val="TOC2"/>
        <w:rPr>
          <w:rFonts w:ascii="Calibri" w:hAnsi="Calibri"/>
          <w:noProof/>
          <w:sz w:val="22"/>
          <w:szCs w:val="22"/>
          <w:lang w:eastAsia="en-NZ"/>
        </w:rPr>
      </w:pPr>
      <w:r>
        <w:rPr>
          <w:noProof/>
        </w:rPr>
        <w:t>4.5</w:t>
      </w:r>
      <w:r>
        <w:rPr>
          <w:rFonts w:ascii="Calibri" w:hAnsi="Calibri"/>
          <w:noProof/>
          <w:sz w:val="22"/>
          <w:szCs w:val="22"/>
          <w:lang w:eastAsia="en-NZ"/>
        </w:rPr>
        <w:tab/>
      </w:r>
      <w:r>
        <w:rPr>
          <w:noProof/>
        </w:rPr>
        <w:t>Where do the ambient PM</w:t>
      </w:r>
      <w:r w:rsidRPr="00460145">
        <w:rPr>
          <w:noProof/>
          <w:vertAlign w:val="subscript"/>
        </w:rPr>
        <w:t>10</w:t>
      </w:r>
      <w:r>
        <w:rPr>
          <w:noProof/>
        </w:rPr>
        <w:t xml:space="preserve"> standards apply?</w:t>
      </w:r>
      <w:r>
        <w:rPr>
          <w:noProof/>
        </w:rPr>
        <w:tab/>
      </w:r>
      <w:r w:rsidR="0011281F">
        <w:rPr>
          <w:noProof/>
        </w:rPr>
        <w:fldChar w:fldCharType="begin"/>
      </w:r>
      <w:r w:rsidR="00BF7293">
        <w:rPr>
          <w:noProof/>
        </w:rPr>
        <w:instrText xml:space="preserve"> PAGEREF _Toc300856613 \h </w:instrText>
      </w:r>
      <w:r w:rsidR="0011281F">
        <w:rPr>
          <w:noProof/>
        </w:rPr>
      </w:r>
      <w:r w:rsidR="0011281F">
        <w:rPr>
          <w:noProof/>
        </w:rPr>
        <w:fldChar w:fldCharType="separate"/>
      </w:r>
      <w:r w:rsidR="00320D7E">
        <w:rPr>
          <w:noProof/>
        </w:rPr>
        <w:t>62</w:t>
      </w:r>
      <w:r w:rsidR="0011281F">
        <w:rPr>
          <w:noProof/>
        </w:rPr>
        <w:fldChar w:fldCharType="end"/>
      </w:r>
    </w:p>
    <w:p w14:paraId="59F9A030" w14:textId="77777777" w:rsidR="009A509D" w:rsidRDefault="009A509D" w:rsidP="0090025D">
      <w:pPr>
        <w:pStyle w:val="TOC2"/>
        <w:rPr>
          <w:rFonts w:ascii="Calibri" w:hAnsi="Calibri"/>
          <w:noProof/>
          <w:sz w:val="22"/>
          <w:szCs w:val="22"/>
          <w:lang w:eastAsia="en-NZ"/>
        </w:rPr>
      </w:pPr>
      <w:r>
        <w:rPr>
          <w:noProof/>
        </w:rPr>
        <w:t>4.6</w:t>
      </w:r>
      <w:r>
        <w:rPr>
          <w:rFonts w:ascii="Calibri" w:hAnsi="Calibri"/>
          <w:noProof/>
          <w:sz w:val="22"/>
          <w:szCs w:val="22"/>
          <w:lang w:eastAsia="en-NZ"/>
        </w:rPr>
        <w:tab/>
      </w:r>
      <w:r>
        <w:rPr>
          <w:noProof/>
        </w:rPr>
        <w:t>Monitoring of PM</w:t>
      </w:r>
      <w:r w:rsidRPr="00460145">
        <w:rPr>
          <w:noProof/>
          <w:vertAlign w:val="subscript"/>
        </w:rPr>
        <w:t>10</w:t>
      </w:r>
      <w:r>
        <w:rPr>
          <w:noProof/>
        </w:rPr>
        <w:tab/>
      </w:r>
      <w:r w:rsidR="0011281F">
        <w:rPr>
          <w:noProof/>
        </w:rPr>
        <w:fldChar w:fldCharType="begin"/>
      </w:r>
      <w:r w:rsidR="00BF7293">
        <w:rPr>
          <w:noProof/>
        </w:rPr>
        <w:instrText xml:space="preserve"> PAGEREF _Toc300856614 \h </w:instrText>
      </w:r>
      <w:r w:rsidR="0011281F">
        <w:rPr>
          <w:noProof/>
        </w:rPr>
      </w:r>
      <w:r w:rsidR="0011281F">
        <w:rPr>
          <w:noProof/>
        </w:rPr>
        <w:fldChar w:fldCharType="separate"/>
      </w:r>
      <w:r w:rsidR="00320D7E">
        <w:rPr>
          <w:noProof/>
        </w:rPr>
        <w:t>62</w:t>
      </w:r>
      <w:r w:rsidR="0011281F">
        <w:rPr>
          <w:noProof/>
        </w:rPr>
        <w:fldChar w:fldCharType="end"/>
      </w:r>
    </w:p>
    <w:p w14:paraId="5883377D" w14:textId="77777777" w:rsidR="009A509D" w:rsidRDefault="009A509D" w:rsidP="0090025D">
      <w:pPr>
        <w:pStyle w:val="TOC2"/>
        <w:rPr>
          <w:rFonts w:ascii="Calibri" w:hAnsi="Calibri"/>
          <w:noProof/>
          <w:sz w:val="22"/>
          <w:szCs w:val="22"/>
          <w:lang w:eastAsia="en-NZ"/>
        </w:rPr>
      </w:pPr>
      <w:r>
        <w:rPr>
          <w:noProof/>
        </w:rPr>
        <w:t>4.7</w:t>
      </w:r>
      <w:r>
        <w:rPr>
          <w:rFonts w:ascii="Calibri" w:hAnsi="Calibri"/>
          <w:noProof/>
          <w:sz w:val="22"/>
          <w:szCs w:val="22"/>
          <w:lang w:eastAsia="en-NZ"/>
        </w:rPr>
        <w:tab/>
      </w:r>
      <w:r>
        <w:rPr>
          <w:noProof/>
        </w:rPr>
        <w:t>Exceedances</w:t>
      </w:r>
      <w:r>
        <w:rPr>
          <w:noProof/>
        </w:rPr>
        <w:tab/>
      </w:r>
      <w:r w:rsidR="0011281F">
        <w:rPr>
          <w:noProof/>
        </w:rPr>
        <w:fldChar w:fldCharType="begin"/>
      </w:r>
      <w:r w:rsidR="00BF7293">
        <w:rPr>
          <w:noProof/>
        </w:rPr>
        <w:instrText xml:space="preserve"> PAGEREF _Toc300856615 \h </w:instrText>
      </w:r>
      <w:r w:rsidR="0011281F">
        <w:rPr>
          <w:noProof/>
        </w:rPr>
      </w:r>
      <w:r w:rsidR="0011281F">
        <w:rPr>
          <w:noProof/>
        </w:rPr>
        <w:fldChar w:fldCharType="separate"/>
      </w:r>
      <w:r w:rsidR="00320D7E">
        <w:rPr>
          <w:noProof/>
        </w:rPr>
        <w:t>67</w:t>
      </w:r>
      <w:r w:rsidR="0011281F">
        <w:rPr>
          <w:noProof/>
        </w:rPr>
        <w:fldChar w:fldCharType="end"/>
      </w:r>
    </w:p>
    <w:p w14:paraId="3CF49F63" w14:textId="77777777" w:rsidR="009A509D" w:rsidRDefault="009A509D" w:rsidP="0090025D">
      <w:pPr>
        <w:pStyle w:val="TOC2"/>
        <w:rPr>
          <w:rFonts w:ascii="Calibri" w:hAnsi="Calibri"/>
          <w:noProof/>
          <w:sz w:val="22"/>
          <w:szCs w:val="22"/>
          <w:lang w:eastAsia="en-NZ"/>
        </w:rPr>
      </w:pPr>
      <w:r>
        <w:rPr>
          <w:noProof/>
        </w:rPr>
        <w:t>4.8</w:t>
      </w:r>
      <w:r>
        <w:rPr>
          <w:rFonts w:ascii="Calibri" w:hAnsi="Calibri"/>
          <w:noProof/>
          <w:sz w:val="22"/>
          <w:szCs w:val="22"/>
          <w:lang w:eastAsia="en-NZ"/>
        </w:rPr>
        <w:tab/>
      </w:r>
      <w:r>
        <w:rPr>
          <w:noProof/>
        </w:rPr>
        <w:t>Reporting of breaches</w:t>
      </w:r>
      <w:r>
        <w:rPr>
          <w:noProof/>
        </w:rPr>
        <w:tab/>
      </w:r>
      <w:r w:rsidR="0011281F">
        <w:rPr>
          <w:noProof/>
        </w:rPr>
        <w:fldChar w:fldCharType="begin"/>
      </w:r>
      <w:r w:rsidR="00BF7293">
        <w:rPr>
          <w:noProof/>
        </w:rPr>
        <w:instrText xml:space="preserve"> PAGEREF _Toc300856616 \h </w:instrText>
      </w:r>
      <w:r w:rsidR="0011281F">
        <w:rPr>
          <w:noProof/>
        </w:rPr>
      </w:r>
      <w:r w:rsidR="0011281F">
        <w:rPr>
          <w:noProof/>
        </w:rPr>
        <w:fldChar w:fldCharType="separate"/>
      </w:r>
      <w:r w:rsidR="00320D7E">
        <w:rPr>
          <w:noProof/>
        </w:rPr>
        <w:t>68</w:t>
      </w:r>
      <w:r w:rsidR="0011281F">
        <w:rPr>
          <w:noProof/>
        </w:rPr>
        <w:fldChar w:fldCharType="end"/>
      </w:r>
    </w:p>
    <w:p w14:paraId="0F935ECD" w14:textId="77777777" w:rsidR="009A509D" w:rsidRDefault="009A509D" w:rsidP="0090025D">
      <w:pPr>
        <w:pStyle w:val="TOC2"/>
        <w:rPr>
          <w:rFonts w:ascii="Calibri" w:hAnsi="Calibri"/>
          <w:noProof/>
          <w:sz w:val="22"/>
          <w:szCs w:val="22"/>
          <w:lang w:eastAsia="en-NZ"/>
        </w:rPr>
      </w:pPr>
      <w:r>
        <w:rPr>
          <w:noProof/>
        </w:rPr>
        <w:t>4.9</w:t>
      </w:r>
      <w:r>
        <w:rPr>
          <w:rFonts w:ascii="Calibri" w:hAnsi="Calibri"/>
          <w:noProof/>
          <w:sz w:val="22"/>
          <w:szCs w:val="22"/>
          <w:lang w:eastAsia="en-NZ"/>
        </w:rPr>
        <w:tab/>
      </w:r>
      <w:r>
        <w:rPr>
          <w:noProof/>
        </w:rPr>
        <w:t>Exceptional circumstances</w:t>
      </w:r>
      <w:r>
        <w:rPr>
          <w:noProof/>
        </w:rPr>
        <w:tab/>
      </w:r>
      <w:r w:rsidR="0011281F">
        <w:rPr>
          <w:noProof/>
        </w:rPr>
        <w:fldChar w:fldCharType="begin"/>
      </w:r>
      <w:r w:rsidR="00BF7293">
        <w:rPr>
          <w:noProof/>
        </w:rPr>
        <w:instrText xml:space="preserve"> PAGEREF _Toc300856617 \h </w:instrText>
      </w:r>
      <w:r w:rsidR="0011281F">
        <w:rPr>
          <w:noProof/>
        </w:rPr>
      </w:r>
      <w:r w:rsidR="0011281F">
        <w:rPr>
          <w:noProof/>
        </w:rPr>
        <w:fldChar w:fldCharType="separate"/>
      </w:r>
      <w:r w:rsidR="00320D7E">
        <w:rPr>
          <w:noProof/>
        </w:rPr>
        <w:t>68</w:t>
      </w:r>
      <w:r w:rsidR="0011281F">
        <w:rPr>
          <w:noProof/>
        </w:rPr>
        <w:fldChar w:fldCharType="end"/>
      </w:r>
    </w:p>
    <w:p w14:paraId="23A89D0A" w14:textId="77777777" w:rsidR="009A509D" w:rsidRDefault="009A509D" w:rsidP="0090025D">
      <w:pPr>
        <w:pStyle w:val="TOC2"/>
        <w:rPr>
          <w:rFonts w:ascii="Calibri" w:hAnsi="Calibri"/>
          <w:noProof/>
          <w:sz w:val="22"/>
          <w:szCs w:val="22"/>
          <w:lang w:eastAsia="en-NZ"/>
        </w:rPr>
      </w:pPr>
      <w:r>
        <w:rPr>
          <w:noProof/>
        </w:rPr>
        <w:t>4.10</w:t>
      </w:r>
      <w:r>
        <w:rPr>
          <w:rFonts w:ascii="Calibri" w:hAnsi="Calibri"/>
          <w:noProof/>
          <w:sz w:val="22"/>
          <w:szCs w:val="22"/>
          <w:lang w:eastAsia="en-NZ"/>
        </w:rPr>
        <w:tab/>
      </w:r>
      <w:r>
        <w:rPr>
          <w:noProof/>
        </w:rPr>
        <w:t>The PM</w:t>
      </w:r>
      <w:r w:rsidRPr="00460145">
        <w:rPr>
          <w:noProof/>
          <w:vertAlign w:val="subscript"/>
        </w:rPr>
        <w:t>10</w:t>
      </w:r>
      <w:r>
        <w:rPr>
          <w:noProof/>
        </w:rPr>
        <w:t xml:space="preserve"> standard and resource consents</w:t>
      </w:r>
      <w:r>
        <w:rPr>
          <w:noProof/>
        </w:rPr>
        <w:tab/>
      </w:r>
      <w:r w:rsidR="0011281F">
        <w:rPr>
          <w:noProof/>
        </w:rPr>
        <w:fldChar w:fldCharType="begin"/>
      </w:r>
      <w:r w:rsidR="002A0DAB">
        <w:rPr>
          <w:noProof/>
        </w:rPr>
        <w:instrText xml:space="preserve"> PAGEREF _Toc300856618 \h </w:instrText>
      </w:r>
      <w:r w:rsidR="0011281F">
        <w:rPr>
          <w:noProof/>
        </w:rPr>
      </w:r>
      <w:r w:rsidR="0011281F">
        <w:rPr>
          <w:noProof/>
        </w:rPr>
        <w:fldChar w:fldCharType="separate"/>
      </w:r>
      <w:r w:rsidR="00320D7E">
        <w:rPr>
          <w:noProof/>
        </w:rPr>
        <w:t>69</w:t>
      </w:r>
      <w:r w:rsidR="0011281F">
        <w:rPr>
          <w:noProof/>
        </w:rPr>
        <w:fldChar w:fldCharType="end"/>
      </w:r>
    </w:p>
    <w:p w14:paraId="169D55D0" w14:textId="77777777" w:rsidR="009A509D" w:rsidRDefault="009A509D" w:rsidP="0090025D">
      <w:pPr>
        <w:pStyle w:val="TOC2"/>
        <w:rPr>
          <w:rFonts w:ascii="Calibri" w:hAnsi="Calibri"/>
          <w:noProof/>
          <w:sz w:val="22"/>
          <w:szCs w:val="22"/>
          <w:lang w:eastAsia="en-NZ"/>
        </w:rPr>
      </w:pPr>
      <w:r>
        <w:rPr>
          <w:noProof/>
        </w:rPr>
        <w:t>4.11</w:t>
      </w:r>
      <w:r>
        <w:rPr>
          <w:rFonts w:ascii="Calibri" w:hAnsi="Calibri"/>
          <w:noProof/>
          <w:sz w:val="22"/>
          <w:szCs w:val="22"/>
          <w:lang w:eastAsia="en-NZ"/>
        </w:rPr>
        <w:tab/>
      </w:r>
      <w:r>
        <w:rPr>
          <w:noProof/>
        </w:rPr>
        <w:t>Impacts on regulatory documents</w:t>
      </w:r>
      <w:r>
        <w:rPr>
          <w:noProof/>
        </w:rPr>
        <w:tab/>
      </w:r>
      <w:r w:rsidR="0011281F">
        <w:rPr>
          <w:noProof/>
        </w:rPr>
        <w:fldChar w:fldCharType="begin"/>
      </w:r>
      <w:r w:rsidR="00BF7293">
        <w:rPr>
          <w:noProof/>
        </w:rPr>
        <w:instrText xml:space="preserve"> PAGEREF _Toc300856619 \h </w:instrText>
      </w:r>
      <w:r w:rsidR="0011281F">
        <w:rPr>
          <w:noProof/>
        </w:rPr>
      </w:r>
      <w:r w:rsidR="0011281F">
        <w:rPr>
          <w:noProof/>
        </w:rPr>
        <w:fldChar w:fldCharType="separate"/>
      </w:r>
      <w:r w:rsidR="00320D7E">
        <w:rPr>
          <w:noProof/>
        </w:rPr>
        <w:t>81</w:t>
      </w:r>
      <w:r w:rsidR="0011281F">
        <w:rPr>
          <w:noProof/>
        </w:rPr>
        <w:fldChar w:fldCharType="end"/>
      </w:r>
    </w:p>
    <w:p w14:paraId="2CF1C37D" w14:textId="77777777" w:rsidR="009A509D" w:rsidRDefault="009A509D" w:rsidP="0090025D">
      <w:pPr>
        <w:pStyle w:val="TOC2"/>
        <w:rPr>
          <w:rFonts w:ascii="Calibri" w:hAnsi="Calibri"/>
          <w:noProof/>
          <w:sz w:val="22"/>
          <w:szCs w:val="22"/>
          <w:lang w:eastAsia="en-NZ"/>
        </w:rPr>
      </w:pPr>
      <w:r>
        <w:rPr>
          <w:noProof/>
        </w:rPr>
        <w:t>4.12</w:t>
      </w:r>
      <w:r>
        <w:rPr>
          <w:rFonts w:ascii="Calibri" w:hAnsi="Calibri"/>
          <w:noProof/>
          <w:sz w:val="22"/>
          <w:szCs w:val="22"/>
          <w:lang w:eastAsia="en-NZ"/>
        </w:rPr>
        <w:tab/>
      </w:r>
      <w:r>
        <w:rPr>
          <w:noProof/>
        </w:rPr>
        <w:t>Implementing the ambient PM</w:t>
      </w:r>
      <w:r w:rsidRPr="00460145">
        <w:rPr>
          <w:noProof/>
          <w:vertAlign w:val="subscript"/>
        </w:rPr>
        <w:t>10</w:t>
      </w:r>
      <w:r>
        <w:rPr>
          <w:noProof/>
        </w:rPr>
        <w:t xml:space="preserve"> standard</w:t>
      </w:r>
      <w:r>
        <w:rPr>
          <w:noProof/>
        </w:rPr>
        <w:tab/>
      </w:r>
      <w:r w:rsidR="0011281F">
        <w:rPr>
          <w:noProof/>
        </w:rPr>
        <w:fldChar w:fldCharType="begin"/>
      </w:r>
      <w:r w:rsidR="00BF7293">
        <w:rPr>
          <w:noProof/>
        </w:rPr>
        <w:instrText xml:space="preserve"> PAGEREF _Toc300856620 \h </w:instrText>
      </w:r>
      <w:r w:rsidR="0011281F">
        <w:rPr>
          <w:noProof/>
        </w:rPr>
      </w:r>
      <w:r w:rsidR="0011281F">
        <w:rPr>
          <w:noProof/>
        </w:rPr>
        <w:fldChar w:fldCharType="separate"/>
      </w:r>
      <w:r w:rsidR="00320D7E">
        <w:rPr>
          <w:noProof/>
        </w:rPr>
        <w:t>82</w:t>
      </w:r>
      <w:r w:rsidR="0011281F">
        <w:rPr>
          <w:noProof/>
        </w:rPr>
        <w:fldChar w:fldCharType="end"/>
      </w:r>
    </w:p>
    <w:p w14:paraId="51E54B5B" w14:textId="77777777" w:rsidR="009A509D" w:rsidRDefault="009A509D" w:rsidP="0090025D">
      <w:pPr>
        <w:pStyle w:val="TOC2"/>
        <w:rPr>
          <w:rFonts w:ascii="Calibri" w:hAnsi="Calibri"/>
          <w:noProof/>
          <w:sz w:val="22"/>
          <w:szCs w:val="22"/>
          <w:lang w:eastAsia="en-NZ"/>
        </w:rPr>
      </w:pPr>
      <w:r>
        <w:rPr>
          <w:noProof/>
        </w:rPr>
        <w:t>4.13</w:t>
      </w:r>
      <w:r>
        <w:rPr>
          <w:rFonts w:ascii="Calibri" w:hAnsi="Calibri"/>
          <w:noProof/>
          <w:sz w:val="22"/>
          <w:szCs w:val="22"/>
          <w:lang w:eastAsia="en-NZ"/>
        </w:rPr>
        <w:tab/>
      </w:r>
      <w:r>
        <w:rPr>
          <w:noProof/>
        </w:rPr>
        <w:t>Enforcement</w:t>
      </w:r>
      <w:r>
        <w:rPr>
          <w:noProof/>
        </w:rPr>
        <w:tab/>
      </w:r>
      <w:r w:rsidR="0011281F">
        <w:rPr>
          <w:noProof/>
        </w:rPr>
        <w:fldChar w:fldCharType="begin"/>
      </w:r>
      <w:r w:rsidR="00BF7293">
        <w:rPr>
          <w:noProof/>
        </w:rPr>
        <w:instrText xml:space="preserve"> PAGEREF _Toc300856621 \h </w:instrText>
      </w:r>
      <w:r w:rsidR="0011281F">
        <w:rPr>
          <w:noProof/>
        </w:rPr>
      </w:r>
      <w:r w:rsidR="0011281F">
        <w:rPr>
          <w:noProof/>
        </w:rPr>
        <w:fldChar w:fldCharType="separate"/>
      </w:r>
      <w:r w:rsidR="00320D7E">
        <w:rPr>
          <w:noProof/>
        </w:rPr>
        <w:t>88</w:t>
      </w:r>
      <w:r w:rsidR="0011281F">
        <w:rPr>
          <w:noProof/>
        </w:rPr>
        <w:fldChar w:fldCharType="end"/>
      </w:r>
    </w:p>
    <w:p w14:paraId="6488BDB2" w14:textId="77777777" w:rsidR="009A509D" w:rsidRDefault="009A509D" w:rsidP="0090025D">
      <w:pPr>
        <w:pStyle w:val="TOC2"/>
        <w:rPr>
          <w:rFonts w:ascii="Calibri" w:hAnsi="Calibri"/>
          <w:noProof/>
          <w:sz w:val="22"/>
          <w:szCs w:val="22"/>
          <w:lang w:eastAsia="en-NZ"/>
        </w:rPr>
      </w:pPr>
      <w:r>
        <w:rPr>
          <w:noProof/>
        </w:rPr>
        <w:t>4.14</w:t>
      </w:r>
      <w:r>
        <w:rPr>
          <w:rFonts w:ascii="Calibri" w:hAnsi="Calibri"/>
          <w:noProof/>
          <w:sz w:val="22"/>
          <w:szCs w:val="22"/>
          <w:lang w:eastAsia="en-NZ"/>
        </w:rPr>
        <w:tab/>
      </w:r>
      <w:r>
        <w:rPr>
          <w:noProof/>
        </w:rPr>
        <w:t>Reporting requirements</w:t>
      </w:r>
      <w:r>
        <w:rPr>
          <w:noProof/>
        </w:rPr>
        <w:tab/>
      </w:r>
      <w:r w:rsidR="0011281F">
        <w:rPr>
          <w:noProof/>
        </w:rPr>
        <w:fldChar w:fldCharType="begin"/>
      </w:r>
      <w:r w:rsidR="00BF7293">
        <w:rPr>
          <w:noProof/>
        </w:rPr>
        <w:instrText xml:space="preserve"> PAGEREF _Toc300856622 \h </w:instrText>
      </w:r>
      <w:r w:rsidR="0011281F">
        <w:rPr>
          <w:noProof/>
        </w:rPr>
      </w:r>
      <w:r w:rsidR="0011281F">
        <w:rPr>
          <w:noProof/>
        </w:rPr>
        <w:fldChar w:fldCharType="separate"/>
      </w:r>
      <w:r w:rsidR="00320D7E">
        <w:rPr>
          <w:noProof/>
        </w:rPr>
        <w:t>88</w:t>
      </w:r>
      <w:r w:rsidR="0011281F">
        <w:rPr>
          <w:noProof/>
        </w:rPr>
        <w:fldChar w:fldCharType="end"/>
      </w:r>
    </w:p>
    <w:p w14:paraId="6CE2351F" w14:textId="77777777" w:rsidR="009A509D" w:rsidRDefault="009A509D" w:rsidP="0090025D">
      <w:pPr>
        <w:pStyle w:val="TOC1"/>
        <w:rPr>
          <w:rFonts w:ascii="Calibri" w:hAnsi="Calibri"/>
          <w:noProof/>
          <w:sz w:val="22"/>
          <w:szCs w:val="22"/>
          <w:lang w:eastAsia="en-NZ"/>
        </w:rPr>
      </w:pPr>
      <w:r>
        <w:rPr>
          <w:noProof/>
        </w:rPr>
        <w:t>5</w:t>
      </w:r>
      <w:r>
        <w:rPr>
          <w:rFonts w:ascii="Calibri" w:hAnsi="Calibri"/>
          <w:noProof/>
          <w:sz w:val="22"/>
          <w:szCs w:val="22"/>
          <w:lang w:eastAsia="en-NZ"/>
        </w:rPr>
        <w:tab/>
      </w:r>
      <w:r>
        <w:rPr>
          <w:noProof/>
        </w:rPr>
        <w:t>Domestic Fires</w:t>
      </w:r>
      <w:r>
        <w:rPr>
          <w:noProof/>
        </w:rPr>
        <w:tab/>
      </w:r>
      <w:r w:rsidR="0011281F">
        <w:rPr>
          <w:noProof/>
        </w:rPr>
        <w:fldChar w:fldCharType="begin"/>
      </w:r>
      <w:r w:rsidR="00BF7293">
        <w:rPr>
          <w:noProof/>
        </w:rPr>
        <w:instrText xml:space="preserve"> PAGEREF _Toc300856623 \h </w:instrText>
      </w:r>
      <w:r w:rsidR="0011281F">
        <w:rPr>
          <w:noProof/>
        </w:rPr>
      </w:r>
      <w:r w:rsidR="0011281F">
        <w:rPr>
          <w:noProof/>
        </w:rPr>
        <w:fldChar w:fldCharType="separate"/>
      </w:r>
      <w:r w:rsidR="00320D7E">
        <w:rPr>
          <w:noProof/>
        </w:rPr>
        <w:t>89</w:t>
      </w:r>
      <w:r w:rsidR="0011281F">
        <w:rPr>
          <w:noProof/>
        </w:rPr>
        <w:fldChar w:fldCharType="end"/>
      </w:r>
    </w:p>
    <w:p w14:paraId="3D1CCFD6" w14:textId="77777777" w:rsidR="009A509D" w:rsidRDefault="009A509D" w:rsidP="0090025D">
      <w:pPr>
        <w:pStyle w:val="TOC2"/>
        <w:rPr>
          <w:rFonts w:ascii="Calibri" w:hAnsi="Calibri"/>
          <w:noProof/>
          <w:sz w:val="22"/>
          <w:szCs w:val="22"/>
          <w:lang w:eastAsia="en-NZ"/>
        </w:rPr>
      </w:pPr>
      <w:r>
        <w:rPr>
          <w:noProof/>
        </w:rPr>
        <w:t>5.1</w:t>
      </w:r>
      <w:r>
        <w:rPr>
          <w:rFonts w:ascii="Calibri" w:hAnsi="Calibri"/>
          <w:noProof/>
          <w:sz w:val="22"/>
          <w:szCs w:val="22"/>
          <w:lang w:eastAsia="en-NZ"/>
        </w:rPr>
        <w:tab/>
      </w:r>
      <w:r>
        <w:rPr>
          <w:noProof/>
        </w:rPr>
        <w:t>Introduction</w:t>
      </w:r>
      <w:r>
        <w:rPr>
          <w:noProof/>
        </w:rPr>
        <w:tab/>
      </w:r>
      <w:r w:rsidR="0011281F">
        <w:rPr>
          <w:noProof/>
        </w:rPr>
        <w:fldChar w:fldCharType="begin"/>
      </w:r>
      <w:r w:rsidR="00BF7293">
        <w:rPr>
          <w:noProof/>
        </w:rPr>
        <w:instrText xml:space="preserve"> PAGEREF _Toc300856624 \h </w:instrText>
      </w:r>
      <w:r w:rsidR="0011281F">
        <w:rPr>
          <w:noProof/>
        </w:rPr>
      </w:r>
      <w:r w:rsidR="0011281F">
        <w:rPr>
          <w:noProof/>
        </w:rPr>
        <w:fldChar w:fldCharType="separate"/>
      </w:r>
      <w:r w:rsidR="00320D7E">
        <w:rPr>
          <w:noProof/>
        </w:rPr>
        <w:t>89</w:t>
      </w:r>
      <w:r w:rsidR="0011281F">
        <w:rPr>
          <w:noProof/>
        </w:rPr>
        <w:fldChar w:fldCharType="end"/>
      </w:r>
    </w:p>
    <w:p w14:paraId="155E1C09" w14:textId="77777777" w:rsidR="009A509D" w:rsidRDefault="009A509D" w:rsidP="0090025D">
      <w:pPr>
        <w:pStyle w:val="TOC2"/>
        <w:rPr>
          <w:rFonts w:ascii="Calibri" w:hAnsi="Calibri"/>
          <w:noProof/>
          <w:sz w:val="22"/>
          <w:szCs w:val="22"/>
          <w:lang w:eastAsia="en-NZ"/>
        </w:rPr>
      </w:pPr>
      <w:r>
        <w:rPr>
          <w:noProof/>
        </w:rPr>
        <w:t>5.2</w:t>
      </w:r>
      <w:r>
        <w:rPr>
          <w:rFonts w:ascii="Calibri" w:hAnsi="Calibri"/>
          <w:noProof/>
          <w:sz w:val="22"/>
          <w:szCs w:val="22"/>
          <w:lang w:eastAsia="en-NZ"/>
        </w:rPr>
        <w:tab/>
      </w:r>
      <w:r>
        <w:rPr>
          <w:noProof/>
        </w:rPr>
        <w:t>Woodburners</w:t>
      </w:r>
      <w:r>
        <w:rPr>
          <w:noProof/>
        </w:rPr>
        <w:tab/>
      </w:r>
      <w:r w:rsidR="0011281F">
        <w:rPr>
          <w:noProof/>
        </w:rPr>
        <w:fldChar w:fldCharType="begin"/>
      </w:r>
      <w:r w:rsidR="00BF7293">
        <w:rPr>
          <w:noProof/>
        </w:rPr>
        <w:instrText xml:space="preserve"> PAGEREF _Toc300856625 \h </w:instrText>
      </w:r>
      <w:r w:rsidR="0011281F">
        <w:rPr>
          <w:noProof/>
        </w:rPr>
      </w:r>
      <w:r w:rsidR="0011281F">
        <w:rPr>
          <w:noProof/>
        </w:rPr>
        <w:fldChar w:fldCharType="separate"/>
      </w:r>
      <w:r w:rsidR="00320D7E">
        <w:rPr>
          <w:noProof/>
        </w:rPr>
        <w:t>90</w:t>
      </w:r>
      <w:r w:rsidR="0011281F">
        <w:rPr>
          <w:noProof/>
        </w:rPr>
        <w:fldChar w:fldCharType="end"/>
      </w:r>
    </w:p>
    <w:p w14:paraId="56665032" w14:textId="77777777" w:rsidR="009A509D" w:rsidRDefault="009A509D" w:rsidP="0090025D">
      <w:pPr>
        <w:pStyle w:val="TOC2"/>
        <w:rPr>
          <w:rFonts w:ascii="Calibri" w:hAnsi="Calibri"/>
          <w:noProof/>
          <w:sz w:val="22"/>
          <w:szCs w:val="22"/>
          <w:lang w:eastAsia="en-NZ"/>
        </w:rPr>
      </w:pPr>
      <w:r>
        <w:rPr>
          <w:noProof/>
        </w:rPr>
        <w:t>5.3</w:t>
      </w:r>
      <w:r>
        <w:rPr>
          <w:rFonts w:ascii="Calibri" w:hAnsi="Calibri"/>
          <w:noProof/>
          <w:sz w:val="22"/>
          <w:szCs w:val="22"/>
          <w:lang w:eastAsia="en-NZ"/>
        </w:rPr>
        <w:tab/>
      </w:r>
      <w:r>
        <w:rPr>
          <w:noProof/>
        </w:rPr>
        <w:t>Solid-fuel burning open fires</w:t>
      </w:r>
      <w:r>
        <w:rPr>
          <w:noProof/>
        </w:rPr>
        <w:tab/>
      </w:r>
      <w:r w:rsidR="0011281F">
        <w:rPr>
          <w:noProof/>
        </w:rPr>
        <w:fldChar w:fldCharType="begin"/>
      </w:r>
      <w:r w:rsidR="00BF7293">
        <w:rPr>
          <w:noProof/>
        </w:rPr>
        <w:instrText xml:space="preserve"> PAGEREF _Toc300856626 \h </w:instrText>
      </w:r>
      <w:r w:rsidR="0011281F">
        <w:rPr>
          <w:noProof/>
        </w:rPr>
      </w:r>
      <w:r w:rsidR="0011281F">
        <w:rPr>
          <w:noProof/>
        </w:rPr>
        <w:fldChar w:fldCharType="separate"/>
      </w:r>
      <w:r w:rsidR="00320D7E">
        <w:rPr>
          <w:noProof/>
        </w:rPr>
        <w:t>95</w:t>
      </w:r>
      <w:r w:rsidR="0011281F">
        <w:rPr>
          <w:noProof/>
        </w:rPr>
        <w:fldChar w:fldCharType="end"/>
      </w:r>
    </w:p>
    <w:p w14:paraId="2E1F8095" w14:textId="77777777" w:rsidR="009A509D" w:rsidRDefault="009A509D" w:rsidP="0090025D">
      <w:pPr>
        <w:pStyle w:val="TOC2"/>
        <w:rPr>
          <w:rFonts w:ascii="Calibri" w:hAnsi="Calibri"/>
          <w:noProof/>
          <w:sz w:val="22"/>
          <w:szCs w:val="22"/>
          <w:lang w:eastAsia="en-NZ"/>
        </w:rPr>
      </w:pPr>
      <w:r>
        <w:rPr>
          <w:noProof/>
        </w:rPr>
        <w:t>5.4</w:t>
      </w:r>
      <w:r>
        <w:rPr>
          <w:rFonts w:ascii="Calibri" w:hAnsi="Calibri"/>
          <w:noProof/>
          <w:sz w:val="22"/>
          <w:szCs w:val="22"/>
          <w:lang w:eastAsia="en-NZ"/>
        </w:rPr>
        <w:tab/>
      </w:r>
      <w:r>
        <w:rPr>
          <w:noProof/>
        </w:rPr>
        <w:t>Role of territorial authorities</w:t>
      </w:r>
      <w:r>
        <w:rPr>
          <w:noProof/>
        </w:rPr>
        <w:tab/>
      </w:r>
      <w:r w:rsidR="0011281F">
        <w:rPr>
          <w:noProof/>
        </w:rPr>
        <w:fldChar w:fldCharType="begin"/>
      </w:r>
      <w:r w:rsidR="00BF7293">
        <w:rPr>
          <w:noProof/>
        </w:rPr>
        <w:instrText xml:space="preserve"> PAGEREF _Toc300856627 \h </w:instrText>
      </w:r>
      <w:r w:rsidR="0011281F">
        <w:rPr>
          <w:noProof/>
        </w:rPr>
      </w:r>
      <w:r w:rsidR="0011281F">
        <w:rPr>
          <w:noProof/>
        </w:rPr>
        <w:fldChar w:fldCharType="separate"/>
      </w:r>
      <w:r w:rsidR="00320D7E">
        <w:rPr>
          <w:noProof/>
        </w:rPr>
        <w:t>101</w:t>
      </w:r>
      <w:r w:rsidR="0011281F">
        <w:rPr>
          <w:noProof/>
        </w:rPr>
        <w:fldChar w:fldCharType="end"/>
      </w:r>
    </w:p>
    <w:p w14:paraId="0994959F" w14:textId="77777777" w:rsidR="009A509D" w:rsidRDefault="009A509D" w:rsidP="0090025D">
      <w:pPr>
        <w:pStyle w:val="TOC2"/>
        <w:rPr>
          <w:rFonts w:ascii="Calibri" w:hAnsi="Calibri"/>
          <w:noProof/>
          <w:sz w:val="22"/>
          <w:szCs w:val="22"/>
          <w:lang w:eastAsia="en-NZ"/>
        </w:rPr>
      </w:pPr>
      <w:r>
        <w:rPr>
          <w:noProof/>
        </w:rPr>
        <w:t>5.5</w:t>
      </w:r>
      <w:r>
        <w:rPr>
          <w:rFonts w:ascii="Calibri" w:hAnsi="Calibri"/>
          <w:noProof/>
          <w:sz w:val="22"/>
          <w:szCs w:val="22"/>
          <w:lang w:eastAsia="en-NZ"/>
        </w:rPr>
        <w:tab/>
      </w:r>
      <w:r>
        <w:rPr>
          <w:noProof/>
        </w:rPr>
        <w:t>Enforcement</w:t>
      </w:r>
      <w:r>
        <w:rPr>
          <w:noProof/>
        </w:rPr>
        <w:tab/>
      </w:r>
      <w:r w:rsidR="0011281F">
        <w:rPr>
          <w:noProof/>
        </w:rPr>
        <w:fldChar w:fldCharType="begin"/>
      </w:r>
      <w:r w:rsidR="00BF7293">
        <w:rPr>
          <w:noProof/>
        </w:rPr>
        <w:instrText xml:space="preserve"> PAGEREF _Toc300856628 \h </w:instrText>
      </w:r>
      <w:r w:rsidR="0011281F">
        <w:rPr>
          <w:noProof/>
        </w:rPr>
      </w:r>
      <w:r w:rsidR="0011281F">
        <w:rPr>
          <w:noProof/>
        </w:rPr>
        <w:fldChar w:fldCharType="separate"/>
      </w:r>
      <w:r w:rsidR="00320D7E">
        <w:rPr>
          <w:noProof/>
        </w:rPr>
        <w:t>102</w:t>
      </w:r>
      <w:r w:rsidR="0011281F">
        <w:rPr>
          <w:noProof/>
        </w:rPr>
        <w:fldChar w:fldCharType="end"/>
      </w:r>
    </w:p>
    <w:p w14:paraId="243C9ECC" w14:textId="77777777" w:rsidR="009A509D" w:rsidRDefault="009A509D" w:rsidP="0090025D">
      <w:pPr>
        <w:pStyle w:val="TOC2"/>
        <w:rPr>
          <w:rFonts w:ascii="Calibri" w:hAnsi="Calibri"/>
          <w:noProof/>
          <w:sz w:val="22"/>
          <w:szCs w:val="22"/>
          <w:lang w:eastAsia="en-NZ"/>
        </w:rPr>
      </w:pPr>
      <w:r>
        <w:rPr>
          <w:noProof/>
        </w:rPr>
        <w:t>5.6</w:t>
      </w:r>
      <w:r>
        <w:rPr>
          <w:rFonts w:ascii="Calibri" w:hAnsi="Calibri"/>
          <w:noProof/>
          <w:sz w:val="22"/>
          <w:szCs w:val="22"/>
          <w:lang w:eastAsia="en-NZ"/>
        </w:rPr>
        <w:tab/>
      </w:r>
      <w:r>
        <w:rPr>
          <w:noProof/>
        </w:rPr>
        <w:t>Education</w:t>
      </w:r>
      <w:r>
        <w:rPr>
          <w:noProof/>
        </w:rPr>
        <w:tab/>
      </w:r>
      <w:r w:rsidR="0011281F">
        <w:rPr>
          <w:noProof/>
        </w:rPr>
        <w:fldChar w:fldCharType="begin"/>
      </w:r>
      <w:r w:rsidR="00BF7293">
        <w:rPr>
          <w:noProof/>
        </w:rPr>
        <w:instrText xml:space="preserve"> PAGEREF _Toc300856629 \h </w:instrText>
      </w:r>
      <w:r w:rsidR="0011281F">
        <w:rPr>
          <w:noProof/>
        </w:rPr>
      </w:r>
      <w:r w:rsidR="0011281F">
        <w:rPr>
          <w:noProof/>
        </w:rPr>
        <w:fldChar w:fldCharType="separate"/>
      </w:r>
      <w:r w:rsidR="00320D7E">
        <w:rPr>
          <w:noProof/>
        </w:rPr>
        <w:t>103</w:t>
      </w:r>
      <w:r w:rsidR="0011281F">
        <w:rPr>
          <w:noProof/>
        </w:rPr>
        <w:fldChar w:fldCharType="end"/>
      </w:r>
    </w:p>
    <w:p w14:paraId="44A4CE21" w14:textId="77777777" w:rsidR="009A509D" w:rsidRDefault="009A509D" w:rsidP="0090025D">
      <w:pPr>
        <w:pStyle w:val="TOC2"/>
        <w:rPr>
          <w:rFonts w:ascii="Calibri" w:hAnsi="Calibri"/>
          <w:noProof/>
          <w:sz w:val="22"/>
          <w:szCs w:val="22"/>
          <w:lang w:eastAsia="en-NZ"/>
        </w:rPr>
      </w:pPr>
      <w:r>
        <w:rPr>
          <w:noProof/>
        </w:rPr>
        <w:t>5.7</w:t>
      </w:r>
      <w:r>
        <w:rPr>
          <w:rFonts w:ascii="Calibri" w:hAnsi="Calibri"/>
          <w:noProof/>
          <w:sz w:val="22"/>
          <w:szCs w:val="22"/>
          <w:lang w:eastAsia="en-NZ"/>
        </w:rPr>
        <w:tab/>
      </w:r>
      <w:r>
        <w:rPr>
          <w:noProof/>
        </w:rPr>
        <w:t>Reporting requirements</w:t>
      </w:r>
      <w:r>
        <w:rPr>
          <w:noProof/>
        </w:rPr>
        <w:tab/>
      </w:r>
      <w:r w:rsidR="0011281F">
        <w:rPr>
          <w:noProof/>
        </w:rPr>
        <w:fldChar w:fldCharType="begin"/>
      </w:r>
      <w:r w:rsidR="00BF7293">
        <w:rPr>
          <w:noProof/>
        </w:rPr>
        <w:instrText xml:space="preserve"> PAGEREF _Toc300856630 \h </w:instrText>
      </w:r>
      <w:r w:rsidR="0011281F">
        <w:rPr>
          <w:noProof/>
        </w:rPr>
      </w:r>
      <w:r w:rsidR="0011281F">
        <w:rPr>
          <w:noProof/>
        </w:rPr>
        <w:fldChar w:fldCharType="separate"/>
      </w:r>
      <w:r w:rsidR="00320D7E">
        <w:rPr>
          <w:noProof/>
        </w:rPr>
        <w:t>104</w:t>
      </w:r>
      <w:r w:rsidR="0011281F">
        <w:rPr>
          <w:noProof/>
        </w:rPr>
        <w:fldChar w:fldCharType="end"/>
      </w:r>
    </w:p>
    <w:p w14:paraId="01848F8D" w14:textId="77777777" w:rsidR="009A509D" w:rsidRDefault="009A509D" w:rsidP="0090025D">
      <w:pPr>
        <w:pStyle w:val="TOC1"/>
        <w:rPr>
          <w:rFonts w:ascii="Calibri" w:hAnsi="Calibri"/>
          <w:noProof/>
          <w:sz w:val="22"/>
          <w:szCs w:val="22"/>
          <w:lang w:eastAsia="en-NZ"/>
        </w:rPr>
      </w:pPr>
      <w:r>
        <w:rPr>
          <w:noProof/>
        </w:rPr>
        <w:t>6</w:t>
      </w:r>
      <w:r>
        <w:rPr>
          <w:rFonts w:ascii="Calibri" w:hAnsi="Calibri"/>
          <w:noProof/>
          <w:sz w:val="22"/>
          <w:szCs w:val="22"/>
          <w:lang w:eastAsia="en-NZ"/>
        </w:rPr>
        <w:tab/>
      </w:r>
      <w:r>
        <w:rPr>
          <w:noProof/>
        </w:rPr>
        <w:t>Greenhouse Gas Emissions at Landfills</w:t>
      </w:r>
      <w:r>
        <w:rPr>
          <w:noProof/>
        </w:rPr>
        <w:tab/>
      </w:r>
      <w:r w:rsidR="0011281F">
        <w:rPr>
          <w:noProof/>
        </w:rPr>
        <w:fldChar w:fldCharType="begin"/>
      </w:r>
      <w:r w:rsidR="00BF7293">
        <w:rPr>
          <w:noProof/>
        </w:rPr>
        <w:instrText xml:space="preserve"> PAGEREF _Toc300856631 \h </w:instrText>
      </w:r>
      <w:r w:rsidR="0011281F">
        <w:rPr>
          <w:noProof/>
        </w:rPr>
      </w:r>
      <w:r w:rsidR="0011281F">
        <w:rPr>
          <w:noProof/>
        </w:rPr>
        <w:fldChar w:fldCharType="separate"/>
      </w:r>
      <w:r w:rsidR="00320D7E">
        <w:rPr>
          <w:noProof/>
        </w:rPr>
        <w:t>105</w:t>
      </w:r>
      <w:r w:rsidR="0011281F">
        <w:rPr>
          <w:noProof/>
        </w:rPr>
        <w:fldChar w:fldCharType="end"/>
      </w:r>
    </w:p>
    <w:p w14:paraId="5583B33E" w14:textId="77777777" w:rsidR="009A509D" w:rsidRDefault="009A509D" w:rsidP="0090025D">
      <w:pPr>
        <w:pStyle w:val="TOC2"/>
        <w:rPr>
          <w:rFonts w:ascii="Calibri" w:hAnsi="Calibri"/>
          <w:noProof/>
          <w:sz w:val="22"/>
          <w:szCs w:val="22"/>
          <w:lang w:eastAsia="en-NZ"/>
        </w:rPr>
      </w:pPr>
      <w:r>
        <w:rPr>
          <w:noProof/>
        </w:rPr>
        <w:t>6.1</w:t>
      </w:r>
      <w:r>
        <w:rPr>
          <w:rFonts w:ascii="Calibri" w:hAnsi="Calibri"/>
          <w:noProof/>
          <w:sz w:val="22"/>
          <w:szCs w:val="22"/>
          <w:lang w:eastAsia="en-NZ"/>
        </w:rPr>
        <w:tab/>
      </w:r>
      <w:r>
        <w:rPr>
          <w:noProof/>
        </w:rPr>
        <w:t>Background</w:t>
      </w:r>
      <w:r>
        <w:rPr>
          <w:noProof/>
        </w:rPr>
        <w:tab/>
      </w:r>
      <w:r w:rsidR="0011281F">
        <w:rPr>
          <w:noProof/>
        </w:rPr>
        <w:fldChar w:fldCharType="begin"/>
      </w:r>
      <w:r w:rsidR="00BF7293">
        <w:rPr>
          <w:noProof/>
        </w:rPr>
        <w:instrText xml:space="preserve"> PAGEREF _Toc300856632 \h </w:instrText>
      </w:r>
      <w:r w:rsidR="0011281F">
        <w:rPr>
          <w:noProof/>
        </w:rPr>
      </w:r>
      <w:r w:rsidR="0011281F">
        <w:rPr>
          <w:noProof/>
        </w:rPr>
        <w:fldChar w:fldCharType="separate"/>
      </w:r>
      <w:r w:rsidR="00320D7E">
        <w:rPr>
          <w:noProof/>
        </w:rPr>
        <w:t>105</w:t>
      </w:r>
      <w:r w:rsidR="0011281F">
        <w:rPr>
          <w:noProof/>
        </w:rPr>
        <w:fldChar w:fldCharType="end"/>
      </w:r>
    </w:p>
    <w:p w14:paraId="38803302" w14:textId="77777777" w:rsidR="009A509D" w:rsidRDefault="009A509D" w:rsidP="0090025D">
      <w:pPr>
        <w:pStyle w:val="TOC2"/>
        <w:rPr>
          <w:rFonts w:ascii="Calibri" w:hAnsi="Calibri"/>
          <w:noProof/>
          <w:sz w:val="22"/>
          <w:szCs w:val="22"/>
          <w:lang w:eastAsia="en-NZ"/>
        </w:rPr>
      </w:pPr>
      <w:r>
        <w:rPr>
          <w:noProof/>
        </w:rPr>
        <w:t>6.2</w:t>
      </w:r>
      <w:r>
        <w:rPr>
          <w:rFonts w:ascii="Calibri" w:hAnsi="Calibri"/>
          <w:noProof/>
          <w:sz w:val="22"/>
          <w:szCs w:val="22"/>
          <w:lang w:eastAsia="en-NZ"/>
        </w:rPr>
        <w:tab/>
      </w:r>
      <w:r>
        <w:rPr>
          <w:noProof/>
        </w:rPr>
        <w:t>Resource Management (Energy and Climate Change) Amendment Act 2004</w:t>
      </w:r>
      <w:r>
        <w:rPr>
          <w:noProof/>
        </w:rPr>
        <w:tab/>
      </w:r>
      <w:r w:rsidR="0011281F">
        <w:rPr>
          <w:noProof/>
        </w:rPr>
        <w:fldChar w:fldCharType="begin"/>
      </w:r>
      <w:r w:rsidR="00BF7293">
        <w:rPr>
          <w:noProof/>
        </w:rPr>
        <w:instrText xml:space="preserve"> PAGEREF _Toc300856633 \h </w:instrText>
      </w:r>
      <w:r w:rsidR="0011281F">
        <w:rPr>
          <w:noProof/>
        </w:rPr>
      </w:r>
      <w:r w:rsidR="0011281F">
        <w:rPr>
          <w:noProof/>
        </w:rPr>
        <w:fldChar w:fldCharType="separate"/>
      </w:r>
      <w:r w:rsidR="00320D7E">
        <w:rPr>
          <w:noProof/>
        </w:rPr>
        <w:t>105</w:t>
      </w:r>
      <w:r w:rsidR="0011281F">
        <w:rPr>
          <w:noProof/>
        </w:rPr>
        <w:fldChar w:fldCharType="end"/>
      </w:r>
    </w:p>
    <w:p w14:paraId="29319EBB" w14:textId="77777777" w:rsidR="009A509D" w:rsidRDefault="009A509D" w:rsidP="0090025D">
      <w:pPr>
        <w:pStyle w:val="TOC2"/>
        <w:rPr>
          <w:rFonts w:ascii="Calibri" w:hAnsi="Calibri"/>
          <w:noProof/>
          <w:sz w:val="22"/>
          <w:szCs w:val="22"/>
          <w:lang w:eastAsia="en-NZ"/>
        </w:rPr>
      </w:pPr>
      <w:r>
        <w:rPr>
          <w:noProof/>
        </w:rPr>
        <w:t>6.3</w:t>
      </w:r>
      <w:r>
        <w:rPr>
          <w:rFonts w:ascii="Calibri" w:hAnsi="Calibri"/>
          <w:noProof/>
          <w:sz w:val="22"/>
          <w:szCs w:val="22"/>
          <w:lang w:eastAsia="en-NZ"/>
        </w:rPr>
        <w:tab/>
      </w:r>
      <w:r>
        <w:rPr>
          <w:noProof/>
        </w:rPr>
        <w:t>What do the landfill gas standards say?</w:t>
      </w:r>
      <w:r>
        <w:rPr>
          <w:noProof/>
        </w:rPr>
        <w:tab/>
      </w:r>
      <w:r w:rsidR="0011281F">
        <w:rPr>
          <w:noProof/>
        </w:rPr>
        <w:fldChar w:fldCharType="begin"/>
      </w:r>
      <w:r w:rsidR="00BF7293">
        <w:rPr>
          <w:noProof/>
        </w:rPr>
        <w:instrText xml:space="preserve"> PAGEREF _Toc300856634 \h </w:instrText>
      </w:r>
      <w:r w:rsidR="0011281F">
        <w:rPr>
          <w:noProof/>
        </w:rPr>
      </w:r>
      <w:r w:rsidR="0011281F">
        <w:rPr>
          <w:noProof/>
        </w:rPr>
        <w:fldChar w:fldCharType="separate"/>
      </w:r>
      <w:r w:rsidR="00320D7E">
        <w:rPr>
          <w:noProof/>
        </w:rPr>
        <w:t>107</w:t>
      </w:r>
      <w:r w:rsidR="0011281F">
        <w:rPr>
          <w:noProof/>
        </w:rPr>
        <w:fldChar w:fldCharType="end"/>
      </w:r>
    </w:p>
    <w:p w14:paraId="6FA33EF4" w14:textId="77777777" w:rsidR="009A509D" w:rsidRDefault="009A509D" w:rsidP="0090025D">
      <w:pPr>
        <w:pStyle w:val="TOC2"/>
        <w:rPr>
          <w:rFonts w:ascii="Calibri" w:hAnsi="Calibri"/>
          <w:noProof/>
          <w:sz w:val="22"/>
          <w:szCs w:val="22"/>
          <w:lang w:eastAsia="en-NZ"/>
        </w:rPr>
      </w:pPr>
      <w:r>
        <w:rPr>
          <w:noProof/>
        </w:rPr>
        <w:t>6.4</w:t>
      </w:r>
      <w:r>
        <w:rPr>
          <w:rFonts w:ascii="Calibri" w:hAnsi="Calibri"/>
          <w:noProof/>
          <w:sz w:val="22"/>
          <w:szCs w:val="22"/>
          <w:lang w:eastAsia="en-NZ"/>
        </w:rPr>
        <w:tab/>
      </w:r>
      <w:r>
        <w:rPr>
          <w:noProof/>
        </w:rPr>
        <w:t>Exclusions from the landfill gas standards</w:t>
      </w:r>
      <w:r>
        <w:rPr>
          <w:noProof/>
        </w:rPr>
        <w:tab/>
      </w:r>
      <w:r w:rsidR="0011281F">
        <w:rPr>
          <w:noProof/>
        </w:rPr>
        <w:fldChar w:fldCharType="begin"/>
      </w:r>
      <w:r w:rsidR="00BF7293">
        <w:rPr>
          <w:noProof/>
        </w:rPr>
        <w:instrText xml:space="preserve"> PAGEREF _Toc300856635 \h </w:instrText>
      </w:r>
      <w:r w:rsidR="0011281F">
        <w:rPr>
          <w:noProof/>
        </w:rPr>
      </w:r>
      <w:r w:rsidR="0011281F">
        <w:rPr>
          <w:noProof/>
        </w:rPr>
        <w:fldChar w:fldCharType="separate"/>
      </w:r>
      <w:r w:rsidR="00320D7E">
        <w:rPr>
          <w:noProof/>
        </w:rPr>
        <w:t>111</w:t>
      </w:r>
      <w:r w:rsidR="0011281F">
        <w:rPr>
          <w:noProof/>
        </w:rPr>
        <w:fldChar w:fldCharType="end"/>
      </w:r>
    </w:p>
    <w:p w14:paraId="64B2FA5E" w14:textId="77777777" w:rsidR="009A509D" w:rsidRDefault="009A509D" w:rsidP="0090025D">
      <w:pPr>
        <w:pStyle w:val="TOC2"/>
        <w:rPr>
          <w:rFonts w:ascii="Calibri" w:hAnsi="Calibri"/>
          <w:noProof/>
          <w:sz w:val="22"/>
          <w:szCs w:val="22"/>
          <w:lang w:eastAsia="en-NZ"/>
        </w:rPr>
      </w:pPr>
      <w:r>
        <w:rPr>
          <w:noProof/>
        </w:rPr>
        <w:t>6.5</w:t>
      </w:r>
      <w:r>
        <w:rPr>
          <w:rFonts w:ascii="Calibri" w:hAnsi="Calibri"/>
          <w:noProof/>
          <w:sz w:val="22"/>
          <w:szCs w:val="22"/>
          <w:lang w:eastAsia="en-NZ"/>
        </w:rPr>
        <w:tab/>
      </w:r>
      <w:r>
        <w:rPr>
          <w:noProof/>
        </w:rPr>
        <w:t>Beneficial re-use of landfill gas</w:t>
      </w:r>
      <w:r>
        <w:rPr>
          <w:noProof/>
        </w:rPr>
        <w:tab/>
      </w:r>
      <w:r w:rsidR="0011281F">
        <w:rPr>
          <w:noProof/>
        </w:rPr>
        <w:fldChar w:fldCharType="begin"/>
      </w:r>
      <w:r w:rsidR="00BF7293">
        <w:rPr>
          <w:noProof/>
        </w:rPr>
        <w:instrText xml:space="preserve"> PAGEREF _Toc300856636 \h </w:instrText>
      </w:r>
      <w:r w:rsidR="0011281F">
        <w:rPr>
          <w:noProof/>
        </w:rPr>
      </w:r>
      <w:r w:rsidR="0011281F">
        <w:rPr>
          <w:noProof/>
        </w:rPr>
        <w:fldChar w:fldCharType="separate"/>
      </w:r>
      <w:r w:rsidR="00320D7E">
        <w:rPr>
          <w:noProof/>
        </w:rPr>
        <w:t>112</w:t>
      </w:r>
      <w:r w:rsidR="0011281F">
        <w:rPr>
          <w:noProof/>
        </w:rPr>
        <w:fldChar w:fldCharType="end"/>
      </w:r>
    </w:p>
    <w:p w14:paraId="413BDF5C" w14:textId="77777777" w:rsidR="009A509D" w:rsidRDefault="009A509D" w:rsidP="0090025D">
      <w:pPr>
        <w:pStyle w:val="TOC2"/>
        <w:rPr>
          <w:rFonts w:ascii="Calibri" w:hAnsi="Calibri"/>
          <w:noProof/>
          <w:sz w:val="22"/>
          <w:szCs w:val="22"/>
          <w:lang w:eastAsia="en-NZ"/>
        </w:rPr>
      </w:pPr>
      <w:r>
        <w:rPr>
          <w:noProof/>
        </w:rPr>
        <w:t>6.6</w:t>
      </w:r>
      <w:r>
        <w:rPr>
          <w:rFonts w:ascii="Calibri" w:hAnsi="Calibri"/>
          <w:noProof/>
          <w:sz w:val="22"/>
          <w:szCs w:val="22"/>
          <w:lang w:eastAsia="en-NZ"/>
        </w:rPr>
        <w:tab/>
      </w:r>
      <w:r>
        <w:rPr>
          <w:noProof/>
        </w:rPr>
        <w:t>Designing a surface methane monitoring programme</w:t>
      </w:r>
      <w:r>
        <w:rPr>
          <w:noProof/>
        </w:rPr>
        <w:tab/>
      </w:r>
      <w:r w:rsidR="0011281F">
        <w:rPr>
          <w:noProof/>
        </w:rPr>
        <w:fldChar w:fldCharType="begin"/>
      </w:r>
      <w:r w:rsidR="00BF7293">
        <w:rPr>
          <w:noProof/>
        </w:rPr>
        <w:instrText xml:space="preserve"> PAGEREF _Toc300856637 \h </w:instrText>
      </w:r>
      <w:r w:rsidR="0011281F">
        <w:rPr>
          <w:noProof/>
        </w:rPr>
      </w:r>
      <w:r w:rsidR="0011281F">
        <w:rPr>
          <w:noProof/>
        </w:rPr>
        <w:fldChar w:fldCharType="separate"/>
      </w:r>
      <w:r w:rsidR="00320D7E">
        <w:rPr>
          <w:noProof/>
        </w:rPr>
        <w:t>113</w:t>
      </w:r>
      <w:r w:rsidR="0011281F">
        <w:rPr>
          <w:noProof/>
        </w:rPr>
        <w:fldChar w:fldCharType="end"/>
      </w:r>
    </w:p>
    <w:p w14:paraId="30F4A5E3" w14:textId="77777777" w:rsidR="009A509D" w:rsidRDefault="009A509D" w:rsidP="0090025D">
      <w:pPr>
        <w:pStyle w:val="TOC2"/>
        <w:rPr>
          <w:rFonts w:ascii="Calibri" w:hAnsi="Calibri"/>
          <w:noProof/>
          <w:sz w:val="22"/>
          <w:szCs w:val="22"/>
          <w:lang w:eastAsia="en-NZ"/>
        </w:rPr>
      </w:pPr>
      <w:r>
        <w:rPr>
          <w:noProof/>
        </w:rPr>
        <w:t>6.7</w:t>
      </w:r>
      <w:r>
        <w:rPr>
          <w:rFonts w:ascii="Calibri" w:hAnsi="Calibri"/>
          <w:noProof/>
          <w:sz w:val="22"/>
          <w:szCs w:val="22"/>
          <w:lang w:eastAsia="en-NZ"/>
        </w:rPr>
        <w:tab/>
      </w:r>
      <w:r>
        <w:rPr>
          <w:noProof/>
        </w:rPr>
        <w:t>How do the landfill gas standards take effect?</w:t>
      </w:r>
      <w:r>
        <w:rPr>
          <w:noProof/>
        </w:rPr>
        <w:tab/>
      </w:r>
      <w:r w:rsidR="0011281F">
        <w:rPr>
          <w:noProof/>
        </w:rPr>
        <w:fldChar w:fldCharType="begin"/>
      </w:r>
      <w:r w:rsidR="00BF7293">
        <w:rPr>
          <w:noProof/>
        </w:rPr>
        <w:instrText xml:space="preserve"> PAGEREF _Toc300856638 \h </w:instrText>
      </w:r>
      <w:r w:rsidR="0011281F">
        <w:rPr>
          <w:noProof/>
        </w:rPr>
      </w:r>
      <w:r w:rsidR="0011281F">
        <w:rPr>
          <w:noProof/>
        </w:rPr>
        <w:fldChar w:fldCharType="separate"/>
      </w:r>
      <w:r w:rsidR="00320D7E">
        <w:rPr>
          <w:noProof/>
        </w:rPr>
        <w:t>113</w:t>
      </w:r>
      <w:r w:rsidR="0011281F">
        <w:rPr>
          <w:noProof/>
        </w:rPr>
        <w:fldChar w:fldCharType="end"/>
      </w:r>
    </w:p>
    <w:p w14:paraId="348CCAA9" w14:textId="77777777" w:rsidR="009A509D" w:rsidRDefault="009A509D" w:rsidP="0090025D">
      <w:pPr>
        <w:pStyle w:val="TOC2"/>
        <w:rPr>
          <w:rFonts w:ascii="Calibri" w:hAnsi="Calibri"/>
          <w:noProof/>
          <w:sz w:val="22"/>
          <w:szCs w:val="22"/>
          <w:lang w:eastAsia="en-NZ"/>
        </w:rPr>
      </w:pPr>
      <w:r>
        <w:rPr>
          <w:noProof/>
        </w:rPr>
        <w:t>6.8</w:t>
      </w:r>
      <w:r>
        <w:rPr>
          <w:rFonts w:ascii="Calibri" w:hAnsi="Calibri"/>
          <w:noProof/>
          <w:sz w:val="22"/>
          <w:szCs w:val="22"/>
          <w:lang w:eastAsia="en-NZ"/>
        </w:rPr>
        <w:tab/>
      </w:r>
      <w:r>
        <w:rPr>
          <w:noProof/>
        </w:rPr>
        <w:t>Enforcement</w:t>
      </w:r>
      <w:r>
        <w:rPr>
          <w:noProof/>
        </w:rPr>
        <w:tab/>
      </w:r>
      <w:r w:rsidR="0011281F">
        <w:rPr>
          <w:noProof/>
        </w:rPr>
        <w:fldChar w:fldCharType="begin"/>
      </w:r>
      <w:r w:rsidR="00BF7293">
        <w:rPr>
          <w:noProof/>
        </w:rPr>
        <w:instrText xml:space="preserve"> PAGEREF _Toc300856639 \h </w:instrText>
      </w:r>
      <w:r w:rsidR="0011281F">
        <w:rPr>
          <w:noProof/>
        </w:rPr>
      </w:r>
      <w:r w:rsidR="0011281F">
        <w:rPr>
          <w:noProof/>
        </w:rPr>
        <w:fldChar w:fldCharType="separate"/>
      </w:r>
      <w:r w:rsidR="00320D7E">
        <w:rPr>
          <w:noProof/>
        </w:rPr>
        <w:t>115</w:t>
      </w:r>
      <w:r w:rsidR="0011281F">
        <w:rPr>
          <w:noProof/>
        </w:rPr>
        <w:fldChar w:fldCharType="end"/>
      </w:r>
    </w:p>
    <w:p w14:paraId="18477D07" w14:textId="77777777" w:rsidR="009A509D" w:rsidRDefault="009A509D" w:rsidP="0090025D">
      <w:pPr>
        <w:pStyle w:val="TOC2"/>
        <w:rPr>
          <w:rFonts w:ascii="Calibri" w:hAnsi="Calibri"/>
          <w:noProof/>
          <w:sz w:val="22"/>
          <w:szCs w:val="22"/>
          <w:lang w:eastAsia="en-NZ"/>
        </w:rPr>
      </w:pPr>
      <w:r>
        <w:rPr>
          <w:noProof/>
        </w:rPr>
        <w:t>6.9</w:t>
      </w:r>
      <w:r>
        <w:rPr>
          <w:rFonts w:ascii="Calibri" w:hAnsi="Calibri"/>
          <w:noProof/>
          <w:sz w:val="22"/>
          <w:szCs w:val="22"/>
          <w:lang w:eastAsia="en-NZ"/>
        </w:rPr>
        <w:tab/>
      </w:r>
      <w:r>
        <w:rPr>
          <w:noProof/>
        </w:rPr>
        <w:t>Reporting requirements</w:t>
      </w:r>
      <w:r>
        <w:rPr>
          <w:noProof/>
        </w:rPr>
        <w:tab/>
      </w:r>
      <w:r w:rsidR="0011281F">
        <w:rPr>
          <w:noProof/>
        </w:rPr>
        <w:fldChar w:fldCharType="begin"/>
      </w:r>
      <w:r w:rsidR="00BF7293">
        <w:rPr>
          <w:noProof/>
        </w:rPr>
        <w:instrText xml:space="preserve"> PAGEREF _Toc300856640 \h </w:instrText>
      </w:r>
      <w:r w:rsidR="0011281F">
        <w:rPr>
          <w:noProof/>
        </w:rPr>
      </w:r>
      <w:r w:rsidR="0011281F">
        <w:rPr>
          <w:noProof/>
        </w:rPr>
        <w:fldChar w:fldCharType="separate"/>
      </w:r>
      <w:r w:rsidR="00320D7E">
        <w:rPr>
          <w:noProof/>
        </w:rPr>
        <w:t>115</w:t>
      </w:r>
      <w:r w:rsidR="0011281F">
        <w:rPr>
          <w:noProof/>
        </w:rPr>
        <w:fldChar w:fldCharType="end"/>
      </w:r>
    </w:p>
    <w:p w14:paraId="099441E6" w14:textId="77777777" w:rsidR="009A509D" w:rsidRDefault="009A509D" w:rsidP="0090025D">
      <w:pPr>
        <w:pStyle w:val="TOC1"/>
        <w:rPr>
          <w:rFonts w:ascii="Calibri" w:hAnsi="Calibri"/>
          <w:noProof/>
          <w:sz w:val="22"/>
          <w:szCs w:val="22"/>
          <w:lang w:eastAsia="en-NZ"/>
        </w:rPr>
      </w:pPr>
      <w:r>
        <w:rPr>
          <w:noProof/>
        </w:rPr>
        <w:t>Glossary</w:t>
      </w:r>
      <w:r>
        <w:rPr>
          <w:noProof/>
        </w:rPr>
        <w:tab/>
      </w:r>
      <w:r w:rsidR="0011281F">
        <w:rPr>
          <w:noProof/>
        </w:rPr>
        <w:fldChar w:fldCharType="begin"/>
      </w:r>
      <w:r w:rsidR="00BF7293">
        <w:rPr>
          <w:noProof/>
        </w:rPr>
        <w:instrText xml:space="preserve"> PAGEREF _Toc300856641 \h </w:instrText>
      </w:r>
      <w:r w:rsidR="0011281F">
        <w:rPr>
          <w:noProof/>
        </w:rPr>
      </w:r>
      <w:r w:rsidR="0011281F">
        <w:rPr>
          <w:noProof/>
        </w:rPr>
        <w:fldChar w:fldCharType="separate"/>
      </w:r>
      <w:r w:rsidR="00320D7E">
        <w:rPr>
          <w:noProof/>
        </w:rPr>
        <w:t>116</w:t>
      </w:r>
      <w:r w:rsidR="0011281F">
        <w:rPr>
          <w:noProof/>
        </w:rPr>
        <w:fldChar w:fldCharType="end"/>
      </w:r>
    </w:p>
    <w:p w14:paraId="17B0CB8E" w14:textId="77777777" w:rsidR="009A509D" w:rsidRDefault="009A509D" w:rsidP="0090025D">
      <w:pPr>
        <w:pStyle w:val="TOC1"/>
        <w:rPr>
          <w:rFonts w:ascii="Calibri" w:hAnsi="Calibri"/>
          <w:noProof/>
          <w:sz w:val="22"/>
          <w:szCs w:val="22"/>
          <w:lang w:eastAsia="en-NZ"/>
        </w:rPr>
      </w:pPr>
      <w:r>
        <w:rPr>
          <w:noProof/>
        </w:rPr>
        <w:t>References</w:t>
      </w:r>
      <w:r>
        <w:rPr>
          <w:noProof/>
        </w:rPr>
        <w:tab/>
      </w:r>
      <w:r w:rsidR="0011281F">
        <w:rPr>
          <w:noProof/>
        </w:rPr>
        <w:fldChar w:fldCharType="begin"/>
      </w:r>
      <w:r w:rsidR="00BF7293">
        <w:rPr>
          <w:noProof/>
        </w:rPr>
        <w:instrText xml:space="preserve"> PAGEREF _Toc300856642 \h </w:instrText>
      </w:r>
      <w:r w:rsidR="0011281F">
        <w:rPr>
          <w:noProof/>
        </w:rPr>
      </w:r>
      <w:r w:rsidR="0011281F">
        <w:rPr>
          <w:noProof/>
        </w:rPr>
        <w:fldChar w:fldCharType="separate"/>
      </w:r>
      <w:r w:rsidR="00320D7E">
        <w:rPr>
          <w:noProof/>
        </w:rPr>
        <w:t>120</w:t>
      </w:r>
      <w:r w:rsidR="0011281F">
        <w:rPr>
          <w:noProof/>
        </w:rPr>
        <w:fldChar w:fldCharType="end"/>
      </w:r>
    </w:p>
    <w:p w14:paraId="747DC67F" w14:textId="77777777" w:rsidR="009A509D" w:rsidRDefault="009A509D" w:rsidP="0090025D">
      <w:pPr>
        <w:pStyle w:val="TOC2"/>
        <w:rPr>
          <w:rFonts w:ascii="Calibri" w:hAnsi="Calibri"/>
          <w:noProof/>
          <w:sz w:val="22"/>
          <w:szCs w:val="22"/>
          <w:lang w:eastAsia="en-NZ"/>
        </w:rPr>
      </w:pPr>
      <w:r>
        <w:rPr>
          <w:noProof/>
        </w:rPr>
        <w:t>Appendix 1: Basel Convention: Annexes I and III</w:t>
      </w:r>
      <w:r>
        <w:rPr>
          <w:noProof/>
        </w:rPr>
        <w:tab/>
      </w:r>
      <w:r w:rsidR="0011281F">
        <w:rPr>
          <w:noProof/>
        </w:rPr>
        <w:fldChar w:fldCharType="begin"/>
      </w:r>
      <w:r w:rsidR="00BF7293">
        <w:rPr>
          <w:noProof/>
        </w:rPr>
        <w:instrText xml:space="preserve"> PAGEREF _Toc300856643 \h </w:instrText>
      </w:r>
      <w:r w:rsidR="0011281F">
        <w:rPr>
          <w:noProof/>
        </w:rPr>
      </w:r>
      <w:r w:rsidR="0011281F">
        <w:rPr>
          <w:noProof/>
        </w:rPr>
        <w:fldChar w:fldCharType="separate"/>
      </w:r>
      <w:r w:rsidR="00320D7E">
        <w:rPr>
          <w:noProof/>
        </w:rPr>
        <w:t>123</w:t>
      </w:r>
      <w:r w:rsidR="0011281F">
        <w:rPr>
          <w:noProof/>
        </w:rPr>
        <w:fldChar w:fldCharType="end"/>
      </w:r>
    </w:p>
    <w:p w14:paraId="1834F405" w14:textId="77777777" w:rsidR="009A509D" w:rsidRDefault="009A509D" w:rsidP="0090025D">
      <w:pPr>
        <w:pStyle w:val="TOC2"/>
        <w:rPr>
          <w:rFonts w:ascii="Calibri" w:hAnsi="Calibri"/>
          <w:noProof/>
          <w:sz w:val="22"/>
          <w:szCs w:val="22"/>
          <w:lang w:eastAsia="en-NZ"/>
        </w:rPr>
      </w:pPr>
      <w:r>
        <w:rPr>
          <w:noProof/>
        </w:rPr>
        <w:t>Appendix 2: Guidance on Gazetting Airsheds</w:t>
      </w:r>
      <w:r>
        <w:rPr>
          <w:noProof/>
        </w:rPr>
        <w:tab/>
      </w:r>
      <w:r w:rsidR="0011281F">
        <w:rPr>
          <w:noProof/>
        </w:rPr>
        <w:fldChar w:fldCharType="begin"/>
      </w:r>
      <w:r w:rsidR="00BF7293">
        <w:rPr>
          <w:noProof/>
        </w:rPr>
        <w:instrText xml:space="preserve"> PAGEREF _Toc300856644 \h </w:instrText>
      </w:r>
      <w:r w:rsidR="0011281F">
        <w:rPr>
          <w:noProof/>
        </w:rPr>
      </w:r>
      <w:r w:rsidR="0011281F">
        <w:rPr>
          <w:noProof/>
        </w:rPr>
        <w:fldChar w:fldCharType="separate"/>
      </w:r>
      <w:r w:rsidR="00320D7E">
        <w:rPr>
          <w:noProof/>
        </w:rPr>
        <w:t>126</w:t>
      </w:r>
      <w:r w:rsidR="0011281F">
        <w:rPr>
          <w:noProof/>
        </w:rPr>
        <w:fldChar w:fldCharType="end"/>
      </w:r>
    </w:p>
    <w:p w14:paraId="42821D49" w14:textId="77777777" w:rsidR="009A509D" w:rsidRDefault="009A509D" w:rsidP="0090025D">
      <w:pPr>
        <w:pStyle w:val="TOC2"/>
        <w:rPr>
          <w:rFonts w:ascii="Calibri" w:hAnsi="Calibri"/>
          <w:noProof/>
          <w:sz w:val="22"/>
          <w:szCs w:val="22"/>
          <w:lang w:eastAsia="en-NZ"/>
        </w:rPr>
      </w:pPr>
      <w:r>
        <w:rPr>
          <w:noProof/>
        </w:rPr>
        <w:t>Appendix 3: Breach Public Notice Example</w:t>
      </w:r>
      <w:r>
        <w:rPr>
          <w:noProof/>
        </w:rPr>
        <w:tab/>
      </w:r>
      <w:r w:rsidR="0011281F">
        <w:rPr>
          <w:noProof/>
        </w:rPr>
        <w:fldChar w:fldCharType="begin"/>
      </w:r>
      <w:r w:rsidR="00BF7293">
        <w:rPr>
          <w:noProof/>
        </w:rPr>
        <w:instrText xml:space="preserve"> PAGEREF _Toc300856645 \h </w:instrText>
      </w:r>
      <w:r w:rsidR="0011281F">
        <w:rPr>
          <w:noProof/>
        </w:rPr>
      </w:r>
      <w:r w:rsidR="0011281F">
        <w:rPr>
          <w:noProof/>
        </w:rPr>
        <w:fldChar w:fldCharType="separate"/>
      </w:r>
      <w:r w:rsidR="00320D7E">
        <w:rPr>
          <w:noProof/>
        </w:rPr>
        <w:t>128</w:t>
      </w:r>
      <w:r w:rsidR="0011281F">
        <w:rPr>
          <w:noProof/>
        </w:rPr>
        <w:fldChar w:fldCharType="end"/>
      </w:r>
    </w:p>
    <w:p w14:paraId="14AA5F93" w14:textId="77777777" w:rsidR="009A509D" w:rsidRDefault="009A509D" w:rsidP="0090025D">
      <w:pPr>
        <w:pStyle w:val="TOC2"/>
        <w:rPr>
          <w:rFonts w:ascii="Calibri" w:hAnsi="Calibri"/>
          <w:noProof/>
          <w:sz w:val="22"/>
          <w:szCs w:val="22"/>
          <w:lang w:eastAsia="en-NZ"/>
        </w:rPr>
      </w:pPr>
      <w:r>
        <w:rPr>
          <w:noProof/>
        </w:rPr>
        <w:t>Appendix 4: PM</w:t>
      </w:r>
      <w:r w:rsidRPr="00460145">
        <w:rPr>
          <w:noProof/>
          <w:vertAlign w:val="subscript"/>
        </w:rPr>
        <w:t>10</w:t>
      </w:r>
      <w:r>
        <w:rPr>
          <w:noProof/>
        </w:rPr>
        <w:t xml:space="preserve"> Monitoring Methods</w:t>
      </w:r>
      <w:r>
        <w:rPr>
          <w:noProof/>
        </w:rPr>
        <w:tab/>
      </w:r>
      <w:r w:rsidR="0011281F">
        <w:rPr>
          <w:noProof/>
        </w:rPr>
        <w:fldChar w:fldCharType="begin"/>
      </w:r>
      <w:r w:rsidR="00BF7293">
        <w:rPr>
          <w:noProof/>
        </w:rPr>
        <w:instrText xml:space="preserve"> PAGEREF _Toc300856646 \h </w:instrText>
      </w:r>
      <w:r w:rsidR="0011281F">
        <w:rPr>
          <w:noProof/>
        </w:rPr>
      </w:r>
      <w:r w:rsidR="0011281F">
        <w:rPr>
          <w:noProof/>
        </w:rPr>
        <w:fldChar w:fldCharType="separate"/>
      </w:r>
      <w:r w:rsidR="00320D7E">
        <w:rPr>
          <w:noProof/>
        </w:rPr>
        <w:t>129</w:t>
      </w:r>
      <w:r w:rsidR="0011281F">
        <w:rPr>
          <w:noProof/>
        </w:rPr>
        <w:fldChar w:fldCharType="end"/>
      </w:r>
    </w:p>
    <w:p w14:paraId="67214D03" w14:textId="77777777" w:rsidR="009A509D" w:rsidRDefault="009A509D" w:rsidP="0090025D">
      <w:pPr>
        <w:pStyle w:val="TOC2"/>
        <w:rPr>
          <w:rFonts w:ascii="Calibri" w:hAnsi="Calibri"/>
          <w:noProof/>
          <w:sz w:val="22"/>
          <w:szCs w:val="22"/>
          <w:lang w:eastAsia="en-NZ"/>
        </w:rPr>
      </w:pPr>
      <w:r>
        <w:rPr>
          <w:noProof/>
        </w:rPr>
        <w:t>Appendix 5: Example Offset Consent Conditions</w:t>
      </w:r>
      <w:r>
        <w:rPr>
          <w:noProof/>
        </w:rPr>
        <w:tab/>
      </w:r>
      <w:r w:rsidR="0011281F">
        <w:rPr>
          <w:noProof/>
        </w:rPr>
        <w:fldChar w:fldCharType="begin"/>
      </w:r>
      <w:r w:rsidR="00BF7293">
        <w:rPr>
          <w:noProof/>
        </w:rPr>
        <w:instrText xml:space="preserve"> PAGEREF _Toc300856647 \h </w:instrText>
      </w:r>
      <w:r w:rsidR="0011281F">
        <w:rPr>
          <w:noProof/>
        </w:rPr>
      </w:r>
      <w:r w:rsidR="0011281F">
        <w:rPr>
          <w:noProof/>
        </w:rPr>
        <w:fldChar w:fldCharType="separate"/>
      </w:r>
      <w:r w:rsidR="00320D7E">
        <w:rPr>
          <w:noProof/>
        </w:rPr>
        <w:t>137</w:t>
      </w:r>
      <w:r w:rsidR="0011281F">
        <w:rPr>
          <w:noProof/>
        </w:rPr>
        <w:fldChar w:fldCharType="end"/>
      </w:r>
    </w:p>
    <w:p w14:paraId="0394584A" w14:textId="77777777" w:rsidR="009A509D" w:rsidRDefault="009A509D" w:rsidP="0090025D">
      <w:pPr>
        <w:pStyle w:val="TOC2"/>
        <w:rPr>
          <w:rFonts w:ascii="Calibri" w:hAnsi="Calibri"/>
          <w:noProof/>
          <w:sz w:val="22"/>
          <w:szCs w:val="22"/>
          <w:lang w:eastAsia="en-NZ"/>
        </w:rPr>
      </w:pPr>
      <w:r>
        <w:rPr>
          <w:noProof/>
        </w:rPr>
        <w:t>Appendix 6: Open Fire Ban Public Notice Example</w:t>
      </w:r>
      <w:r>
        <w:rPr>
          <w:noProof/>
        </w:rPr>
        <w:tab/>
      </w:r>
      <w:r w:rsidR="0011281F">
        <w:rPr>
          <w:noProof/>
        </w:rPr>
        <w:fldChar w:fldCharType="begin"/>
      </w:r>
      <w:r w:rsidR="00BF7293">
        <w:rPr>
          <w:noProof/>
        </w:rPr>
        <w:instrText xml:space="preserve"> PAGEREF _Toc300856648 \h </w:instrText>
      </w:r>
      <w:r w:rsidR="0011281F">
        <w:rPr>
          <w:noProof/>
        </w:rPr>
      </w:r>
      <w:r w:rsidR="0011281F">
        <w:rPr>
          <w:noProof/>
        </w:rPr>
        <w:fldChar w:fldCharType="separate"/>
      </w:r>
      <w:r w:rsidR="00320D7E">
        <w:rPr>
          <w:noProof/>
        </w:rPr>
        <w:t>139</w:t>
      </w:r>
      <w:r w:rsidR="0011281F">
        <w:rPr>
          <w:noProof/>
        </w:rPr>
        <w:fldChar w:fldCharType="end"/>
      </w:r>
    </w:p>
    <w:p w14:paraId="6D0BCD72" w14:textId="77777777" w:rsidR="00725A18" w:rsidRPr="005267D4" w:rsidRDefault="0011281F" w:rsidP="0090025D">
      <w:r w:rsidRPr="005267D4">
        <w:fldChar w:fldCharType="end"/>
      </w:r>
    </w:p>
    <w:p w14:paraId="78D581F3" w14:textId="77777777" w:rsidR="00725A18" w:rsidRPr="005267D4" w:rsidRDefault="00725A18" w:rsidP="0090025D">
      <w:pPr>
        <w:pStyle w:val="Heading"/>
      </w:pPr>
      <w:r w:rsidRPr="005267D4">
        <w:br w:type="page"/>
        <w:t>Tables</w:t>
      </w:r>
    </w:p>
    <w:p w14:paraId="31E74B14" w14:textId="77777777" w:rsidR="00F8591A" w:rsidRDefault="0011281F">
      <w:pPr>
        <w:pStyle w:val="TableofFigures"/>
        <w:tabs>
          <w:tab w:val="right" w:pos="8494"/>
        </w:tabs>
        <w:rPr>
          <w:rFonts w:ascii="Calibri" w:hAnsi="Calibri"/>
          <w:noProof/>
          <w:sz w:val="22"/>
          <w:szCs w:val="22"/>
          <w:lang w:eastAsia="en-NZ"/>
        </w:rPr>
      </w:pPr>
      <w:r w:rsidRPr="0011281F">
        <w:fldChar w:fldCharType="begin"/>
      </w:r>
      <w:r w:rsidR="00F51016" w:rsidRPr="005267D4">
        <w:instrText xml:space="preserve"> TOC \t "Table heading" \c </w:instrText>
      </w:r>
      <w:r w:rsidRPr="0011281F">
        <w:fldChar w:fldCharType="separate"/>
      </w:r>
      <w:r w:rsidR="00F8591A">
        <w:rPr>
          <w:noProof/>
        </w:rPr>
        <w:t>Table 1:</w:t>
      </w:r>
      <w:r w:rsidR="00F8591A">
        <w:rPr>
          <w:rFonts w:ascii="Calibri" w:hAnsi="Calibri"/>
          <w:noProof/>
          <w:sz w:val="22"/>
          <w:szCs w:val="22"/>
          <w:lang w:eastAsia="en-NZ"/>
        </w:rPr>
        <w:tab/>
      </w:r>
      <w:r w:rsidR="00F8591A">
        <w:rPr>
          <w:noProof/>
        </w:rPr>
        <w:t>Regulations and relevant sections of the 2011 Users’ Guide</w:t>
      </w:r>
      <w:r w:rsidR="00F8591A">
        <w:rPr>
          <w:noProof/>
        </w:rPr>
        <w:tab/>
      </w:r>
      <w:r>
        <w:rPr>
          <w:noProof/>
        </w:rPr>
        <w:fldChar w:fldCharType="begin"/>
      </w:r>
      <w:r w:rsidR="00F8591A">
        <w:rPr>
          <w:noProof/>
        </w:rPr>
        <w:instrText xml:space="preserve"> PAGEREF _Toc377645807 \h </w:instrText>
      </w:r>
      <w:r>
        <w:rPr>
          <w:noProof/>
        </w:rPr>
      </w:r>
      <w:r>
        <w:rPr>
          <w:noProof/>
        </w:rPr>
        <w:fldChar w:fldCharType="separate"/>
      </w:r>
      <w:r w:rsidR="00320D7E">
        <w:rPr>
          <w:noProof/>
        </w:rPr>
        <w:t>7</w:t>
      </w:r>
      <w:r>
        <w:rPr>
          <w:noProof/>
        </w:rPr>
        <w:fldChar w:fldCharType="end"/>
      </w:r>
    </w:p>
    <w:p w14:paraId="1138053A" w14:textId="77777777" w:rsidR="00F8591A" w:rsidRDefault="00F8591A">
      <w:pPr>
        <w:pStyle w:val="TableofFigures"/>
        <w:tabs>
          <w:tab w:val="right" w:pos="8494"/>
        </w:tabs>
        <w:rPr>
          <w:rFonts w:ascii="Calibri" w:hAnsi="Calibri"/>
          <w:noProof/>
          <w:sz w:val="22"/>
          <w:szCs w:val="22"/>
          <w:lang w:eastAsia="en-NZ"/>
        </w:rPr>
      </w:pPr>
      <w:r>
        <w:rPr>
          <w:noProof/>
        </w:rPr>
        <w:t>Table 2:</w:t>
      </w:r>
      <w:r>
        <w:rPr>
          <w:rFonts w:ascii="Calibri" w:hAnsi="Calibri"/>
          <w:noProof/>
          <w:sz w:val="22"/>
          <w:szCs w:val="22"/>
          <w:lang w:eastAsia="en-NZ"/>
        </w:rPr>
        <w:tab/>
      </w:r>
      <w:r>
        <w:rPr>
          <w:noProof/>
        </w:rPr>
        <w:t>Start dates for prohibited activity standards for dioxin and other toxics</w:t>
      </w:r>
      <w:r>
        <w:rPr>
          <w:noProof/>
        </w:rPr>
        <w:tab/>
      </w:r>
      <w:r w:rsidR="0011281F">
        <w:rPr>
          <w:noProof/>
        </w:rPr>
        <w:fldChar w:fldCharType="begin"/>
      </w:r>
      <w:r>
        <w:rPr>
          <w:noProof/>
        </w:rPr>
        <w:instrText xml:space="preserve"> PAGEREF _Toc377645808 \h </w:instrText>
      </w:r>
      <w:r w:rsidR="0011281F">
        <w:rPr>
          <w:noProof/>
        </w:rPr>
      </w:r>
      <w:r w:rsidR="0011281F">
        <w:rPr>
          <w:noProof/>
        </w:rPr>
        <w:fldChar w:fldCharType="separate"/>
      </w:r>
      <w:r w:rsidR="00320D7E">
        <w:rPr>
          <w:noProof/>
        </w:rPr>
        <w:t>10</w:t>
      </w:r>
      <w:r w:rsidR="0011281F">
        <w:rPr>
          <w:noProof/>
        </w:rPr>
        <w:fldChar w:fldCharType="end"/>
      </w:r>
    </w:p>
    <w:p w14:paraId="2D2D3612" w14:textId="77777777" w:rsidR="00F8591A" w:rsidRDefault="00F8591A">
      <w:pPr>
        <w:pStyle w:val="TableofFigures"/>
        <w:tabs>
          <w:tab w:val="right" w:pos="8494"/>
        </w:tabs>
        <w:rPr>
          <w:rFonts w:ascii="Calibri" w:hAnsi="Calibri"/>
          <w:noProof/>
          <w:sz w:val="22"/>
          <w:szCs w:val="22"/>
          <w:lang w:eastAsia="en-NZ"/>
        </w:rPr>
      </w:pPr>
      <w:r>
        <w:rPr>
          <w:noProof/>
        </w:rPr>
        <w:t>Table 3:</w:t>
      </w:r>
      <w:r>
        <w:rPr>
          <w:rFonts w:ascii="Calibri" w:hAnsi="Calibri"/>
          <w:noProof/>
          <w:sz w:val="22"/>
          <w:szCs w:val="22"/>
          <w:lang w:eastAsia="en-NZ"/>
        </w:rPr>
        <w:tab/>
      </w:r>
      <w:r>
        <w:rPr>
          <w:noProof/>
        </w:rPr>
        <w:t>Ambient air quality standards from 1 September 2005</w:t>
      </w:r>
      <w:r>
        <w:rPr>
          <w:noProof/>
        </w:rPr>
        <w:tab/>
      </w:r>
      <w:r w:rsidR="0011281F">
        <w:rPr>
          <w:noProof/>
        </w:rPr>
        <w:fldChar w:fldCharType="begin"/>
      </w:r>
      <w:r>
        <w:rPr>
          <w:noProof/>
        </w:rPr>
        <w:instrText xml:space="preserve"> PAGEREF _Toc377645809 \h </w:instrText>
      </w:r>
      <w:r w:rsidR="0011281F">
        <w:rPr>
          <w:noProof/>
        </w:rPr>
      </w:r>
      <w:r w:rsidR="0011281F">
        <w:rPr>
          <w:noProof/>
        </w:rPr>
        <w:fldChar w:fldCharType="separate"/>
      </w:r>
      <w:r w:rsidR="00320D7E">
        <w:rPr>
          <w:noProof/>
        </w:rPr>
        <w:t>28</w:t>
      </w:r>
      <w:r w:rsidR="0011281F">
        <w:rPr>
          <w:noProof/>
        </w:rPr>
        <w:fldChar w:fldCharType="end"/>
      </w:r>
    </w:p>
    <w:p w14:paraId="3A802CA0" w14:textId="77777777" w:rsidR="00F8591A" w:rsidRDefault="00F8591A">
      <w:pPr>
        <w:pStyle w:val="TableofFigures"/>
        <w:tabs>
          <w:tab w:val="right" w:pos="8494"/>
        </w:tabs>
        <w:rPr>
          <w:rFonts w:ascii="Calibri" w:hAnsi="Calibri"/>
          <w:noProof/>
          <w:sz w:val="22"/>
          <w:szCs w:val="22"/>
          <w:lang w:eastAsia="en-NZ"/>
        </w:rPr>
      </w:pPr>
      <w:r>
        <w:rPr>
          <w:noProof/>
        </w:rPr>
        <w:t>Table 4:</w:t>
      </w:r>
      <w:r>
        <w:rPr>
          <w:rFonts w:ascii="Calibri" w:hAnsi="Calibri"/>
          <w:noProof/>
          <w:sz w:val="22"/>
          <w:szCs w:val="22"/>
          <w:lang w:eastAsia="en-NZ"/>
        </w:rPr>
        <w:tab/>
      </w:r>
      <w:r>
        <w:rPr>
          <w:noProof/>
        </w:rPr>
        <w:t>Ambient air quality standards compared to Ambient Air Quality Guidelines</w:t>
      </w:r>
      <w:r>
        <w:rPr>
          <w:noProof/>
        </w:rPr>
        <w:tab/>
      </w:r>
      <w:r w:rsidR="0011281F">
        <w:rPr>
          <w:noProof/>
        </w:rPr>
        <w:fldChar w:fldCharType="begin"/>
      </w:r>
      <w:r>
        <w:rPr>
          <w:noProof/>
        </w:rPr>
        <w:instrText xml:space="preserve"> PAGEREF _Toc377645810 \h </w:instrText>
      </w:r>
      <w:r w:rsidR="0011281F">
        <w:rPr>
          <w:noProof/>
        </w:rPr>
      </w:r>
      <w:r w:rsidR="0011281F">
        <w:rPr>
          <w:noProof/>
        </w:rPr>
        <w:fldChar w:fldCharType="separate"/>
      </w:r>
      <w:r w:rsidR="00320D7E">
        <w:rPr>
          <w:noProof/>
        </w:rPr>
        <w:t>29</w:t>
      </w:r>
      <w:r w:rsidR="0011281F">
        <w:rPr>
          <w:noProof/>
        </w:rPr>
        <w:fldChar w:fldCharType="end"/>
      </w:r>
    </w:p>
    <w:p w14:paraId="623CD907" w14:textId="77777777" w:rsidR="00F8591A" w:rsidRDefault="00F8591A">
      <w:pPr>
        <w:pStyle w:val="TableofFigures"/>
        <w:tabs>
          <w:tab w:val="right" w:pos="8494"/>
        </w:tabs>
        <w:rPr>
          <w:rFonts w:ascii="Calibri" w:hAnsi="Calibri"/>
          <w:noProof/>
          <w:sz w:val="22"/>
          <w:szCs w:val="22"/>
          <w:lang w:eastAsia="en-NZ"/>
        </w:rPr>
      </w:pPr>
      <w:r>
        <w:rPr>
          <w:noProof/>
        </w:rPr>
        <w:t>Table 5:</w:t>
      </w:r>
      <w:r>
        <w:rPr>
          <w:rFonts w:ascii="Calibri" w:hAnsi="Calibri"/>
          <w:noProof/>
          <w:sz w:val="22"/>
          <w:szCs w:val="22"/>
          <w:lang w:eastAsia="en-NZ"/>
        </w:rPr>
        <w:tab/>
      </w:r>
      <w:r>
        <w:rPr>
          <w:noProof/>
        </w:rPr>
        <w:t>Split targets for PM</w:t>
      </w:r>
      <w:r w:rsidRPr="00EA7870">
        <w:rPr>
          <w:noProof/>
          <w:vertAlign w:val="subscript"/>
        </w:rPr>
        <w:t>10</w:t>
      </w:r>
      <w:r>
        <w:rPr>
          <w:noProof/>
        </w:rPr>
        <w:tab/>
      </w:r>
      <w:r w:rsidR="0011281F">
        <w:rPr>
          <w:noProof/>
        </w:rPr>
        <w:fldChar w:fldCharType="begin"/>
      </w:r>
      <w:r>
        <w:rPr>
          <w:noProof/>
        </w:rPr>
        <w:instrText xml:space="preserve"> PAGEREF _Toc377645811 \h </w:instrText>
      </w:r>
      <w:r w:rsidR="0011281F">
        <w:rPr>
          <w:noProof/>
        </w:rPr>
      </w:r>
      <w:r w:rsidR="0011281F">
        <w:rPr>
          <w:noProof/>
        </w:rPr>
        <w:fldChar w:fldCharType="separate"/>
      </w:r>
      <w:r w:rsidR="00320D7E">
        <w:rPr>
          <w:noProof/>
        </w:rPr>
        <w:t>60</w:t>
      </w:r>
      <w:r w:rsidR="0011281F">
        <w:rPr>
          <w:noProof/>
        </w:rPr>
        <w:fldChar w:fldCharType="end"/>
      </w:r>
    </w:p>
    <w:p w14:paraId="535ED8C1" w14:textId="77777777" w:rsidR="00F8591A" w:rsidRDefault="00F8591A">
      <w:pPr>
        <w:pStyle w:val="TableofFigures"/>
        <w:tabs>
          <w:tab w:val="right" w:pos="8494"/>
        </w:tabs>
        <w:rPr>
          <w:rFonts w:ascii="Calibri" w:hAnsi="Calibri"/>
          <w:noProof/>
          <w:sz w:val="22"/>
          <w:szCs w:val="22"/>
          <w:lang w:eastAsia="en-NZ"/>
        </w:rPr>
      </w:pPr>
      <w:r>
        <w:rPr>
          <w:noProof/>
        </w:rPr>
        <w:t>Table 6:</w:t>
      </w:r>
      <w:r>
        <w:rPr>
          <w:rFonts w:ascii="Calibri" w:hAnsi="Calibri"/>
          <w:noProof/>
          <w:sz w:val="22"/>
          <w:szCs w:val="22"/>
          <w:lang w:eastAsia="en-NZ"/>
        </w:rPr>
        <w:tab/>
      </w:r>
      <w:r>
        <w:rPr>
          <w:noProof/>
        </w:rPr>
        <w:t>Monitoring methods for ambient PM</w:t>
      </w:r>
      <w:r w:rsidRPr="00EA7870">
        <w:rPr>
          <w:noProof/>
          <w:vertAlign w:val="subscript"/>
        </w:rPr>
        <w:t>10</w:t>
      </w:r>
      <w:r>
        <w:rPr>
          <w:noProof/>
        </w:rPr>
        <w:t xml:space="preserve"> standard</w:t>
      </w:r>
      <w:r>
        <w:rPr>
          <w:noProof/>
        </w:rPr>
        <w:tab/>
      </w:r>
      <w:r w:rsidR="0011281F">
        <w:rPr>
          <w:noProof/>
        </w:rPr>
        <w:fldChar w:fldCharType="begin"/>
      </w:r>
      <w:r>
        <w:rPr>
          <w:noProof/>
        </w:rPr>
        <w:instrText xml:space="preserve"> PAGEREF _Toc377645812 \h </w:instrText>
      </w:r>
      <w:r w:rsidR="0011281F">
        <w:rPr>
          <w:noProof/>
        </w:rPr>
      </w:r>
      <w:r w:rsidR="0011281F">
        <w:rPr>
          <w:noProof/>
        </w:rPr>
        <w:fldChar w:fldCharType="separate"/>
      </w:r>
      <w:r w:rsidR="00320D7E">
        <w:rPr>
          <w:noProof/>
        </w:rPr>
        <w:t>66</w:t>
      </w:r>
      <w:r w:rsidR="0011281F">
        <w:rPr>
          <w:noProof/>
        </w:rPr>
        <w:fldChar w:fldCharType="end"/>
      </w:r>
    </w:p>
    <w:p w14:paraId="78AE3D93" w14:textId="77777777" w:rsidR="00F8591A" w:rsidRDefault="00F8591A">
      <w:pPr>
        <w:pStyle w:val="TableofFigures"/>
        <w:tabs>
          <w:tab w:val="right" w:pos="8494"/>
        </w:tabs>
        <w:rPr>
          <w:rFonts w:ascii="Calibri" w:hAnsi="Calibri"/>
          <w:noProof/>
          <w:sz w:val="22"/>
          <w:szCs w:val="22"/>
          <w:lang w:eastAsia="en-NZ"/>
        </w:rPr>
      </w:pPr>
      <w:r>
        <w:rPr>
          <w:noProof/>
        </w:rPr>
        <w:t xml:space="preserve">Table 7: </w:t>
      </w:r>
      <w:r>
        <w:rPr>
          <w:rFonts w:ascii="Calibri" w:hAnsi="Calibri"/>
          <w:noProof/>
          <w:sz w:val="22"/>
          <w:szCs w:val="22"/>
          <w:lang w:eastAsia="en-NZ"/>
        </w:rPr>
        <w:tab/>
      </w:r>
      <w:r>
        <w:rPr>
          <w:noProof/>
        </w:rPr>
        <w:t>Suggested meanings of terms used in this Users' Guide and in the Regulations</w:t>
      </w:r>
      <w:r>
        <w:rPr>
          <w:noProof/>
        </w:rPr>
        <w:tab/>
      </w:r>
      <w:r w:rsidR="0011281F">
        <w:rPr>
          <w:noProof/>
        </w:rPr>
        <w:fldChar w:fldCharType="begin"/>
      </w:r>
      <w:r>
        <w:rPr>
          <w:noProof/>
        </w:rPr>
        <w:instrText xml:space="preserve"> PAGEREF _Toc377645813 \h </w:instrText>
      </w:r>
      <w:r w:rsidR="0011281F">
        <w:rPr>
          <w:noProof/>
        </w:rPr>
      </w:r>
      <w:r w:rsidR="0011281F">
        <w:rPr>
          <w:noProof/>
        </w:rPr>
        <w:fldChar w:fldCharType="separate"/>
      </w:r>
      <w:r w:rsidR="00320D7E">
        <w:rPr>
          <w:noProof/>
        </w:rPr>
        <w:t>72</w:t>
      </w:r>
      <w:r w:rsidR="0011281F">
        <w:rPr>
          <w:noProof/>
        </w:rPr>
        <w:fldChar w:fldCharType="end"/>
      </w:r>
    </w:p>
    <w:p w14:paraId="4F7D2BF5" w14:textId="77777777" w:rsidR="00F8591A" w:rsidRDefault="00F8591A">
      <w:pPr>
        <w:pStyle w:val="TableofFigures"/>
        <w:tabs>
          <w:tab w:val="right" w:pos="8494"/>
        </w:tabs>
        <w:rPr>
          <w:rFonts w:ascii="Calibri" w:hAnsi="Calibri"/>
          <w:noProof/>
          <w:sz w:val="22"/>
          <w:szCs w:val="22"/>
          <w:lang w:eastAsia="en-NZ"/>
        </w:rPr>
      </w:pPr>
      <w:r>
        <w:rPr>
          <w:noProof/>
        </w:rPr>
        <w:t xml:space="preserve">Table 8: </w:t>
      </w:r>
      <w:r>
        <w:rPr>
          <w:rFonts w:ascii="Calibri" w:hAnsi="Calibri"/>
          <w:noProof/>
          <w:sz w:val="22"/>
          <w:szCs w:val="22"/>
          <w:lang w:eastAsia="en-NZ"/>
        </w:rPr>
        <w:tab/>
      </w:r>
      <w:r>
        <w:rPr>
          <w:noProof/>
        </w:rPr>
        <w:t>Categories of activity which may offer viable offsets</w:t>
      </w:r>
      <w:r>
        <w:rPr>
          <w:noProof/>
        </w:rPr>
        <w:tab/>
      </w:r>
      <w:r w:rsidR="0011281F">
        <w:rPr>
          <w:noProof/>
        </w:rPr>
        <w:fldChar w:fldCharType="begin"/>
      </w:r>
      <w:r>
        <w:rPr>
          <w:noProof/>
        </w:rPr>
        <w:instrText xml:space="preserve"> PAGEREF _Toc377645814 \h </w:instrText>
      </w:r>
      <w:r w:rsidR="0011281F">
        <w:rPr>
          <w:noProof/>
        </w:rPr>
      </w:r>
      <w:r w:rsidR="0011281F">
        <w:rPr>
          <w:noProof/>
        </w:rPr>
        <w:fldChar w:fldCharType="separate"/>
      </w:r>
      <w:r w:rsidR="00320D7E">
        <w:rPr>
          <w:noProof/>
        </w:rPr>
        <w:t>78</w:t>
      </w:r>
      <w:r w:rsidR="0011281F">
        <w:rPr>
          <w:noProof/>
        </w:rPr>
        <w:fldChar w:fldCharType="end"/>
      </w:r>
    </w:p>
    <w:p w14:paraId="100C4414" w14:textId="77777777" w:rsidR="00F8591A" w:rsidRDefault="00F8591A">
      <w:pPr>
        <w:pStyle w:val="TableofFigures"/>
        <w:tabs>
          <w:tab w:val="right" w:pos="8494"/>
        </w:tabs>
        <w:rPr>
          <w:rFonts w:ascii="Calibri" w:hAnsi="Calibri"/>
          <w:noProof/>
          <w:sz w:val="22"/>
          <w:szCs w:val="22"/>
          <w:lang w:eastAsia="en-NZ"/>
        </w:rPr>
      </w:pPr>
      <w:r>
        <w:rPr>
          <w:noProof/>
        </w:rPr>
        <w:t xml:space="preserve">Table 9: </w:t>
      </w:r>
      <w:r>
        <w:rPr>
          <w:rFonts w:ascii="Calibri" w:hAnsi="Calibri"/>
          <w:noProof/>
          <w:sz w:val="22"/>
          <w:szCs w:val="22"/>
          <w:lang w:eastAsia="en-NZ"/>
        </w:rPr>
        <w:tab/>
      </w:r>
      <w:r>
        <w:rPr>
          <w:noProof/>
        </w:rPr>
        <w:t>Suggested advantages and disadvantages of offset options</w:t>
      </w:r>
      <w:r>
        <w:rPr>
          <w:noProof/>
        </w:rPr>
        <w:tab/>
      </w:r>
      <w:r w:rsidR="0011281F">
        <w:rPr>
          <w:noProof/>
        </w:rPr>
        <w:fldChar w:fldCharType="begin"/>
      </w:r>
      <w:r>
        <w:rPr>
          <w:noProof/>
        </w:rPr>
        <w:instrText xml:space="preserve"> PAGEREF _Toc377645815 \h </w:instrText>
      </w:r>
      <w:r w:rsidR="0011281F">
        <w:rPr>
          <w:noProof/>
        </w:rPr>
      </w:r>
      <w:r w:rsidR="0011281F">
        <w:rPr>
          <w:noProof/>
        </w:rPr>
        <w:fldChar w:fldCharType="separate"/>
      </w:r>
      <w:r w:rsidR="00320D7E">
        <w:rPr>
          <w:noProof/>
        </w:rPr>
        <w:t>79</w:t>
      </w:r>
      <w:r w:rsidR="0011281F">
        <w:rPr>
          <w:noProof/>
        </w:rPr>
        <w:fldChar w:fldCharType="end"/>
      </w:r>
    </w:p>
    <w:p w14:paraId="419C6039" w14:textId="77777777" w:rsidR="00F8591A" w:rsidRDefault="00F8591A">
      <w:pPr>
        <w:pStyle w:val="TableofFigures"/>
        <w:tabs>
          <w:tab w:val="right" w:pos="8494"/>
        </w:tabs>
        <w:rPr>
          <w:rFonts w:ascii="Calibri" w:hAnsi="Calibri"/>
          <w:noProof/>
          <w:sz w:val="22"/>
          <w:szCs w:val="22"/>
          <w:lang w:eastAsia="en-NZ"/>
        </w:rPr>
      </w:pPr>
      <w:r>
        <w:rPr>
          <w:noProof/>
        </w:rPr>
        <w:t>Table 10:</w:t>
      </w:r>
      <w:r>
        <w:rPr>
          <w:rFonts w:ascii="Calibri" w:hAnsi="Calibri"/>
          <w:noProof/>
          <w:sz w:val="22"/>
          <w:szCs w:val="22"/>
          <w:lang w:eastAsia="en-NZ"/>
        </w:rPr>
        <w:tab/>
      </w:r>
      <w:r>
        <w:rPr>
          <w:noProof/>
        </w:rPr>
        <w:t>Timeline for critical dates in complying with the PM</w:t>
      </w:r>
      <w:r w:rsidRPr="00EA7870">
        <w:rPr>
          <w:noProof/>
          <w:vertAlign w:val="subscript"/>
        </w:rPr>
        <w:t>10</w:t>
      </w:r>
      <w:r>
        <w:rPr>
          <w:noProof/>
        </w:rPr>
        <w:t xml:space="preserve"> standard</w:t>
      </w:r>
      <w:r>
        <w:rPr>
          <w:noProof/>
        </w:rPr>
        <w:tab/>
      </w:r>
      <w:r w:rsidR="0011281F">
        <w:rPr>
          <w:noProof/>
        </w:rPr>
        <w:fldChar w:fldCharType="begin"/>
      </w:r>
      <w:r>
        <w:rPr>
          <w:noProof/>
        </w:rPr>
        <w:instrText xml:space="preserve"> PAGEREF _Toc377645816 \h </w:instrText>
      </w:r>
      <w:r w:rsidR="0011281F">
        <w:rPr>
          <w:noProof/>
        </w:rPr>
      </w:r>
      <w:r w:rsidR="0011281F">
        <w:rPr>
          <w:noProof/>
        </w:rPr>
        <w:fldChar w:fldCharType="separate"/>
      </w:r>
      <w:r w:rsidR="00320D7E">
        <w:rPr>
          <w:noProof/>
        </w:rPr>
        <w:t>83</w:t>
      </w:r>
      <w:r w:rsidR="0011281F">
        <w:rPr>
          <w:noProof/>
        </w:rPr>
        <w:fldChar w:fldCharType="end"/>
      </w:r>
    </w:p>
    <w:p w14:paraId="272443F3" w14:textId="77777777" w:rsidR="00F8591A" w:rsidRDefault="00F8591A">
      <w:pPr>
        <w:pStyle w:val="TableofFigures"/>
        <w:tabs>
          <w:tab w:val="right" w:pos="8494"/>
        </w:tabs>
        <w:rPr>
          <w:rFonts w:ascii="Calibri" w:hAnsi="Calibri"/>
          <w:noProof/>
          <w:sz w:val="22"/>
          <w:szCs w:val="22"/>
          <w:lang w:eastAsia="en-NZ"/>
        </w:rPr>
      </w:pPr>
      <w:r>
        <w:rPr>
          <w:noProof/>
        </w:rPr>
        <w:t>Table 11:</w:t>
      </w:r>
      <w:r>
        <w:rPr>
          <w:rFonts w:ascii="Calibri" w:hAnsi="Calibri"/>
          <w:noProof/>
          <w:sz w:val="22"/>
          <w:szCs w:val="22"/>
          <w:lang w:eastAsia="en-NZ"/>
        </w:rPr>
        <w:tab/>
      </w:r>
      <w:r>
        <w:rPr>
          <w:noProof/>
        </w:rPr>
        <w:t>Elements of an air quality management framework</w:t>
      </w:r>
      <w:r>
        <w:rPr>
          <w:noProof/>
        </w:rPr>
        <w:tab/>
      </w:r>
      <w:r w:rsidR="0011281F">
        <w:rPr>
          <w:noProof/>
        </w:rPr>
        <w:fldChar w:fldCharType="begin"/>
      </w:r>
      <w:r>
        <w:rPr>
          <w:noProof/>
        </w:rPr>
        <w:instrText xml:space="preserve"> PAGEREF _Toc377645817 \h </w:instrText>
      </w:r>
      <w:r w:rsidR="0011281F">
        <w:rPr>
          <w:noProof/>
        </w:rPr>
      </w:r>
      <w:r w:rsidR="0011281F">
        <w:rPr>
          <w:noProof/>
        </w:rPr>
        <w:fldChar w:fldCharType="separate"/>
      </w:r>
      <w:r w:rsidR="00320D7E">
        <w:rPr>
          <w:noProof/>
        </w:rPr>
        <w:t>87</w:t>
      </w:r>
      <w:r w:rsidR="0011281F">
        <w:rPr>
          <w:noProof/>
        </w:rPr>
        <w:fldChar w:fldCharType="end"/>
      </w:r>
    </w:p>
    <w:p w14:paraId="354F8191" w14:textId="77777777" w:rsidR="00725A18" w:rsidRPr="005267D4" w:rsidRDefault="0011281F" w:rsidP="004E3B1C">
      <w:pPr>
        <w:pStyle w:val="BodyText"/>
      </w:pPr>
      <w:r w:rsidRPr="005267D4">
        <w:fldChar w:fldCharType="end"/>
      </w:r>
    </w:p>
    <w:p w14:paraId="462A6BAC" w14:textId="77777777" w:rsidR="00725A18" w:rsidRPr="005267D4" w:rsidRDefault="00725A18" w:rsidP="004E3B1C">
      <w:pPr>
        <w:pStyle w:val="BodyText"/>
      </w:pPr>
    </w:p>
    <w:p w14:paraId="647170B6" w14:textId="77777777" w:rsidR="00725A18" w:rsidRPr="005267D4" w:rsidRDefault="00725A18" w:rsidP="004E3B1C">
      <w:pPr>
        <w:pStyle w:val="BodyText"/>
      </w:pPr>
    </w:p>
    <w:p w14:paraId="6EFDDE0A" w14:textId="77777777" w:rsidR="00725A18" w:rsidRPr="005267D4" w:rsidRDefault="00725A18" w:rsidP="00725A18">
      <w:pPr>
        <w:pStyle w:val="Heading"/>
        <w:spacing w:before="1200"/>
      </w:pPr>
      <w:r w:rsidRPr="005267D4">
        <w:t>Figures</w:t>
      </w:r>
    </w:p>
    <w:p w14:paraId="1C3C235D" w14:textId="77777777" w:rsidR="00E7118B" w:rsidRDefault="0011281F">
      <w:pPr>
        <w:pStyle w:val="TableofFigures"/>
        <w:tabs>
          <w:tab w:val="right" w:pos="8494"/>
        </w:tabs>
        <w:rPr>
          <w:rFonts w:ascii="Calibri" w:hAnsi="Calibri"/>
          <w:noProof/>
          <w:sz w:val="22"/>
          <w:szCs w:val="22"/>
          <w:lang w:eastAsia="en-NZ"/>
        </w:rPr>
      </w:pPr>
      <w:r w:rsidRPr="0011281F">
        <w:fldChar w:fldCharType="begin"/>
      </w:r>
      <w:r w:rsidR="00F51016" w:rsidRPr="005267D4">
        <w:instrText xml:space="preserve"> TOC \t "Figure heading" \c </w:instrText>
      </w:r>
      <w:r w:rsidRPr="0011281F">
        <w:fldChar w:fldCharType="separate"/>
      </w:r>
      <w:r w:rsidR="00E7118B">
        <w:rPr>
          <w:noProof/>
        </w:rPr>
        <w:t>Figure 1:</w:t>
      </w:r>
      <w:r w:rsidR="00E7118B">
        <w:rPr>
          <w:rFonts w:ascii="Calibri" w:hAnsi="Calibri"/>
          <w:noProof/>
          <w:sz w:val="22"/>
          <w:szCs w:val="22"/>
          <w:lang w:eastAsia="en-NZ"/>
        </w:rPr>
        <w:tab/>
      </w:r>
      <w:r w:rsidR="00E7118B">
        <w:rPr>
          <w:noProof/>
        </w:rPr>
        <w:t>The 2011 Users’ Guide and other air quality documents</w:t>
      </w:r>
      <w:r w:rsidR="00E7118B">
        <w:rPr>
          <w:noProof/>
        </w:rPr>
        <w:tab/>
      </w:r>
      <w:r>
        <w:rPr>
          <w:noProof/>
        </w:rPr>
        <w:fldChar w:fldCharType="begin"/>
      </w:r>
      <w:r w:rsidR="00BF7293">
        <w:rPr>
          <w:noProof/>
        </w:rPr>
        <w:instrText xml:space="preserve"> PAGEREF _Toc376785755 \h </w:instrText>
      </w:r>
      <w:r>
        <w:rPr>
          <w:noProof/>
        </w:rPr>
      </w:r>
      <w:r>
        <w:rPr>
          <w:noProof/>
        </w:rPr>
        <w:fldChar w:fldCharType="separate"/>
      </w:r>
      <w:r w:rsidR="00320D7E">
        <w:rPr>
          <w:noProof/>
        </w:rPr>
        <w:t>6</w:t>
      </w:r>
      <w:r>
        <w:rPr>
          <w:noProof/>
        </w:rPr>
        <w:fldChar w:fldCharType="end"/>
      </w:r>
    </w:p>
    <w:p w14:paraId="4A2578D5" w14:textId="77777777" w:rsidR="00E7118B" w:rsidRDefault="00E7118B">
      <w:pPr>
        <w:pStyle w:val="TableofFigures"/>
        <w:tabs>
          <w:tab w:val="right" w:pos="8494"/>
        </w:tabs>
        <w:rPr>
          <w:rFonts w:ascii="Calibri" w:hAnsi="Calibri"/>
          <w:noProof/>
          <w:sz w:val="22"/>
          <w:szCs w:val="22"/>
          <w:lang w:eastAsia="en-NZ"/>
        </w:rPr>
      </w:pPr>
      <w:r>
        <w:rPr>
          <w:noProof/>
        </w:rPr>
        <w:t>Figure 2:</w:t>
      </w:r>
      <w:r>
        <w:rPr>
          <w:rFonts w:ascii="Calibri" w:hAnsi="Calibri"/>
          <w:noProof/>
          <w:sz w:val="22"/>
          <w:szCs w:val="22"/>
          <w:lang w:eastAsia="en-NZ"/>
        </w:rPr>
        <w:tab/>
      </w:r>
      <w:r>
        <w:rPr>
          <w:noProof/>
        </w:rPr>
        <w:t>Flow diagram for Regulations regarding domestic fires</w:t>
      </w:r>
      <w:r>
        <w:rPr>
          <w:noProof/>
        </w:rPr>
        <w:tab/>
      </w:r>
      <w:r w:rsidR="0011281F">
        <w:rPr>
          <w:noProof/>
        </w:rPr>
        <w:fldChar w:fldCharType="begin"/>
      </w:r>
      <w:r w:rsidR="00BF7293">
        <w:rPr>
          <w:noProof/>
        </w:rPr>
        <w:instrText xml:space="preserve"> PAGEREF _Toc376785756 \h </w:instrText>
      </w:r>
      <w:r w:rsidR="0011281F">
        <w:rPr>
          <w:noProof/>
        </w:rPr>
      </w:r>
      <w:r w:rsidR="0011281F">
        <w:rPr>
          <w:noProof/>
        </w:rPr>
        <w:fldChar w:fldCharType="separate"/>
      </w:r>
      <w:r w:rsidR="00320D7E">
        <w:rPr>
          <w:noProof/>
        </w:rPr>
        <w:t>90</w:t>
      </w:r>
      <w:r w:rsidR="0011281F">
        <w:rPr>
          <w:noProof/>
        </w:rPr>
        <w:fldChar w:fldCharType="end"/>
      </w:r>
    </w:p>
    <w:p w14:paraId="1A995940" w14:textId="77777777" w:rsidR="00E7118B" w:rsidRDefault="00E7118B">
      <w:pPr>
        <w:pStyle w:val="TableofFigures"/>
        <w:tabs>
          <w:tab w:val="right" w:pos="8494"/>
        </w:tabs>
        <w:rPr>
          <w:rFonts w:ascii="Calibri" w:hAnsi="Calibri"/>
          <w:noProof/>
          <w:sz w:val="22"/>
          <w:szCs w:val="22"/>
          <w:lang w:eastAsia="en-NZ"/>
        </w:rPr>
      </w:pPr>
      <w:r w:rsidRPr="007E7803">
        <w:rPr>
          <w:noProof/>
          <w:lang w:val="en-US"/>
        </w:rPr>
        <w:t>Figure A2.1</w:t>
      </w:r>
      <w:r>
        <w:rPr>
          <w:rFonts w:ascii="Calibri" w:hAnsi="Calibri"/>
          <w:noProof/>
          <w:sz w:val="22"/>
          <w:szCs w:val="22"/>
          <w:lang w:eastAsia="en-NZ"/>
        </w:rPr>
        <w:tab/>
      </w:r>
      <w:r w:rsidRPr="007E7803">
        <w:rPr>
          <w:noProof/>
          <w:lang w:val="en-US"/>
        </w:rPr>
        <w:t xml:space="preserve">Process for </w:t>
      </w:r>
      <w:r w:rsidR="00AE6CE7">
        <w:rPr>
          <w:noProof/>
          <w:lang w:val="en-US"/>
        </w:rPr>
        <w:t>g</w:t>
      </w:r>
      <w:r w:rsidR="00AE6CE7" w:rsidRPr="007E7803">
        <w:rPr>
          <w:noProof/>
          <w:lang w:val="en-US"/>
        </w:rPr>
        <w:t xml:space="preserve">azetting </w:t>
      </w:r>
      <w:r w:rsidRPr="007E7803">
        <w:rPr>
          <w:noProof/>
          <w:lang w:val="en-US"/>
        </w:rPr>
        <w:t>an airshed</w:t>
      </w:r>
      <w:r>
        <w:rPr>
          <w:noProof/>
        </w:rPr>
        <w:tab/>
      </w:r>
      <w:r w:rsidR="0011281F">
        <w:rPr>
          <w:noProof/>
        </w:rPr>
        <w:fldChar w:fldCharType="begin"/>
      </w:r>
      <w:r w:rsidR="00BF7293">
        <w:rPr>
          <w:noProof/>
        </w:rPr>
        <w:instrText xml:space="preserve"> PAGEREF _Toc376785757 \h </w:instrText>
      </w:r>
      <w:r w:rsidR="0011281F">
        <w:rPr>
          <w:noProof/>
        </w:rPr>
      </w:r>
      <w:r w:rsidR="0011281F">
        <w:rPr>
          <w:noProof/>
        </w:rPr>
        <w:fldChar w:fldCharType="separate"/>
      </w:r>
      <w:r w:rsidR="00320D7E">
        <w:rPr>
          <w:noProof/>
        </w:rPr>
        <w:t>126</w:t>
      </w:r>
      <w:r w:rsidR="0011281F">
        <w:rPr>
          <w:noProof/>
        </w:rPr>
        <w:fldChar w:fldCharType="end"/>
      </w:r>
    </w:p>
    <w:p w14:paraId="0801A5E0" w14:textId="77777777" w:rsidR="00E7118B" w:rsidRDefault="00E7118B">
      <w:pPr>
        <w:pStyle w:val="TableofFigures"/>
        <w:tabs>
          <w:tab w:val="right" w:pos="8494"/>
        </w:tabs>
        <w:rPr>
          <w:rFonts w:ascii="Calibri" w:hAnsi="Calibri"/>
          <w:noProof/>
          <w:sz w:val="22"/>
          <w:szCs w:val="22"/>
          <w:lang w:eastAsia="en-NZ"/>
        </w:rPr>
      </w:pPr>
      <w:r>
        <w:rPr>
          <w:noProof/>
        </w:rPr>
        <w:t>Figure A3.1</w:t>
      </w:r>
      <w:r>
        <w:rPr>
          <w:rFonts w:ascii="Calibri" w:hAnsi="Calibri"/>
          <w:noProof/>
          <w:sz w:val="22"/>
          <w:szCs w:val="22"/>
          <w:lang w:eastAsia="en-NZ"/>
        </w:rPr>
        <w:tab/>
      </w:r>
      <w:r>
        <w:rPr>
          <w:noProof/>
        </w:rPr>
        <w:t xml:space="preserve">Example </w:t>
      </w:r>
      <w:r w:rsidR="002A0DAB">
        <w:rPr>
          <w:noProof/>
        </w:rPr>
        <w:t xml:space="preserve">public notice </w:t>
      </w:r>
      <w:r>
        <w:rPr>
          <w:noProof/>
        </w:rPr>
        <w:t>for a breach of an ambient standard</w:t>
      </w:r>
      <w:r>
        <w:rPr>
          <w:noProof/>
        </w:rPr>
        <w:tab/>
      </w:r>
      <w:r w:rsidR="0011281F">
        <w:rPr>
          <w:noProof/>
        </w:rPr>
        <w:fldChar w:fldCharType="begin"/>
      </w:r>
      <w:r w:rsidR="00BF7293">
        <w:rPr>
          <w:noProof/>
        </w:rPr>
        <w:instrText xml:space="preserve"> PAGEREF _Toc376785758 \h </w:instrText>
      </w:r>
      <w:r w:rsidR="0011281F">
        <w:rPr>
          <w:noProof/>
        </w:rPr>
      </w:r>
      <w:r w:rsidR="0011281F">
        <w:rPr>
          <w:noProof/>
        </w:rPr>
        <w:fldChar w:fldCharType="separate"/>
      </w:r>
      <w:r w:rsidR="00320D7E">
        <w:rPr>
          <w:noProof/>
        </w:rPr>
        <w:t>128</w:t>
      </w:r>
      <w:r w:rsidR="0011281F">
        <w:rPr>
          <w:noProof/>
        </w:rPr>
        <w:fldChar w:fldCharType="end"/>
      </w:r>
    </w:p>
    <w:p w14:paraId="424529A3" w14:textId="77777777" w:rsidR="00E7118B" w:rsidRDefault="00E7118B">
      <w:pPr>
        <w:pStyle w:val="TableofFigures"/>
        <w:tabs>
          <w:tab w:val="right" w:pos="8494"/>
        </w:tabs>
        <w:rPr>
          <w:rFonts w:ascii="Calibri" w:hAnsi="Calibri"/>
          <w:noProof/>
          <w:sz w:val="22"/>
          <w:szCs w:val="22"/>
          <w:lang w:eastAsia="en-NZ"/>
        </w:rPr>
      </w:pPr>
      <w:r>
        <w:rPr>
          <w:noProof/>
        </w:rPr>
        <w:t>Figure A6.1</w:t>
      </w:r>
      <w:r>
        <w:rPr>
          <w:rFonts w:ascii="Calibri" w:hAnsi="Calibri"/>
          <w:noProof/>
          <w:sz w:val="22"/>
          <w:szCs w:val="22"/>
          <w:lang w:eastAsia="en-NZ"/>
        </w:rPr>
        <w:tab/>
      </w:r>
      <w:r>
        <w:rPr>
          <w:noProof/>
        </w:rPr>
        <w:t xml:space="preserve">Example </w:t>
      </w:r>
      <w:r w:rsidR="002A0DAB">
        <w:rPr>
          <w:noProof/>
        </w:rPr>
        <w:t xml:space="preserve">notice </w:t>
      </w:r>
      <w:r>
        <w:rPr>
          <w:noProof/>
        </w:rPr>
        <w:t>to advise of new solid-fuel burning open fire ban</w:t>
      </w:r>
      <w:r>
        <w:rPr>
          <w:noProof/>
        </w:rPr>
        <w:tab/>
      </w:r>
      <w:r w:rsidR="0011281F">
        <w:rPr>
          <w:noProof/>
        </w:rPr>
        <w:fldChar w:fldCharType="begin"/>
      </w:r>
      <w:r w:rsidR="00BF7293">
        <w:rPr>
          <w:noProof/>
        </w:rPr>
        <w:instrText xml:space="preserve"> PAGEREF _Toc376785759 \h </w:instrText>
      </w:r>
      <w:r w:rsidR="0011281F">
        <w:rPr>
          <w:noProof/>
        </w:rPr>
      </w:r>
      <w:r w:rsidR="0011281F">
        <w:rPr>
          <w:noProof/>
        </w:rPr>
        <w:fldChar w:fldCharType="separate"/>
      </w:r>
      <w:r w:rsidR="00320D7E">
        <w:rPr>
          <w:noProof/>
        </w:rPr>
        <w:t>139</w:t>
      </w:r>
      <w:r w:rsidR="0011281F">
        <w:rPr>
          <w:noProof/>
        </w:rPr>
        <w:fldChar w:fldCharType="end"/>
      </w:r>
    </w:p>
    <w:p w14:paraId="725B32F2" w14:textId="77777777" w:rsidR="00725A18" w:rsidRPr="005267D4" w:rsidRDefault="0011281F" w:rsidP="004E3B1C">
      <w:pPr>
        <w:pStyle w:val="BodyText"/>
      </w:pPr>
      <w:r w:rsidRPr="005267D4">
        <w:fldChar w:fldCharType="end"/>
      </w:r>
    </w:p>
    <w:p w14:paraId="2FBE5ADC" w14:textId="77777777" w:rsidR="00725A18" w:rsidRPr="005267D4" w:rsidRDefault="00725A18" w:rsidP="004E3B1C">
      <w:pPr>
        <w:pStyle w:val="BodyText"/>
      </w:pPr>
    </w:p>
    <w:p w14:paraId="34B087F5" w14:textId="77777777" w:rsidR="00725A18" w:rsidRPr="005267D4" w:rsidRDefault="00725A18" w:rsidP="00725A18">
      <w:pPr>
        <w:sectPr w:rsidR="00725A18" w:rsidRPr="005267D4">
          <w:pgSz w:w="11907" w:h="16840" w:code="9"/>
          <w:pgMar w:top="1701" w:right="1418" w:bottom="1701" w:left="1418" w:header="567" w:footer="567" w:gutter="567"/>
          <w:pgNumType w:fmt="lowerRoman"/>
          <w:cols w:space="720"/>
        </w:sectPr>
      </w:pPr>
    </w:p>
    <w:p w14:paraId="735C9A44" w14:textId="77777777" w:rsidR="006F4861" w:rsidRPr="005267D4" w:rsidRDefault="006F4861" w:rsidP="006F4861">
      <w:pPr>
        <w:pStyle w:val="Heading1"/>
      </w:pPr>
      <w:bookmarkStart w:id="2" w:name="_Toc298094996"/>
      <w:bookmarkStart w:id="3" w:name="_Toc300856581"/>
      <w:r w:rsidRPr="005267D4">
        <w:t>1</w:t>
      </w:r>
      <w:r w:rsidRPr="005267D4">
        <w:tab/>
        <w:t>Introduction</w:t>
      </w:r>
      <w:bookmarkEnd w:id="2"/>
      <w:bookmarkEnd w:id="3"/>
    </w:p>
    <w:p w14:paraId="429721DB" w14:textId="77777777" w:rsidR="006F4861" w:rsidRPr="006C2CDE" w:rsidRDefault="006F4861" w:rsidP="006F4861">
      <w:pPr>
        <w:pStyle w:val="Heading2"/>
      </w:pPr>
      <w:bookmarkStart w:id="4" w:name="_Toc298094997"/>
      <w:bookmarkStart w:id="5" w:name="_Toc300856582"/>
      <w:r w:rsidRPr="006C2CDE">
        <w:t>1.1</w:t>
      </w:r>
      <w:r w:rsidRPr="006C2CDE">
        <w:tab/>
      </w:r>
      <w:r>
        <w:t>What is the p</w:t>
      </w:r>
      <w:r w:rsidRPr="006C2CDE">
        <w:t>urpose of the Users’ Guide</w:t>
      </w:r>
      <w:r>
        <w:t>?</w:t>
      </w:r>
      <w:bookmarkEnd w:id="4"/>
      <w:bookmarkEnd w:id="5"/>
    </w:p>
    <w:p w14:paraId="3AFAB1D7" w14:textId="77777777" w:rsidR="006F4861" w:rsidRDefault="006F4861" w:rsidP="006F4861">
      <w:r w:rsidRPr="006C2CDE">
        <w:t xml:space="preserve">The purpose of the </w:t>
      </w:r>
      <w:r>
        <w:t xml:space="preserve">2011 </w:t>
      </w:r>
      <w:r w:rsidRPr="006C2CDE">
        <w:t>Users</w:t>
      </w:r>
      <w:r>
        <w:t>’</w:t>
      </w:r>
      <w:r w:rsidRPr="006C2CDE">
        <w:t xml:space="preserve"> Guide is to provide </w:t>
      </w:r>
      <w:r>
        <w:t>practitioners with their ‘</w:t>
      </w:r>
      <w:r w:rsidRPr="006C2CDE">
        <w:t>first port of call</w:t>
      </w:r>
      <w:r>
        <w:t>’</w:t>
      </w:r>
      <w:r w:rsidRPr="006C2CDE">
        <w:t xml:space="preserve"> </w:t>
      </w:r>
      <w:r>
        <w:t xml:space="preserve">assistance in interpretation and implementation of </w:t>
      </w:r>
      <w:r w:rsidRPr="006C2CDE">
        <w:t>the Resource Management (National Environmental Standards for Air Quality) Regulations 2004</w:t>
      </w:r>
      <w:r>
        <w:t xml:space="preserve"> including the 2011 amendments</w:t>
      </w:r>
      <w:r w:rsidRPr="006C2CDE">
        <w:t>.</w:t>
      </w:r>
      <w:r>
        <w:t xml:space="preserve"> It seeks to assist practitioners to apply the Regulations in a streamlined and consistent manner across New Zealand and consequently deliver </w:t>
      </w:r>
      <w:r w:rsidRPr="00A556FB">
        <w:t xml:space="preserve">clean healthy air </w:t>
      </w:r>
      <w:r>
        <w:t xml:space="preserve">to all New Zealanders </w:t>
      </w:r>
      <w:r w:rsidRPr="00A556FB">
        <w:t>sooner.</w:t>
      </w:r>
    </w:p>
    <w:p w14:paraId="3E85526F" w14:textId="77777777" w:rsidR="006F4861" w:rsidRDefault="006F4861" w:rsidP="006F4861"/>
    <w:p w14:paraId="1BB83130" w14:textId="77777777" w:rsidR="006F4861" w:rsidRDefault="006F4861" w:rsidP="006F4861">
      <w:pPr>
        <w:pStyle w:val="BodyText"/>
      </w:pPr>
      <w:r>
        <w:t xml:space="preserve">Many locations in New Zealand experience poor air quality, primarily due to home heating during winter </w:t>
      </w:r>
      <w:r w:rsidR="006145F7">
        <w:t>and to a lesser extent due to emissions</w:t>
      </w:r>
      <w:r>
        <w:t xml:space="preserve"> from motor vehicles. Air pollution from all sources is estimated to cause more than 1,600 premature deaths, 930 hospitalisations and 2.6 million restricted activity days in urban areas in New Zealand every year</w:t>
      </w:r>
      <w:r>
        <w:rPr>
          <w:rStyle w:val="FootnoteReference"/>
        </w:rPr>
        <w:footnoteReference w:id="1"/>
      </w:r>
      <w:r>
        <w:t xml:space="preserve"> (</w:t>
      </w:r>
      <w:r w:rsidR="00C921E4" w:rsidRPr="00C921E4">
        <w:t>Kuschel &amp; Mahon</w:t>
      </w:r>
      <w:r w:rsidRPr="00C921E4">
        <w:t>, 2010</w:t>
      </w:r>
      <w:r>
        <w:t>). The majority of these health effects are from PM</w:t>
      </w:r>
      <w:r w:rsidRPr="00476825">
        <w:rPr>
          <w:vertAlign w:val="subscript"/>
        </w:rPr>
        <w:t>10</w:t>
      </w:r>
      <w:r>
        <w:t xml:space="preserve"> emissions.</w:t>
      </w:r>
    </w:p>
    <w:p w14:paraId="0443AF25" w14:textId="77777777" w:rsidR="006F4861" w:rsidRDefault="006F4861" w:rsidP="006F4861">
      <w:pPr>
        <w:pStyle w:val="BodyText"/>
      </w:pPr>
    </w:p>
    <w:p w14:paraId="33A2D477" w14:textId="77777777" w:rsidR="006F4861" w:rsidRDefault="006F4861" w:rsidP="006F4861">
      <w:pPr>
        <w:pStyle w:val="BodyText"/>
      </w:pPr>
      <w:r>
        <w:t>Air quality management in New Zealand is governed by the Resource Management Act 1991 (RMA) and involves a number of agencies. The Minister for the Environment is responsible for recommending national environmental standards to guarantee a set level of protection for the health of all New Zealanders. Regional councils and unitary authorities are in turn responsible for ensuring that national standards are met in their regions. The Ministry for the Environment liaises between and provides national guidance to councils to assist them with improved air quality management and reports back to the Minister on progress in achieving the air quality standards.</w:t>
      </w:r>
    </w:p>
    <w:p w14:paraId="08BDB1A6" w14:textId="77777777" w:rsidR="00313AF9" w:rsidRDefault="00313AF9" w:rsidP="006F4861">
      <w:pPr>
        <w:pStyle w:val="BodyText"/>
      </w:pPr>
    </w:p>
    <w:p w14:paraId="7054EDAA" w14:textId="77777777" w:rsidR="006F4861" w:rsidRDefault="006F4861" w:rsidP="006F4861">
      <w:r>
        <w:t>This document updates and supersedes the previo</w:t>
      </w:r>
      <w:r w:rsidR="00C921E4">
        <w:t>us versions of the Users’ Guide</w:t>
      </w:r>
      <w:r>
        <w:t xml:space="preserve"> (2004 and 2005) to incorporate all the amendments to the Regulations that have occurred (2004, 2005, 2008 and 2011).</w:t>
      </w:r>
      <w:r w:rsidR="005F4875">
        <w:t xml:space="preserve"> The 2011 guide was updated in 2014 to </w:t>
      </w:r>
      <w:r w:rsidR="001350D3">
        <w:t>provide further guidance on the offsetting provision and exceptional circumstances.</w:t>
      </w:r>
    </w:p>
    <w:p w14:paraId="052E9417" w14:textId="77777777" w:rsidR="006F4861" w:rsidRDefault="006F4861" w:rsidP="006F4861"/>
    <w:p w14:paraId="66F3D73F" w14:textId="77777777" w:rsidR="006F4861" w:rsidRDefault="006F4861" w:rsidP="006F4861">
      <w:r>
        <w:t xml:space="preserve">This document </w:t>
      </w:r>
      <w:r w:rsidR="007E578A">
        <w:t>explains</w:t>
      </w:r>
      <w:r>
        <w:t xml:space="preserve"> how to implement the Regulations and is a hub for directing readers to other sources of guidance. The </w:t>
      </w:r>
      <w:r w:rsidR="004C1281">
        <w:t xml:space="preserve">2011 </w:t>
      </w:r>
      <w:r>
        <w:t xml:space="preserve">Users’ Guide is a critical companion document to the </w:t>
      </w:r>
      <w:r w:rsidR="0076544A">
        <w:t xml:space="preserve">Clean Healthy Air for All New Zealanders: </w:t>
      </w:r>
      <w:r>
        <w:t>National Air Quality Compliance Strategy to meet the PM</w:t>
      </w:r>
      <w:r w:rsidRPr="0030146F">
        <w:rPr>
          <w:vertAlign w:val="subscript"/>
        </w:rPr>
        <w:t>10</w:t>
      </w:r>
      <w:r>
        <w:t xml:space="preserve"> Standard</w:t>
      </w:r>
      <w:r w:rsidR="0076544A">
        <w:t xml:space="preserve"> (MfE, 2011) (</w:t>
      </w:r>
      <w:r w:rsidR="0076544A" w:rsidRPr="00343F69">
        <w:t>Compliance Strategy</w:t>
      </w:r>
      <w:r w:rsidR="0076544A">
        <w:t>)</w:t>
      </w:r>
      <w:r>
        <w:t xml:space="preserve"> and links with the </w:t>
      </w:r>
      <w:r w:rsidR="00C921E4">
        <w:t xml:space="preserve">other </w:t>
      </w:r>
      <w:r>
        <w:t>Ministry for the Environment good practice guides on air quality.</w:t>
      </w:r>
    </w:p>
    <w:p w14:paraId="33958220" w14:textId="77777777" w:rsidR="006F4861" w:rsidRDefault="006F4861" w:rsidP="006F4861"/>
    <w:p w14:paraId="09ADD13B" w14:textId="77777777" w:rsidR="006F4861" w:rsidRDefault="006F4861" w:rsidP="00C921E4">
      <w:pPr>
        <w:shd w:val="clear" w:color="auto" w:fill="D9D9D9"/>
      </w:pPr>
      <w:r>
        <w:t xml:space="preserve">The </w:t>
      </w:r>
      <w:r w:rsidR="004C1281">
        <w:t xml:space="preserve">2011 </w:t>
      </w:r>
      <w:r>
        <w:t>Users’ Guide is not a legal document: it has no legal status.</w:t>
      </w:r>
      <w:r w:rsidR="00C921E4">
        <w:t xml:space="preserve"> </w:t>
      </w:r>
      <w:r>
        <w:t>The Ministry for the Environment recommends that specialised legal advice should be sought at any time a regional council (or other user) is unclear on how the Regulations should be implemented.</w:t>
      </w:r>
    </w:p>
    <w:p w14:paraId="6C408279" w14:textId="77777777" w:rsidR="00E62A4D" w:rsidRDefault="00E62A4D" w:rsidP="00E62A4D">
      <w:bookmarkStart w:id="6" w:name="_Toc298094998"/>
      <w:bookmarkStart w:id="7" w:name="_Toc300856583"/>
    </w:p>
    <w:p w14:paraId="01DA4516" w14:textId="77777777" w:rsidR="006F4861" w:rsidRDefault="006F4861" w:rsidP="006F4861">
      <w:pPr>
        <w:pStyle w:val="Heading2"/>
      </w:pPr>
      <w:r w:rsidRPr="006C2CDE">
        <w:t>1.</w:t>
      </w:r>
      <w:r>
        <w:t>2</w:t>
      </w:r>
      <w:r w:rsidRPr="006C2CDE">
        <w:tab/>
      </w:r>
      <w:r>
        <w:t>What are national environmental standards?</w:t>
      </w:r>
      <w:bookmarkEnd w:id="6"/>
      <w:bookmarkEnd w:id="7"/>
    </w:p>
    <w:p w14:paraId="2D990A7A" w14:textId="77777777" w:rsidR="006F4861" w:rsidRDefault="006F4861" w:rsidP="006F4861">
      <w:r w:rsidRPr="001621E4">
        <w:t>National environmental standards are mandatory technical environmental regulations. They have the force of regulation and are implemented mainly by regional councils.</w:t>
      </w:r>
    </w:p>
    <w:p w14:paraId="6333A79D" w14:textId="77777777" w:rsidR="006F4861" w:rsidRDefault="006F4861" w:rsidP="006F4861"/>
    <w:p w14:paraId="4FB212D8" w14:textId="77777777" w:rsidR="006F4861" w:rsidRPr="00D15562" w:rsidRDefault="006F4861" w:rsidP="006F4861">
      <w:pPr>
        <w:pStyle w:val="BodyText"/>
      </w:pPr>
      <w:r>
        <w:t>R</w:t>
      </w:r>
      <w:r w:rsidRPr="00D15562">
        <w:t xml:space="preserve">egional councils and unitary authorities </w:t>
      </w:r>
      <w:r>
        <w:t xml:space="preserve">have the primary responsibility for managing </w:t>
      </w:r>
      <w:r w:rsidRPr="00D15562">
        <w:t>air quality</w:t>
      </w:r>
      <w:r>
        <w:t xml:space="preserve"> under the RMA</w:t>
      </w:r>
      <w:r w:rsidRPr="00D15562">
        <w:t xml:space="preserve">. Regional councils </w:t>
      </w:r>
      <w:r w:rsidR="00C921E4">
        <w:t>have a duty to</w:t>
      </w:r>
      <w:r w:rsidRPr="00D15562">
        <w:t xml:space="preserve"> ensure </w:t>
      </w:r>
      <w:r>
        <w:t>that the national air quality standards</w:t>
      </w:r>
      <w:r w:rsidRPr="00D15562">
        <w:t xml:space="preserve"> </w:t>
      </w:r>
      <w:r>
        <w:t xml:space="preserve">are </w:t>
      </w:r>
      <w:r w:rsidRPr="00D15562">
        <w:t>met within their regions.</w:t>
      </w:r>
    </w:p>
    <w:p w14:paraId="7D89B604" w14:textId="77777777" w:rsidR="006F4861" w:rsidRPr="008A1AB7" w:rsidRDefault="006F4861" w:rsidP="006F4861">
      <w:pPr>
        <w:rPr>
          <w:sz w:val="20"/>
        </w:rPr>
      </w:pPr>
      <w:r>
        <w:t>S</w:t>
      </w:r>
      <w:r w:rsidRPr="008A1AB7">
        <w:t>ection 44A(7-8) of the RMA requires that:</w:t>
      </w:r>
    </w:p>
    <w:p w14:paraId="2718B795" w14:textId="77777777" w:rsidR="006F4861" w:rsidRPr="008A1AB7" w:rsidRDefault="006F4861" w:rsidP="006F4861">
      <w:pPr>
        <w:pStyle w:val="Bullet"/>
        <w:tabs>
          <w:tab w:val="clear" w:pos="397"/>
        </w:tabs>
        <w:ind w:left="1134" w:hanging="567"/>
        <w:rPr>
          <w:sz w:val="20"/>
        </w:rPr>
      </w:pPr>
      <w:r w:rsidRPr="008A1AB7">
        <w:rPr>
          <w:i/>
          <w:sz w:val="20"/>
        </w:rPr>
        <w:t>(7)</w:t>
      </w:r>
      <w:r w:rsidRPr="008A1AB7">
        <w:rPr>
          <w:i/>
          <w:sz w:val="20"/>
        </w:rPr>
        <w:tab/>
        <w:t>Every local authority and consent authority must observe national environmental standards.</w:t>
      </w:r>
    </w:p>
    <w:p w14:paraId="7A4799FB" w14:textId="77777777" w:rsidR="006F4861" w:rsidRPr="008A1AB7" w:rsidRDefault="006F4861" w:rsidP="006F4861">
      <w:pPr>
        <w:pStyle w:val="Bullet"/>
        <w:tabs>
          <w:tab w:val="clear" w:pos="397"/>
        </w:tabs>
        <w:ind w:left="1134" w:hanging="567"/>
        <w:rPr>
          <w:sz w:val="20"/>
        </w:rPr>
      </w:pPr>
      <w:r w:rsidRPr="008A1AB7">
        <w:rPr>
          <w:i/>
          <w:sz w:val="20"/>
        </w:rPr>
        <w:t>(8)</w:t>
      </w:r>
      <w:r w:rsidRPr="008A1AB7">
        <w:rPr>
          <w:i/>
          <w:sz w:val="20"/>
        </w:rPr>
        <w:tab/>
        <w:t>Every local authority and consent authority must enforce the observance of national environmental standards to the extent to which their powers enable them to do so.</w:t>
      </w:r>
    </w:p>
    <w:p w14:paraId="27EB1DA2" w14:textId="77777777" w:rsidR="006F4861" w:rsidRPr="004E0B53" w:rsidRDefault="006F4861" w:rsidP="006F4861">
      <w:pPr>
        <w:pStyle w:val="Heading3"/>
      </w:pPr>
      <w:r>
        <w:t>1.2.1</w:t>
      </w:r>
      <w:r>
        <w:tab/>
      </w:r>
      <w:r w:rsidRPr="004E0B53">
        <w:t>The</w:t>
      </w:r>
      <w:r>
        <w:t xml:space="preserve"> original </w:t>
      </w:r>
      <w:r w:rsidR="00D752E1">
        <w:t>Regulations</w:t>
      </w:r>
    </w:p>
    <w:p w14:paraId="01DC959D" w14:textId="77777777" w:rsidR="006F4861" w:rsidRDefault="006F4861" w:rsidP="006F4861">
      <w:pPr>
        <w:rPr>
          <w:bCs/>
          <w:iCs/>
        </w:rPr>
      </w:pPr>
      <w:r>
        <w:t xml:space="preserve">In October 2004, the Government introduced the </w:t>
      </w:r>
      <w:r w:rsidR="006145F7">
        <w:t xml:space="preserve">national environmental standards </w:t>
      </w:r>
      <w:r>
        <w:t xml:space="preserve">for </w:t>
      </w:r>
      <w:r w:rsidR="006145F7">
        <w:t xml:space="preserve">air quality </w:t>
      </w:r>
      <w:r>
        <w:t xml:space="preserve">(the air quality standards). </w:t>
      </w:r>
      <w:r w:rsidRPr="001F25C4">
        <w:t>The</w:t>
      </w:r>
      <w:r w:rsidR="006145F7">
        <w:t>se</w:t>
      </w:r>
      <w:r w:rsidRPr="001F25C4">
        <w:t xml:space="preserve"> </w:t>
      </w:r>
      <w:r>
        <w:t>air quality standards we</w:t>
      </w:r>
      <w:r w:rsidRPr="001F25C4">
        <w:t xml:space="preserve">re </w:t>
      </w:r>
      <w:r w:rsidR="006145F7">
        <w:t xml:space="preserve">issued as Regulations </w:t>
      </w:r>
      <w:r w:rsidRPr="001F25C4">
        <w:t xml:space="preserve">in accordance with sections 43 and 44 of the </w:t>
      </w:r>
      <w:r>
        <w:t>RMA</w:t>
      </w:r>
      <w:r w:rsidRPr="001F25C4">
        <w:t>.</w:t>
      </w:r>
    </w:p>
    <w:p w14:paraId="06645FA3" w14:textId="77777777" w:rsidR="006F4861" w:rsidRPr="001F25C4" w:rsidRDefault="006F4861" w:rsidP="006F4861"/>
    <w:p w14:paraId="53B59B26" w14:textId="77777777" w:rsidR="006F4861" w:rsidRPr="001F25C4" w:rsidRDefault="006F4861" w:rsidP="006F4861">
      <w:r w:rsidRPr="001F25C4">
        <w:t xml:space="preserve">They </w:t>
      </w:r>
      <w:r>
        <w:t>include</w:t>
      </w:r>
      <w:r w:rsidR="00D165F0">
        <w:t>d</w:t>
      </w:r>
      <w:r w:rsidRPr="001F25C4">
        <w:t>:</w:t>
      </w:r>
    </w:p>
    <w:p w14:paraId="790DF4B5" w14:textId="77777777" w:rsidR="006F4861" w:rsidRPr="001F25C4" w:rsidRDefault="006F4861" w:rsidP="00726A4C">
      <w:pPr>
        <w:pStyle w:val="Bullet"/>
        <w:numPr>
          <w:ilvl w:val="0"/>
          <w:numId w:val="17"/>
        </w:numPr>
      </w:pPr>
      <w:r>
        <w:t>seven</w:t>
      </w:r>
      <w:r w:rsidRPr="001F25C4">
        <w:t xml:space="preserve"> </w:t>
      </w:r>
      <w:r w:rsidRPr="00D32675">
        <w:rPr>
          <w:b/>
        </w:rPr>
        <w:t>standards</w:t>
      </w:r>
      <w:r w:rsidRPr="001F25C4">
        <w:t xml:space="preserve"> </w:t>
      </w:r>
      <w:r>
        <w:t xml:space="preserve">banning </w:t>
      </w:r>
      <w:r w:rsidRPr="001F25C4">
        <w:t xml:space="preserve">activities that discharge </w:t>
      </w:r>
      <w:r>
        <w:t>significant</w:t>
      </w:r>
      <w:r w:rsidRPr="001F25C4">
        <w:t xml:space="preserve"> quantities of dioxins and other toxics into the air</w:t>
      </w:r>
    </w:p>
    <w:p w14:paraId="2771B499" w14:textId="77777777" w:rsidR="006F4861" w:rsidRPr="001F25C4" w:rsidRDefault="006F4861" w:rsidP="00726A4C">
      <w:pPr>
        <w:pStyle w:val="Bullet"/>
        <w:numPr>
          <w:ilvl w:val="0"/>
          <w:numId w:val="17"/>
        </w:numPr>
      </w:pPr>
      <w:r>
        <w:t>five</w:t>
      </w:r>
      <w:r w:rsidRPr="001F25C4">
        <w:t xml:space="preserve"> </w:t>
      </w:r>
      <w:r w:rsidRPr="00D32675">
        <w:rPr>
          <w:b/>
        </w:rPr>
        <w:t>ambient air quality standards</w:t>
      </w:r>
      <w:r w:rsidRPr="001F25C4">
        <w:t xml:space="preserve"> for carbon monoxide (CO), </w:t>
      </w:r>
      <w:r>
        <w:t>particulate matter less than 10 micro</w:t>
      </w:r>
      <w:r w:rsidR="00D165F0">
        <w:t>metres</w:t>
      </w:r>
      <w:r>
        <w:t xml:space="preserve"> in diameter</w:t>
      </w:r>
      <w:r w:rsidRPr="001F25C4">
        <w:t xml:space="preserve"> (PM</w:t>
      </w:r>
      <w:r w:rsidRPr="00D32675">
        <w:rPr>
          <w:vertAlign w:val="subscript"/>
        </w:rPr>
        <w:t>10</w:t>
      </w:r>
      <w:r w:rsidRPr="001F25C4">
        <w:t>), nitrogen dioxide (NO</w:t>
      </w:r>
      <w:r w:rsidRPr="00D32675">
        <w:rPr>
          <w:vertAlign w:val="subscript"/>
        </w:rPr>
        <w:t>2</w:t>
      </w:r>
      <w:r w:rsidRPr="001F25C4">
        <w:t>), sulphur dioxide (SO</w:t>
      </w:r>
      <w:r w:rsidRPr="00D32675">
        <w:rPr>
          <w:vertAlign w:val="subscript"/>
        </w:rPr>
        <w:t>2</w:t>
      </w:r>
      <w:r w:rsidRPr="001F25C4">
        <w:t>) and ozone (</w:t>
      </w:r>
      <w:r>
        <w:t>O</w:t>
      </w:r>
      <w:r w:rsidRPr="00D32675">
        <w:rPr>
          <w:vertAlign w:val="subscript"/>
        </w:rPr>
        <w:t>3</w:t>
      </w:r>
      <w:r w:rsidRPr="001F25C4">
        <w:t>)</w:t>
      </w:r>
    </w:p>
    <w:p w14:paraId="502A1A56" w14:textId="77777777" w:rsidR="006F4861" w:rsidRPr="001F25C4" w:rsidRDefault="006F4861" w:rsidP="00726A4C">
      <w:pPr>
        <w:pStyle w:val="Bullet"/>
        <w:numPr>
          <w:ilvl w:val="0"/>
          <w:numId w:val="17"/>
        </w:numPr>
      </w:pPr>
      <w:r w:rsidRPr="001F25C4">
        <w:t xml:space="preserve">a </w:t>
      </w:r>
      <w:r w:rsidRPr="00D32675">
        <w:rPr>
          <w:b/>
        </w:rPr>
        <w:t>design standard</w:t>
      </w:r>
      <w:r w:rsidRPr="001F25C4">
        <w:t xml:space="preserve"> for </w:t>
      </w:r>
      <w:r>
        <w:t>new woodburners installed in urban areas</w:t>
      </w:r>
    </w:p>
    <w:p w14:paraId="7A413D64" w14:textId="77777777" w:rsidR="006F4861" w:rsidRDefault="006F4861" w:rsidP="00726A4C">
      <w:pPr>
        <w:pStyle w:val="Bullet"/>
        <w:numPr>
          <w:ilvl w:val="0"/>
          <w:numId w:val="17"/>
        </w:numPr>
      </w:pPr>
      <w:r w:rsidRPr="001F25C4">
        <w:t xml:space="preserve">a </w:t>
      </w:r>
      <w:r>
        <w:t>requirement for landfills over 1 million tonnes of refuse to collect greenhouse gas emissions</w:t>
      </w:r>
      <w:r w:rsidR="008448E4">
        <w:t>.</w:t>
      </w:r>
    </w:p>
    <w:p w14:paraId="33DD119A" w14:textId="77777777" w:rsidR="006F4861" w:rsidRDefault="006F4861" w:rsidP="00313AF9">
      <w:pPr>
        <w:pStyle w:val="BodyText"/>
      </w:pPr>
    </w:p>
    <w:p w14:paraId="42F9068E" w14:textId="77777777" w:rsidR="006F4861" w:rsidRDefault="006F4861" w:rsidP="00D165F0">
      <w:pPr>
        <w:pStyle w:val="BodyText"/>
        <w:shd w:val="clear" w:color="auto" w:fill="D9D9D9"/>
      </w:pPr>
      <w:r w:rsidRPr="0030146F">
        <w:t>The ambient standards are the minimum requirements that outdoor air quality should meet in order to guarantee a set level of protection for human health and the environment. The phrase ‘set level of protection’ is used quite deliberately – it does not mean that all adverse h</w:t>
      </w:r>
      <w:r w:rsidR="00A934A8">
        <w:t xml:space="preserve">ealth impacts will be avoided. </w:t>
      </w:r>
      <w:r w:rsidRPr="0030146F">
        <w:t>This is because some pollutants (eg, PM</w:t>
      </w:r>
      <w:r w:rsidRPr="0030146F">
        <w:rPr>
          <w:vertAlign w:val="subscript"/>
        </w:rPr>
        <w:t>10</w:t>
      </w:r>
      <w:r w:rsidRPr="0030146F">
        <w:t>) do not have a ‘safe’ threshold under which no adverse health impacts are experienced.</w:t>
      </w:r>
    </w:p>
    <w:p w14:paraId="667D459B" w14:textId="77777777" w:rsidR="006F4861" w:rsidRDefault="006F4861" w:rsidP="00313AF9">
      <w:pPr>
        <w:pStyle w:val="BodyText"/>
      </w:pPr>
    </w:p>
    <w:p w14:paraId="6EE44B35" w14:textId="77777777" w:rsidR="006F4861" w:rsidRDefault="006F4861" w:rsidP="006F4861">
      <w:pPr>
        <w:pStyle w:val="BodyText"/>
      </w:pPr>
      <w:r>
        <w:t xml:space="preserve">The ambient standards are a subset of the ambient air quality guidelines which set the minimum requirements that outdoor air quality should meet for a range of air pollutants to protect human health and the </w:t>
      </w:r>
      <w:r w:rsidRPr="00F14649">
        <w:t>environment (</w:t>
      </w:r>
      <w:r w:rsidRPr="00D165F0">
        <w:t>MfE, 2002</w:t>
      </w:r>
      <w:r w:rsidR="00E51FBD">
        <w:t>a</w:t>
      </w:r>
      <w:r w:rsidRPr="00F14649">
        <w:t>).</w:t>
      </w:r>
      <w:r>
        <w:t xml:space="preserve"> Most of the guideline values adopted in New Zealand have been taken from guidance provided by overseas organisations such as the World Health </w:t>
      </w:r>
      <w:r w:rsidR="00A934A8" w:rsidRPr="00F14649">
        <w:t>Organi</w:t>
      </w:r>
      <w:r w:rsidR="00A934A8">
        <w:t>z</w:t>
      </w:r>
      <w:r w:rsidR="00A934A8" w:rsidRPr="00F14649">
        <w:t xml:space="preserve">ation </w:t>
      </w:r>
      <w:r w:rsidRPr="00F14649">
        <w:t>(</w:t>
      </w:r>
      <w:r w:rsidRPr="00D165F0">
        <w:t>WHO, 2006</w:t>
      </w:r>
      <w:r w:rsidRPr="00F14649">
        <w:t>).</w:t>
      </w:r>
    </w:p>
    <w:p w14:paraId="472632C7" w14:textId="77777777" w:rsidR="006F4861" w:rsidRDefault="006F4861" w:rsidP="006F4861">
      <w:pPr>
        <w:pStyle w:val="Heading3"/>
      </w:pPr>
      <w:r>
        <w:t>1.2.2</w:t>
      </w:r>
      <w:r>
        <w:tab/>
        <w:t>Subsequent amendments</w:t>
      </w:r>
    </w:p>
    <w:p w14:paraId="1F76E652" w14:textId="77777777" w:rsidR="00705041" w:rsidRDefault="006F4861" w:rsidP="006F4861">
      <w:r>
        <w:t xml:space="preserve">The </w:t>
      </w:r>
      <w:r w:rsidR="00D165F0">
        <w:t>Regulations</w:t>
      </w:r>
      <w:r>
        <w:t xml:space="preserve"> were subsequently amended in December 2004 (SR 2004/433), July 2005 (SR 2005/214) and November 2008 (SR 2008/375). These amendments were largely made for technical reasons.</w:t>
      </w:r>
    </w:p>
    <w:p w14:paraId="2F6E8C17" w14:textId="77777777" w:rsidR="006F4861" w:rsidRDefault="006F4861" w:rsidP="006F4861">
      <w:pPr>
        <w:pStyle w:val="Heading3"/>
      </w:pPr>
      <w:r>
        <w:t>1.2.3</w:t>
      </w:r>
      <w:r>
        <w:tab/>
      </w:r>
      <w:r w:rsidRPr="00777409">
        <w:t xml:space="preserve">The revised </w:t>
      </w:r>
      <w:r w:rsidR="00D165F0">
        <w:t>Regulations</w:t>
      </w:r>
    </w:p>
    <w:p w14:paraId="3F011FF4" w14:textId="77777777" w:rsidR="006F4861" w:rsidRPr="00234751" w:rsidRDefault="006F4861" w:rsidP="006F4861">
      <w:r>
        <w:t xml:space="preserve">The Minister for the Environment Hon Dr Nick Smith announced a review of the air quality standards in 2009. This review focussed on the ambient air quality standards, particularly the </w:t>
      </w:r>
      <w:r w:rsidR="00D165F0">
        <w:t>provisions</w:t>
      </w:r>
      <w:r>
        <w:t xml:space="preserve"> for PM</w:t>
      </w:r>
      <w:r w:rsidRPr="00777409">
        <w:rPr>
          <w:vertAlign w:val="subscript"/>
        </w:rPr>
        <w:t>10</w:t>
      </w:r>
      <w:r>
        <w:t xml:space="preserve">. </w:t>
      </w:r>
      <w:r w:rsidRPr="00234751">
        <w:t>Three potential problems were identified with the PM</w:t>
      </w:r>
      <w:r w:rsidRPr="00234751">
        <w:rPr>
          <w:vertAlign w:val="subscript"/>
        </w:rPr>
        <w:t>10</w:t>
      </w:r>
      <w:r w:rsidR="00D165F0">
        <w:t xml:space="preserve"> standard</w:t>
      </w:r>
      <w:r w:rsidRPr="00234751">
        <w:t>:</w:t>
      </w:r>
    </w:p>
    <w:p w14:paraId="2933A610" w14:textId="77777777" w:rsidR="006F4861" w:rsidRPr="00234751" w:rsidRDefault="00D165F0" w:rsidP="00726A4C">
      <w:pPr>
        <w:pStyle w:val="Bullet"/>
        <w:numPr>
          <w:ilvl w:val="0"/>
          <w:numId w:val="17"/>
        </w:numPr>
      </w:pPr>
      <w:r w:rsidRPr="00234751">
        <w:t xml:space="preserve">perceived </w:t>
      </w:r>
      <w:r w:rsidR="006F4861" w:rsidRPr="00234751">
        <w:t>stringency of the standard</w:t>
      </w:r>
    </w:p>
    <w:p w14:paraId="3D768629" w14:textId="77777777" w:rsidR="006F4861" w:rsidRPr="00234751" w:rsidRDefault="00D165F0" w:rsidP="00726A4C">
      <w:pPr>
        <w:pStyle w:val="Bullet"/>
        <w:numPr>
          <w:ilvl w:val="0"/>
          <w:numId w:val="17"/>
        </w:numPr>
      </w:pPr>
      <w:r w:rsidRPr="00234751">
        <w:t xml:space="preserve">equity </w:t>
      </w:r>
      <w:r w:rsidR="006F4861" w:rsidRPr="00234751">
        <w:t xml:space="preserve">of current </w:t>
      </w:r>
      <w:r w:rsidR="00D752E1" w:rsidRPr="00234751">
        <w:t>regulations</w:t>
      </w:r>
    </w:p>
    <w:p w14:paraId="07059E47" w14:textId="77777777" w:rsidR="006F4861" w:rsidRDefault="00D165F0" w:rsidP="00726A4C">
      <w:pPr>
        <w:pStyle w:val="Bullet"/>
        <w:numPr>
          <w:ilvl w:val="0"/>
          <w:numId w:val="17"/>
        </w:numPr>
      </w:pPr>
      <w:r w:rsidRPr="00234751">
        <w:t xml:space="preserve">compliance </w:t>
      </w:r>
      <w:r w:rsidR="006F4861" w:rsidRPr="00234751">
        <w:t>with the standard by 2013</w:t>
      </w:r>
      <w:r>
        <w:t>.</w:t>
      </w:r>
    </w:p>
    <w:p w14:paraId="7D95B2ED" w14:textId="77777777" w:rsidR="006F4861" w:rsidRPr="00234751" w:rsidRDefault="006F4861" w:rsidP="006F4861">
      <w:pPr>
        <w:pStyle w:val="Heading4"/>
      </w:pPr>
      <w:r w:rsidRPr="00234751">
        <w:t>Perceived stringency of the standard</w:t>
      </w:r>
    </w:p>
    <w:p w14:paraId="72FE2395" w14:textId="77777777" w:rsidR="006F4861" w:rsidRDefault="006F4861" w:rsidP="006F4861">
      <w:r w:rsidRPr="00234751">
        <w:t>The World Health Organisation (WHO) guideline for PM</w:t>
      </w:r>
      <w:r w:rsidRPr="00234751">
        <w:rPr>
          <w:vertAlign w:val="subscript"/>
        </w:rPr>
        <w:t>10</w:t>
      </w:r>
      <w:r w:rsidRPr="00234751">
        <w:t xml:space="preserve"> is 50 μg/m</w:t>
      </w:r>
      <w:r w:rsidRPr="00234751">
        <w:rPr>
          <w:vertAlign w:val="superscript"/>
        </w:rPr>
        <w:t>3</w:t>
      </w:r>
      <w:r w:rsidRPr="00234751">
        <w:t xml:space="preserve"> as a 24-hour</w:t>
      </w:r>
      <w:r>
        <w:t xml:space="preserve"> </w:t>
      </w:r>
      <w:r w:rsidRPr="00234751">
        <w:t>average</w:t>
      </w:r>
      <w:r>
        <w:t>,</w:t>
      </w:r>
      <w:r w:rsidRPr="00234751">
        <w:t xml:space="preserve"> with three permitted exceed</w:t>
      </w:r>
      <w:r>
        <w:t>a</w:t>
      </w:r>
      <w:r w:rsidRPr="00234751">
        <w:t>nces per year. Different countries have</w:t>
      </w:r>
      <w:r>
        <w:t xml:space="preserve"> </w:t>
      </w:r>
      <w:r w:rsidRPr="00234751">
        <w:t xml:space="preserve">adopted different standards; while many adopt the target </w:t>
      </w:r>
      <w:r w:rsidR="008F4580">
        <w:t xml:space="preserve">standard </w:t>
      </w:r>
      <w:r w:rsidRPr="00234751">
        <w:t>of 50</w:t>
      </w:r>
      <w:r>
        <w:t xml:space="preserve"> </w:t>
      </w:r>
      <w:r w:rsidRPr="00234751">
        <w:t>μg/m</w:t>
      </w:r>
      <w:r w:rsidRPr="00234751">
        <w:rPr>
          <w:vertAlign w:val="superscript"/>
        </w:rPr>
        <w:t>3</w:t>
      </w:r>
      <w:r w:rsidRPr="00234751">
        <w:t xml:space="preserve">, </w:t>
      </w:r>
      <w:r w:rsidR="0000738C">
        <w:t xml:space="preserve">the </w:t>
      </w:r>
      <w:r w:rsidR="008F4580">
        <w:t xml:space="preserve">number of </w:t>
      </w:r>
      <w:r w:rsidRPr="00234751">
        <w:t>permitted exceed</w:t>
      </w:r>
      <w:r>
        <w:t>a</w:t>
      </w:r>
      <w:r w:rsidRPr="00234751">
        <w:t>nces</w:t>
      </w:r>
      <w:r w:rsidR="008F4580">
        <w:t xml:space="preserve"> varies.</w:t>
      </w:r>
      <w:r w:rsidR="0000738C">
        <w:t xml:space="preserve"> </w:t>
      </w:r>
      <w:r w:rsidR="008F4580">
        <w:t>S</w:t>
      </w:r>
      <w:r w:rsidRPr="00234751">
        <w:t xml:space="preserve">ome </w:t>
      </w:r>
      <w:r w:rsidR="008F4580">
        <w:t xml:space="preserve">countries also </w:t>
      </w:r>
      <w:r w:rsidRPr="00234751">
        <w:t>provide for the exclusion of ‘exceptional</w:t>
      </w:r>
      <w:r>
        <w:t xml:space="preserve"> </w:t>
      </w:r>
      <w:r w:rsidRPr="00234751">
        <w:t xml:space="preserve">events’ </w:t>
      </w:r>
      <w:r w:rsidR="00BE7644">
        <w:t xml:space="preserve">(natural events outside the control of the regional council), </w:t>
      </w:r>
      <w:r w:rsidRPr="00234751">
        <w:t>from the count of exceed</w:t>
      </w:r>
      <w:r>
        <w:t>a</w:t>
      </w:r>
      <w:r w:rsidRPr="00234751">
        <w:t>nces. There was concern that the New Zealand</w:t>
      </w:r>
      <w:r>
        <w:t xml:space="preserve"> </w:t>
      </w:r>
      <w:r w:rsidRPr="00234751">
        <w:t>standard, allowing for only one exceed</w:t>
      </w:r>
      <w:r>
        <w:t>a</w:t>
      </w:r>
      <w:r w:rsidRPr="00234751">
        <w:t>nce and with no provision for ‘exceptional</w:t>
      </w:r>
      <w:r>
        <w:t xml:space="preserve"> </w:t>
      </w:r>
      <w:r w:rsidRPr="00234751">
        <w:t>events</w:t>
      </w:r>
      <w:r>
        <w:t>’</w:t>
      </w:r>
      <w:r w:rsidRPr="00234751">
        <w:t>, m</w:t>
      </w:r>
      <w:r>
        <w:t>ight</w:t>
      </w:r>
      <w:r w:rsidRPr="00234751">
        <w:t xml:space="preserve"> be too stringent.</w:t>
      </w:r>
    </w:p>
    <w:p w14:paraId="1AA80424" w14:textId="77777777" w:rsidR="006F4861" w:rsidRPr="00234751" w:rsidRDefault="006F4861" w:rsidP="006F4861">
      <w:pPr>
        <w:pStyle w:val="Heading4"/>
      </w:pPr>
      <w:r w:rsidRPr="00234751">
        <w:t xml:space="preserve">Equity of current </w:t>
      </w:r>
      <w:r w:rsidR="00D752E1" w:rsidRPr="00234751">
        <w:t>Regulations</w:t>
      </w:r>
    </w:p>
    <w:p w14:paraId="3AB39A0B" w14:textId="77777777" w:rsidR="006F4861" w:rsidRDefault="006F4861" w:rsidP="006F4861">
      <w:r w:rsidRPr="00234751">
        <w:t xml:space="preserve">The </w:t>
      </w:r>
      <w:r>
        <w:t xml:space="preserve">original </w:t>
      </w:r>
      <w:r w:rsidR="00D752E1" w:rsidRPr="00234751">
        <w:t xml:space="preserve">Regulations </w:t>
      </w:r>
      <w:r w:rsidRPr="00234751">
        <w:t>impose</w:t>
      </w:r>
      <w:r>
        <w:t>d</w:t>
      </w:r>
      <w:r w:rsidRPr="00234751">
        <w:t xml:space="preserve"> restrictions on the issuing of resource consents in breaching</w:t>
      </w:r>
      <w:r>
        <w:t xml:space="preserve"> </w:t>
      </w:r>
      <w:r w:rsidRPr="00234751">
        <w:t>airsheds, and the burden of these restrictions fall on industry, which require</w:t>
      </w:r>
      <w:r>
        <w:t xml:space="preserve"> </w:t>
      </w:r>
      <w:r w:rsidRPr="00234751">
        <w:t>consents. The problem is that domestic solid-fuel co</w:t>
      </w:r>
      <w:r w:rsidR="00D165F0">
        <w:t>mbustion</w:t>
      </w:r>
      <w:r w:rsidRPr="00234751">
        <w:t>, not industry, is the</w:t>
      </w:r>
      <w:r>
        <w:t xml:space="preserve"> </w:t>
      </w:r>
      <w:r w:rsidRPr="00234751">
        <w:t>primary source of PM</w:t>
      </w:r>
      <w:r w:rsidRPr="00234751">
        <w:rPr>
          <w:vertAlign w:val="subscript"/>
        </w:rPr>
        <w:t>10</w:t>
      </w:r>
      <w:r w:rsidRPr="00234751">
        <w:t xml:space="preserve"> pollution during winter. As a consequence, the </w:t>
      </w:r>
      <w:r w:rsidR="00D752E1" w:rsidRPr="00234751">
        <w:t>Regulations</w:t>
      </w:r>
      <w:r w:rsidR="00D752E1">
        <w:t xml:space="preserve"> </w:t>
      </w:r>
      <w:r>
        <w:t>we</w:t>
      </w:r>
      <w:r w:rsidRPr="00234751">
        <w:t>re not considered equitable.</w:t>
      </w:r>
    </w:p>
    <w:p w14:paraId="17295DFB" w14:textId="77777777" w:rsidR="006F4861" w:rsidRPr="00234751" w:rsidRDefault="006F4861" w:rsidP="006F4861">
      <w:pPr>
        <w:pStyle w:val="Heading4"/>
      </w:pPr>
      <w:r w:rsidRPr="00234751">
        <w:t>Compliance with the current standard by 2013</w:t>
      </w:r>
    </w:p>
    <w:p w14:paraId="290732B0" w14:textId="77777777" w:rsidR="006F4861" w:rsidRDefault="006F4861" w:rsidP="006F4861">
      <w:r w:rsidRPr="00234751">
        <w:t xml:space="preserve">In 2004, when the </w:t>
      </w:r>
      <w:r>
        <w:t xml:space="preserve">air quality </w:t>
      </w:r>
      <w:r w:rsidRPr="00234751">
        <w:t>standards were put in place, it was expected that all airsheds</w:t>
      </w:r>
      <w:r>
        <w:t xml:space="preserve"> </w:t>
      </w:r>
      <w:r w:rsidRPr="00234751">
        <w:t>would comply with the PM</w:t>
      </w:r>
      <w:r w:rsidRPr="00234751">
        <w:rPr>
          <w:vertAlign w:val="subscript"/>
        </w:rPr>
        <w:t>10</w:t>
      </w:r>
      <w:r w:rsidRPr="00234751">
        <w:t xml:space="preserve"> standard by 2013. However, </w:t>
      </w:r>
      <w:r>
        <w:t xml:space="preserve">by late 2009, </w:t>
      </w:r>
      <w:r w:rsidR="00D165F0">
        <w:t>the Ministry</w:t>
      </w:r>
      <w:r w:rsidRPr="00234751">
        <w:t xml:space="preserve"> estimated</w:t>
      </w:r>
      <w:r>
        <w:t xml:space="preserve"> </w:t>
      </w:r>
      <w:r w:rsidRPr="00234751">
        <w:t>that there w</w:t>
      </w:r>
      <w:r>
        <w:t>ould</w:t>
      </w:r>
      <w:r w:rsidRPr="00234751">
        <w:t xml:space="preserve"> be 15 airsheds which w</w:t>
      </w:r>
      <w:r>
        <w:t>ould</w:t>
      </w:r>
      <w:r w:rsidRPr="00234751">
        <w:t xml:space="preserve"> not comply </w:t>
      </w:r>
      <w:r>
        <w:t>in</w:t>
      </w:r>
      <w:r w:rsidRPr="00234751">
        <w:t xml:space="preserve"> time, including Auckland,</w:t>
      </w:r>
      <w:r>
        <w:t xml:space="preserve"> </w:t>
      </w:r>
      <w:r w:rsidRPr="00234751">
        <w:t>which represents nearly 30</w:t>
      </w:r>
      <w:r>
        <w:t xml:space="preserve"> per cent</w:t>
      </w:r>
      <w:r w:rsidRPr="00234751">
        <w:t xml:space="preserve"> of New Zealand’s population. There </w:t>
      </w:r>
      <w:r>
        <w:t>was</w:t>
      </w:r>
      <w:r w:rsidRPr="00234751">
        <w:t xml:space="preserve"> concern that</w:t>
      </w:r>
      <w:r>
        <w:t xml:space="preserve"> </w:t>
      </w:r>
      <w:r w:rsidRPr="00234751">
        <w:t xml:space="preserve">the 2013 deadline </w:t>
      </w:r>
      <w:r>
        <w:t>wa</w:t>
      </w:r>
      <w:r w:rsidRPr="00234751">
        <w:t>s unachievable.</w:t>
      </w:r>
    </w:p>
    <w:p w14:paraId="14304EE0" w14:textId="77777777" w:rsidR="006F4861" w:rsidRDefault="006F4861" w:rsidP="006F4861"/>
    <w:p w14:paraId="1C4E9F0D" w14:textId="77777777" w:rsidR="006F4861" w:rsidRPr="00234751" w:rsidRDefault="006F4861" w:rsidP="006F4861">
      <w:r w:rsidRPr="00234751">
        <w:t xml:space="preserve">In response, the air quality standards were amended in </w:t>
      </w:r>
      <w:r w:rsidR="006145F7">
        <w:t>June</w:t>
      </w:r>
      <w:r w:rsidRPr="00234751">
        <w:t xml:space="preserve"> 2011 with the main changes being:</w:t>
      </w:r>
    </w:p>
    <w:p w14:paraId="0F3867A1" w14:textId="77777777" w:rsidR="006F4861" w:rsidRPr="00234751" w:rsidRDefault="00D165F0" w:rsidP="00726A4C">
      <w:pPr>
        <w:pStyle w:val="Bullet"/>
        <w:numPr>
          <w:ilvl w:val="0"/>
          <w:numId w:val="17"/>
        </w:numPr>
      </w:pPr>
      <w:r>
        <w:t>extending</w:t>
      </w:r>
      <w:r w:rsidR="006F4861" w:rsidRPr="00234751">
        <w:t xml:space="preserve"> the target date for regional councils to meet the ambient PM</w:t>
      </w:r>
      <w:r w:rsidR="006F4861" w:rsidRPr="00234751">
        <w:rPr>
          <w:vertAlign w:val="subscript"/>
        </w:rPr>
        <w:t xml:space="preserve">10 </w:t>
      </w:r>
      <w:r w:rsidR="006F4861" w:rsidRPr="00234751">
        <w:t>standard. New split target dates are 1 September 2016 (airsheds</w:t>
      </w:r>
      <w:r w:rsidR="00C050B0">
        <w:t xml:space="preserve"> with between 1 and 10 exceedances of the ambient PM</w:t>
      </w:r>
      <w:r w:rsidR="00C050B0" w:rsidRPr="00C050B0">
        <w:rPr>
          <w:vertAlign w:val="subscript"/>
        </w:rPr>
        <w:t>10</w:t>
      </w:r>
      <w:r w:rsidR="00C050B0">
        <w:t xml:space="preserve"> standard</w:t>
      </w:r>
      <w:r w:rsidR="006F4861" w:rsidRPr="00234751">
        <w:t>) and 1 September 2020 (airsheds</w:t>
      </w:r>
      <w:r w:rsidR="00C050B0">
        <w:t xml:space="preserve"> with 10 or more exceedances of the ambient PM</w:t>
      </w:r>
      <w:r w:rsidR="00C050B0" w:rsidRPr="00C050B0">
        <w:rPr>
          <w:vertAlign w:val="subscript"/>
        </w:rPr>
        <w:t>10</w:t>
      </w:r>
      <w:r w:rsidR="00C050B0">
        <w:t xml:space="preserve"> standard</w:t>
      </w:r>
      <w:r w:rsidR="006F4861" w:rsidRPr="00234751">
        <w:t>)</w:t>
      </w:r>
    </w:p>
    <w:p w14:paraId="01EC3DEB" w14:textId="77777777" w:rsidR="006F4861" w:rsidRPr="00234751" w:rsidRDefault="00D165F0" w:rsidP="00726A4C">
      <w:pPr>
        <w:pStyle w:val="Bullet"/>
        <w:numPr>
          <w:ilvl w:val="0"/>
          <w:numId w:val="17"/>
        </w:numPr>
      </w:pPr>
      <w:r w:rsidRPr="00234751">
        <w:t xml:space="preserve">making </w:t>
      </w:r>
      <w:r w:rsidR="006F4861" w:rsidRPr="00234751">
        <w:t xml:space="preserve">provision for the exclusion of </w:t>
      </w:r>
      <w:r w:rsidR="005752A8">
        <w:t xml:space="preserve">exceedances caused by </w:t>
      </w:r>
      <w:r w:rsidR="006F4861" w:rsidRPr="00234751">
        <w:t>exceptional events (eg</w:t>
      </w:r>
      <w:r w:rsidR="006F4861">
        <w:t xml:space="preserve">, </w:t>
      </w:r>
      <w:r w:rsidR="006F4861" w:rsidRPr="00234751">
        <w:t>dust storms,</w:t>
      </w:r>
      <w:r w:rsidR="006F4861">
        <w:t xml:space="preserve"> </w:t>
      </w:r>
      <w:r w:rsidR="006F4861" w:rsidRPr="00234751">
        <w:t>volcanic eruptions)</w:t>
      </w:r>
    </w:p>
    <w:p w14:paraId="5F101D36" w14:textId="77777777" w:rsidR="006F4861" w:rsidRPr="00234751" w:rsidRDefault="00D165F0" w:rsidP="00726A4C">
      <w:pPr>
        <w:pStyle w:val="Bullet"/>
        <w:numPr>
          <w:ilvl w:val="0"/>
          <w:numId w:val="17"/>
        </w:numPr>
      </w:pPr>
      <w:r w:rsidRPr="00234751">
        <w:t xml:space="preserve">requiring </w:t>
      </w:r>
      <w:r w:rsidR="00857BCC">
        <w:t>‘</w:t>
      </w:r>
      <w:r w:rsidR="006F4861" w:rsidRPr="00234751">
        <w:t>offsets</w:t>
      </w:r>
      <w:r w:rsidR="00857BCC">
        <w:t>’</w:t>
      </w:r>
      <w:r w:rsidR="006F4861" w:rsidRPr="00234751">
        <w:t xml:space="preserve"> from </w:t>
      </w:r>
      <w:r w:rsidR="006F4861">
        <w:t xml:space="preserve">certain </w:t>
      </w:r>
      <w:r w:rsidR="006F4861" w:rsidRPr="00234751">
        <w:t>new industries with PM</w:t>
      </w:r>
      <w:r w:rsidR="006F4861" w:rsidRPr="00234751">
        <w:rPr>
          <w:vertAlign w:val="subscript"/>
        </w:rPr>
        <w:t>10</w:t>
      </w:r>
      <w:r w:rsidR="006F4861" w:rsidRPr="00234751">
        <w:t xml:space="preserve"> discharges in</w:t>
      </w:r>
      <w:r w:rsidR="006F4861">
        <w:t xml:space="preserve"> </w:t>
      </w:r>
      <w:r w:rsidR="00701ADA">
        <w:t>‘</w:t>
      </w:r>
      <w:r w:rsidR="006F4861" w:rsidRPr="00234751">
        <w:t>polluted</w:t>
      </w:r>
      <w:r w:rsidR="00701ADA">
        <w:t>’</w:t>
      </w:r>
      <w:r w:rsidR="006F4861" w:rsidRPr="00234751">
        <w:t xml:space="preserve"> airsheds from September 2012, replacing the current restrictions on</w:t>
      </w:r>
      <w:r w:rsidR="006F4861">
        <w:t xml:space="preserve"> </w:t>
      </w:r>
      <w:r w:rsidR="006F4861" w:rsidRPr="00234751">
        <w:t>industrial consents</w:t>
      </w:r>
    </w:p>
    <w:p w14:paraId="083D8D58" w14:textId="77777777" w:rsidR="006F4861" w:rsidRPr="00234751" w:rsidRDefault="00D165F0" w:rsidP="00726A4C">
      <w:pPr>
        <w:pStyle w:val="Bullet"/>
        <w:numPr>
          <w:ilvl w:val="0"/>
          <w:numId w:val="17"/>
        </w:numPr>
      </w:pPr>
      <w:r w:rsidRPr="00234751">
        <w:t xml:space="preserve">prohibiting </w:t>
      </w:r>
      <w:r w:rsidR="006F4861" w:rsidRPr="00234751">
        <w:t xml:space="preserve">new </w:t>
      </w:r>
      <w:r>
        <w:t xml:space="preserve">solid fuel-burning </w:t>
      </w:r>
      <w:r w:rsidR="006F4861" w:rsidRPr="00234751">
        <w:t>open fires in homes in polluted airsheds from September</w:t>
      </w:r>
      <w:r w:rsidR="006F4861">
        <w:t xml:space="preserve"> </w:t>
      </w:r>
      <w:r w:rsidR="006F4861" w:rsidRPr="00234751">
        <w:t>2012.</w:t>
      </w:r>
    </w:p>
    <w:p w14:paraId="3C642297" w14:textId="77777777" w:rsidR="006F4861" w:rsidRDefault="006F4861" w:rsidP="006F4861">
      <w:pPr>
        <w:rPr>
          <w:highlight w:val="yellow"/>
        </w:rPr>
      </w:pPr>
    </w:p>
    <w:p w14:paraId="688FC87B" w14:textId="77777777" w:rsidR="006F4861" w:rsidRPr="00834384" w:rsidRDefault="006F4861" w:rsidP="006F4861">
      <w:r w:rsidRPr="00834384">
        <w:t xml:space="preserve">In addition, the Regulations now allow for a rule, resource consent, or bylaw that is more stringent than these </w:t>
      </w:r>
      <w:r w:rsidR="00D752E1" w:rsidRPr="00834384">
        <w:t xml:space="preserve">Regulations </w:t>
      </w:r>
      <w:r w:rsidRPr="005A5A11">
        <w:t xml:space="preserve">to prevail over the </w:t>
      </w:r>
      <w:r w:rsidRPr="00D81492">
        <w:t>Regulations.</w:t>
      </w:r>
    </w:p>
    <w:p w14:paraId="6F0AF76A" w14:textId="77777777" w:rsidR="006F4861" w:rsidRPr="00210747" w:rsidRDefault="006F4861" w:rsidP="006F4861">
      <w:pPr>
        <w:pStyle w:val="Heading3"/>
      </w:pPr>
      <w:r>
        <w:t>1.2.4</w:t>
      </w:r>
      <w:r>
        <w:tab/>
      </w:r>
      <w:r w:rsidRPr="00210747">
        <w:t>What should the Regulations be referred to as?</w:t>
      </w:r>
    </w:p>
    <w:p w14:paraId="12C28A75" w14:textId="77777777" w:rsidR="006F4861" w:rsidRDefault="006F4861" w:rsidP="006F4861">
      <w:pPr>
        <w:pStyle w:val="BodyText"/>
      </w:pPr>
      <w:r w:rsidRPr="00210747">
        <w:t xml:space="preserve">The </w:t>
      </w:r>
      <w:r>
        <w:t>R</w:t>
      </w:r>
      <w:r w:rsidRPr="00210747">
        <w:t>egulations were originally gazetted in 2004 as the Resource Management (National Environmental Standards Relating to Certain Air Pollutants, Dioxins, and Other Toxics) Regulations 2004. The 2011 amendments have renamed these</w:t>
      </w:r>
      <w:r w:rsidR="004C1E2A">
        <w:t xml:space="preserve"> as </w:t>
      </w:r>
      <w:r w:rsidRPr="00210747">
        <w:t xml:space="preserve">the </w:t>
      </w:r>
      <w:r w:rsidRPr="00210747">
        <w:rPr>
          <w:b/>
        </w:rPr>
        <w:t>Resource Management (National Environmental Standards for Air Quality) Regulations 2004</w:t>
      </w:r>
      <w:r w:rsidRPr="00210747">
        <w:t xml:space="preserve">. </w:t>
      </w:r>
      <w:r w:rsidR="004C1E2A">
        <w:t>T</w:t>
      </w:r>
      <w:r>
        <w:t xml:space="preserve">he Regulations can also be referred to as the </w:t>
      </w:r>
      <w:r w:rsidRPr="003A7CAF">
        <w:rPr>
          <w:b/>
        </w:rPr>
        <w:t>national environmental standards for air quality</w:t>
      </w:r>
      <w:r>
        <w:t>.</w:t>
      </w:r>
    </w:p>
    <w:p w14:paraId="4C46622D" w14:textId="77777777" w:rsidR="00D165F0" w:rsidRDefault="00D165F0" w:rsidP="006F4861">
      <w:pPr>
        <w:pStyle w:val="BodyText"/>
      </w:pPr>
    </w:p>
    <w:p w14:paraId="4331309D" w14:textId="77777777" w:rsidR="00031514" w:rsidRDefault="00031514" w:rsidP="00031514">
      <w:r>
        <w:t xml:space="preserve">For a copy of the </w:t>
      </w:r>
      <w:r w:rsidR="009F5BBB">
        <w:t xml:space="preserve">consolidated </w:t>
      </w:r>
      <w:r>
        <w:t>Regulations as reprinted on 1 June 2011 (SR 2004/309) please refer to the New Zealand Legislation Website</w:t>
      </w:r>
      <w:r w:rsidR="00D165F0">
        <w:t>,</w:t>
      </w:r>
      <w:r>
        <w:t xml:space="preserve"> </w:t>
      </w:r>
      <w:hyperlink r:id="rId23" w:history="1">
        <w:r w:rsidR="009F5BBB" w:rsidRPr="00004991">
          <w:rPr>
            <w:rStyle w:val="Hyperlink"/>
          </w:rPr>
          <w:t>www.legislation.govt.nz</w:t>
        </w:r>
      </w:hyperlink>
      <w:r>
        <w:t>.</w:t>
      </w:r>
      <w:r w:rsidR="009F5BBB">
        <w:t xml:space="preserve"> Copies of the various amending regulations (13 January 2005 – SR 2004/433, 25 August 2005 – SR 2005/214, 6 November 2008 SR/375 and 1 June 2011 – SR 2011/103) can also be found here.</w:t>
      </w:r>
    </w:p>
    <w:p w14:paraId="5122CFD3" w14:textId="77777777" w:rsidR="006F4861" w:rsidRDefault="006F4861" w:rsidP="006F4861">
      <w:pPr>
        <w:pStyle w:val="Heading2"/>
      </w:pPr>
      <w:bookmarkStart w:id="8" w:name="_Toc298094999"/>
      <w:bookmarkStart w:id="9" w:name="_Toc300856584"/>
      <w:r w:rsidRPr="006C2CDE">
        <w:t>1.</w:t>
      </w:r>
      <w:r>
        <w:t>3</w:t>
      </w:r>
      <w:r w:rsidRPr="006C2CDE">
        <w:tab/>
      </w:r>
      <w:r>
        <w:t>What is covered by the Users’ Guide?</w:t>
      </w:r>
      <w:bookmarkEnd w:id="8"/>
      <w:bookmarkEnd w:id="9"/>
    </w:p>
    <w:p w14:paraId="3F8BB4DC" w14:textId="77777777" w:rsidR="006F4861" w:rsidRDefault="006F4861" w:rsidP="006F4861">
      <w:pPr>
        <w:pStyle w:val="BodyText"/>
      </w:pPr>
      <w:r w:rsidRPr="005109FB">
        <w:t xml:space="preserve">On 29 January 2011, the Minister for the Environment, Hon Dr Nick Smith, announced the outcomes of a review of the national </w:t>
      </w:r>
      <w:r>
        <w:t xml:space="preserve">air quality standards. In addition to a series of amendments to the </w:t>
      </w:r>
      <w:r w:rsidR="00D752E1">
        <w:t>Regulations</w:t>
      </w:r>
      <w:r>
        <w:t xml:space="preserve">, the Minister signalled in his Cabinet Paper that the regulatory changes would be supported by a suite of non-regulatory </w:t>
      </w:r>
      <w:r w:rsidRPr="00D165F0">
        <w:t>tools (</w:t>
      </w:r>
      <w:r w:rsidR="00D165F0" w:rsidRPr="00D165F0">
        <w:t>Minister for the Environment</w:t>
      </w:r>
      <w:r w:rsidR="006145F7" w:rsidRPr="00D165F0">
        <w:t xml:space="preserve">, </w:t>
      </w:r>
      <w:r w:rsidRPr="00D165F0">
        <w:t>2011) as</w:t>
      </w:r>
      <w:r>
        <w:t xml:space="preserve"> follows:</w:t>
      </w:r>
    </w:p>
    <w:p w14:paraId="6DA62247" w14:textId="77777777" w:rsidR="006F4861" w:rsidRDefault="006145F7" w:rsidP="00726A4C">
      <w:pPr>
        <w:pStyle w:val="Bullet"/>
        <w:numPr>
          <w:ilvl w:val="0"/>
          <w:numId w:val="17"/>
        </w:numPr>
      </w:pPr>
      <w:r>
        <w:t>p</w:t>
      </w:r>
      <w:r w:rsidR="006F4861">
        <w:t>reparation of a national compliance strategy</w:t>
      </w:r>
    </w:p>
    <w:p w14:paraId="197DED24" w14:textId="77777777" w:rsidR="006F4861" w:rsidRDefault="006145F7" w:rsidP="00726A4C">
      <w:pPr>
        <w:pStyle w:val="Bullet"/>
        <w:numPr>
          <w:ilvl w:val="0"/>
          <w:numId w:val="17"/>
        </w:numPr>
      </w:pPr>
      <w:r>
        <w:t xml:space="preserve">production </w:t>
      </w:r>
      <w:r w:rsidR="006F4861">
        <w:t>of additional best practice guidance on air quality management</w:t>
      </w:r>
    </w:p>
    <w:p w14:paraId="0EFF2E8F" w14:textId="77777777" w:rsidR="006F4861" w:rsidRDefault="006145F7" w:rsidP="00726A4C">
      <w:pPr>
        <w:pStyle w:val="Bullet"/>
        <w:numPr>
          <w:ilvl w:val="0"/>
          <w:numId w:val="17"/>
        </w:numPr>
      </w:pPr>
      <w:r>
        <w:t xml:space="preserve">future </w:t>
      </w:r>
      <w:r w:rsidR="006F4861">
        <w:t>revision of the national ambient air quality standards</w:t>
      </w:r>
      <w:r>
        <w:t>.</w:t>
      </w:r>
    </w:p>
    <w:p w14:paraId="6EA9EB6E" w14:textId="77777777" w:rsidR="006F4861" w:rsidRDefault="006F4861" w:rsidP="006F4861">
      <w:pPr>
        <w:pStyle w:val="BodyText"/>
      </w:pPr>
    </w:p>
    <w:p w14:paraId="07B9BFBE" w14:textId="77777777" w:rsidR="006F4861" w:rsidRDefault="006F4861" w:rsidP="006F4861">
      <w:pPr>
        <w:pStyle w:val="BodyText"/>
      </w:pPr>
      <w:r>
        <w:t>The original intent was for the national compliance strategy to include education on the health impacts of PM</w:t>
      </w:r>
      <w:r w:rsidRPr="00C60620">
        <w:rPr>
          <w:vertAlign w:val="subscript"/>
        </w:rPr>
        <w:t>10</w:t>
      </w:r>
      <w:r w:rsidRPr="00C60620">
        <w:t xml:space="preserve">, review </w:t>
      </w:r>
      <w:r>
        <w:t xml:space="preserve">existing </w:t>
      </w:r>
      <w:r w:rsidRPr="00C60620">
        <w:t>be</w:t>
      </w:r>
      <w:r>
        <w:t>s</w:t>
      </w:r>
      <w:r w:rsidRPr="00C60620">
        <w:t>t</w:t>
      </w:r>
      <w:r>
        <w:t xml:space="preserve"> practice guidance and replace the Users’ Guide prepared for the</w:t>
      </w:r>
      <w:r w:rsidR="00982C35">
        <w:t xml:space="preserve"> original</w:t>
      </w:r>
      <w:r>
        <w:t xml:space="preserve"> </w:t>
      </w:r>
      <w:r w:rsidR="00D752E1">
        <w:t>Regulations</w:t>
      </w:r>
      <w:r>
        <w:t>.</w:t>
      </w:r>
    </w:p>
    <w:p w14:paraId="7BFD9B56" w14:textId="77777777" w:rsidR="006F4861" w:rsidRDefault="006F4861" w:rsidP="006F4861">
      <w:pPr>
        <w:pStyle w:val="BodyText"/>
      </w:pPr>
    </w:p>
    <w:p w14:paraId="4B3D1EBD" w14:textId="77777777" w:rsidR="006F4861" w:rsidRDefault="006F4861" w:rsidP="006F4861">
      <w:pPr>
        <w:pStyle w:val="BodyText"/>
      </w:pPr>
      <w:r>
        <w:t xml:space="preserve">However, as part of preparing the </w:t>
      </w:r>
      <w:r w:rsidR="0076544A">
        <w:t>national compliance strategy</w:t>
      </w:r>
      <w:r>
        <w:t>, the 2011 Users’ Guide has been separated out to reflect the different content and the different intended audiences of the two documents as follows:</w:t>
      </w:r>
    </w:p>
    <w:p w14:paraId="02D1131A" w14:textId="77777777" w:rsidR="006F4861" w:rsidRPr="00A556FB" w:rsidRDefault="006145F7" w:rsidP="00726A4C">
      <w:pPr>
        <w:pStyle w:val="Bullet"/>
        <w:numPr>
          <w:ilvl w:val="0"/>
          <w:numId w:val="17"/>
        </w:numPr>
      </w:pPr>
      <w:r w:rsidRPr="00A556FB">
        <w:t xml:space="preserve">the </w:t>
      </w:r>
      <w:r w:rsidR="006F4861" w:rsidRPr="00A556FB">
        <w:rPr>
          <w:i/>
        </w:rPr>
        <w:t>Compliance Strategy</w:t>
      </w:r>
      <w:r w:rsidR="00705041">
        <w:rPr>
          <w:i/>
        </w:rPr>
        <w:t xml:space="preserve"> </w:t>
      </w:r>
      <w:r w:rsidR="00705041" w:rsidRPr="00705041">
        <w:t>(</w:t>
      </w:r>
      <w:r w:rsidR="00705041" w:rsidRPr="00982C35">
        <w:t>MfE, 2011</w:t>
      </w:r>
      <w:r w:rsidR="00982C35" w:rsidRPr="00982C35">
        <w:t>e</w:t>
      </w:r>
      <w:r w:rsidR="00705041" w:rsidRPr="00705041">
        <w:t>)</w:t>
      </w:r>
      <w:r w:rsidR="006F4861">
        <w:rPr>
          <w:i/>
        </w:rPr>
        <w:t xml:space="preserve"> </w:t>
      </w:r>
      <w:r w:rsidR="006F4861" w:rsidRPr="005558BC">
        <w:t xml:space="preserve">which </w:t>
      </w:r>
      <w:r w:rsidR="006F4861">
        <w:rPr>
          <w:iCs/>
        </w:rPr>
        <w:t xml:space="preserve">sets out the practices that regional councils should adopt to meet the </w:t>
      </w:r>
      <w:r w:rsidR="006F4861" w:rsidRPr="00A556FB">
        <w:t>ambient PM</w:t>
      </w:r>
      <w:r w:rsidR="006F4861" w:rsidRPr="00A556FB">
        <w:rPr>
          <w:vertAlign w:val="subscript"/>
        </w:rPr>
        <w:t>10</w:t>
      </w:r>
      <w:r w:rsidR="006F4861" w:rsidRPr="00A556FB">
        <w:t xml:space="preserve"> standard</w:t>
      </w:r>
      <w:r>
        <w:t xml:space="preserve"> suited to a wide audience</w:t>
      </w:r>
    </w:p>
    <w:p w14:paraId="29D68924" w14:textId="77777777" w:rsidR="006F4861" w:rsidRPr="00A556FB" w:rsidRDefault="006145F7" w:rsidP="00726A4C">
      <w:pPr>
        <w:pStyle w:val="Bullet"/>
        <w:numPr>
          <w:ilvl w:val="0"/>
          <w:numId w:val="17"/>
        </w:numPr>
      </w:pPr>
      <w:r w:rsidRPr="00A556FB">
        <w:t xml:space="preserve">a </w:t>
      </w:r>
      <w:r w:rsidR="006F4861">
        <w:rPr>
          <w:i/>
        </w:rPr>
        <w:t>2011 U</w:t>
      </w:r>
      <w:r w:rsidR="006F4861" w:rsidRPr="00A556FB">
        <w:rPr>
          <w:i/>
        </w:rPr>
        <w:t>sers’ Guide</w:t>
      </w:r>
      <w:r w:rsidR="006F4861" w:rsidRPr="005558BC">
        <w:t xml:space="preserve"> </w:t>
      </w:r>
      <w:r>
        <w:t xml:space="preserve">(this document) </w:t>
      </w:r>
      <w:r w:rsidR="006F4861" w:rsidRPr="005558BC">
        <w:t xml:space="preserve">which </w:t>
      </w:r>
      <w:r w:rsidR="006F4861" w:rsidRPr="00A556FB">
        <w:t>provide</w:t>
      </w:r>
      <w:r w:rsidR="006F4861">
        <w:t>s</w:t>
      </w:r>
      <w:r w:rsidR="006F4861" w:rsidRPr="00A556FB">
        <w:t xml:space="preserve"> a ‘plain English’ description o</w:t>
      </w:r>
      <w:r w:rsidR="006F4861">
        <w:t xml:space="preserve">f how best to implement the </w:t>
      </w:r>
      <w:r w:rsidR="006F4861" w:rsidRPr="00A556FB">
        <w:t xml:space="preserve">air quality </w:t>
      </w:r>
      <w:r w:rsidR="00D752E1" w:rsidRPr="00A556FB">
        <w:t xml:space="preserve">regulations </w:t>
      </w:r>
      <w:r w:rsidR="006F4861" w:rsidRPr="00A556FB">
        <w:t>in their entirety</w:t>
      </w:r>
      <w:r w:rsidR="006F4861">
        <w:t xml:space="preserve"> suited to a more technical audience.</w:t>
      </w:r>
    </w:p>
    <w:p w14:paraId="2657E281" w14:textId="77777777" w:rsidR="006F4861" w:rsidRDefault="006F4861" w:rsidP="006F4861">
      <w:pPr>
        <w:pStyle w:val="BodyText"/>
      </w:pPr>
    </w:p>
    <w:p w14:paraId="149930BA" w14:textId="77777777" w:rsidR="006F4861" w:rsidRDefault="006F4861" w:rsidP="006F4861">
      <w:pPr>
        <w:pStyle w:val="BodyText"/>
      </w:pPr>
      <w:r>
        <w:t>The two documents differ in the contaminants and the breadth of legislation and non-statutory tools they cover.</w:t>
      </w:r>
    </w:p>
    <w:p w14:paraId="53EF1C72" w14:textId="77777777" w:rsidR="006F4861" w:rsidRDefault="006F4861" w:rsidP="006F4861">
      <w:pPr>
        <w:pStyle w:val="BodyText"/>
      </w:pPr>
    </w:p>
    <w:p w14:paraId="17232931" w14:textId="77777777" w:rsidR="006F4861" w:rsidRDefault="006F4861" w:rsidP="006F4861">
      <w:pPr>
        <w:pStyle w:val="BodyText"/>
      </w:pPr>
      <w:r w:rsidRPr="00921F7E">
        <w:t>Th</w:t>
      </w:r>
      <w:r>
        <w:t>e</w:t>
      </w:r>
      <w:r w:rsidRPr="00921F7E">
        <w:t xml:space="preserve"> Compliance Strategy </w:t>
      </w:r>
      <w:r>
        <w:t xml:space="preserve">promotes a </w:t>
      </w:r>
      <w:r w:rsidRPr="00B8270E">
        <w:t xml:space="preserve">toolkit of “compliance activities”, ranging from education through to action, to </w:t>
      </w:r>
      <w:r>
        <w:rPr>
          <w:b/>
        </w:rPr>
        <w:t xml:space="preserve">ensure New Zealand </w:t>
      </w:r>
      <w:r w:rsidRPr="00B507D0">
        <w:rPr>
          <w:b/>
        </w:rPr>
        <w:t>meet</w:t>
      </w:r>
      <w:r>
        <w:rPr>
          <w:b/>
        </w:rPr>
        <w:t>s</w:t>
      </w:r>
      <w:r w:rsidRPr="00B507D0">
        <w:rPr>
          <w:b/>
        </w:rPr>
        <w:t xml:space="preserve"> the ambient PM</w:t>
      </w:r>
      <w:r w:rsidRPr="00B507D0">
        <w:rPr>
          <w:b/>
          <w:vertAlign w:val="subscript"/>
        </w:rPr>
        <w:t>10</w:t>
      </w:r>
      <w:r w:rsidRPr="00B507D0">
        <w:rPr>
          <w:b/>
        </w:rPr>
        <w:t xml:space="preserve"> 24-hour standard</w:t>
      </w:r>
      <w:r w:rsidR="006145F7">
        <w:t>.</w:t>
      </w:r>
      <w:r>
        <w:t xml:space="preserve"> The ambient PM</w:t>
      </w:r>
      <w:r w:rsidRPr="00B507D0">
        <w:rPr>
          <w:vertAlign w:val="subscript"/>
        </w:rPr>
        <w:t>10</w:t>
      </w:r>
      <w:r>
        <w:t xml:space="preserve"> 24-hour standard is only one </w:t>
      </w:r>
      <w:r w:rsidRPr="00A556FB">
        <w:t xml:space="preserve">of many standards covered in the </w:t>
      </w:r>
      <w:r>
        <w:t>R</w:t>
      </w:r>
      <w:r w:rsidRPr="00A556FB">
        <w:t>egulations. However, the gen</w:t>
      </w:r>
      <w:r w:rsidR="006145F7">
        <w:t>eric principles outlined in the</w:t>
      </w:r>
      <w:r w:rsidRPr="00A556FB">
        <w:t xml:space="preserve"> Strategy could easily be applied to achieving compliance with standards for other time periods or other contaminants</w:t>
      </w:r>
      <w:r>
        <w:t xml:space="preserve"> in future. Some of the mandatory requirements which assist compliance are from the Regulations whilst others are from the RMA and other Government legislation, eg, Vehicle Exhaust Emissions Rule.</w:t>
      </w:r>
    </w:p>
    <w:p w14:paraId="3AF0063B" w14:textId="77777777" w:rsidR="006F4861" w:rsidRDefault="006F4861" w:rsidP="006F4861">
      <w:pPr>
        <w:pStyle w:val="BodyText"/>
      </w:pPr>
    </w:p>
    <w:p w14:paraId="252BDF93" w14:textId="77777777" w:rsidR="006F4861" w:rsidRDefault="006F4861" w:rsidP="006F4861">
      <w:pPr>
        <w:pStyle w:val="BodyText"/>
      </w:pPr>
      <w:r>
        <w:t xml:space="preserve">By comparison, the </w:t>
      </w:r>
      <w:r w:rsidR="004C1281">
        <w:t xml:space="preserve">2011 </w:t>
      </w:r>
      <w:r>
        <w:t xml:space="preserve">Users’ Guide </w:t>
      </w:r>
      <w:r w:rsidRPr="005A5A11">
        <w:rPr>
          <w:b/>
        </w:rPr>
        <w:t>focuses on the Regulations only but in their entirety</w:t>
      </w:r>
      <w:r>
        <w:t xml:space="preserve"> so therefore includes contaminants other than PM</w:t>
      </w:r>
      <w:r w:rsidRPr="00834384">
        <w:rPr>
          <w:vertAlign w:val="subscript"/>
        </w:rPr>
        <w:t>10</w:t>
      </w:r>
      <w:r>
        <w:t xml:space="preserve">. The </w:t>
      </w:r>
      <w:r w:rsidR="004C1281">
        <w:t xml:space="preserve">2011 </w:t>
      </w:r>
      <w:r>
        <w:t>Users’ Guide includes g</w:t>
      </w:r>
      <w:r w:rsidRPr="00A556FB">
        <w:t>uidance on prohibited activity standards relating to emissions of toxic air contaminants, control of greenhouse gas emission at landfills and other ambient air quality standards</w:t>
      </w:r>
      <w:r>
        <w:t>. It outlines how t</w:t>
      </w:r>
      <w:r w:rsidRPr="00A556FB">
        <w:t xml:space="preserve">o implement the </w:t>
      </w:r>
      <w:r>
        <w:t xml:space="preserve">amended </w:t>
      </w:r>
      <w:r w:rsidR="00D752E1">
        <w:t>Regulations</w:t>
      </w:r>
      <w:r w:rsidR="00D752E1" w:rsidRPr="00A556FB">
        <w:t xml:space="preserve"> </w:t>
      </w:r>
      <w:r w:rsidRPr="00A556FB">
        <w:t>rather than how to achieve compliance</w:t>
      </w:r>
      <w:r>
        <w:t xml:space="preserve">. It </w:t>
      </w:r>
      <w:r w:rsidRPr="00A556FB">
        <w:t>is a critical ‘companion’ document to the Strategy.</w:t>
      </w:r>
    </w:p>
    <w:p w14:paraId="1F2CD196" w14:textId="77777777" w:rsidR="004C1E2A" w:rsidRDefault="004C1E2A" w:rsidP="006F4861">
      <w:pPr>
        <w:pStyle w:val="BodyText"/>
      </w:pPr>
    </w:p>
    <w:p w14:paraId="15713066" w14:textId="77777777" w:rsidR="00705041" w:rsidRDefault="00982C35" w:rsidP="006F4861">
      <w:pPr>
        <w:pStyle w:val="BodyText"/>
      </w:pPr>
      <w:r>
        <w:t>A facts</w:t>
      </w:r>
      <w:r w:rsidR="00705041">
        <w:t>heet</w:t>
      </w:r>
      <w:r w:rsidR="00705041" w:rsidRPr="00705041">
        <w:t xml:space="preserve"> </w:t>
      </w:r>
      <w:r w:rsidR="00705041" w:rsidRPr="00982C35">
        <w:t>- Health Effects from PM</w:t>
      </w:r>
      <w:r w:rsidR="00705041" w:rsidRPr="00982C35">
        <w:rPr>
          <w:vertAlign w:val="subscript"/>
        </w:rPr>
        <w:t>10</w:t>
      </w:r>
      <w:r w:rsidR="00705041" w:rsidRPr="00982C35">
        <w:t xml:space="preserve"> Air Pollution (MfE, 2011</w:t>
      </w:r>
      <w:r w:rsidRPr="00982C35">
        <w:t>d</w:t>
      </w:r>
      <w:r w:rsidR="00705041">
        <w:t>) detailing the health effects of PM</w:t>
      </w:r>
      <w:r w:rsidR="00705041" w:rsidRPr="00705041">
        <w:rPr>
          <w:vertAlign w:val="subscript"/>
        </w:rPr>
        <w:t>10</w:t>
      </w:r>
      <w:r w:rsidR="00705041">
        <w:t xml:space="preserve"> has also been produced as part of the Complianc</w:t>
      </w:r>
      <w:r w:rsidR="00A934A8">
        <w:t xml:space="preserve">e Strategy. </w:t>
      </w:r>
      <w:r>
        <w:t>This fact</w:t>
      </w:r>
      <w:r w:rsidR="00705041">
        <w:t xml:space="preserve">sheet </w:t>
      </w:r>
      <w:r w:rsidR="00F56A50">
        <w:t>can be used</w:t>
      </w:r>
      <w:r w:rsidR="00705041">
        <w:t xml:space="preserve"> to help educate people on the importance of complying with the ambient PM</w:t>
      </w:r>
      <w:r w:rsidR="00705041" w:rsidRPr="00705041">
        <w:rPr>
          <w:vertAlign w:val="subscript"/>
        </w:rPr>
        <w:t>10</w:t>
      </w:r>
      <w:r w:rsidR="00705041">
        <w:t xml:space="preserve"> standard to ensure </w:t>
      </w:r>
      <w:r w:rsidR="00006C58">
        <w:t>the health of New Zealanders.</w:t>
      </w:r>
    </w:p>
    <w:p w14:paraId="325A88C8" w14:textId="77777777" w:rsidR="006F4861" w:rsidRPr="00556664" w:rsidRDefault="006F4861" w:rsidP="006F4861">
      <w:pPr>
        <w:pStyle w:val="Heading2"/>
      </w:pPr>
      <w:bookmarkStart w:id="10" w:name="_Toc298095000"/>
      <w:bookmarkStart w:id="11" w:name="_Toc300856585"/>
      <w:r>
        <w:t>1</w:t>
      </w:r>
      <w:r w:rsidRPr="00556664">
        <w:t>.</w:t>
      </w:r>
      <w:r>
        <w:t>4</w:t>
      </w:r>
      <w:r w:rsidRPr="00556664">
        <w:tab/>
      </w:r>
      <w:r>
        <w:t>Who is the intended a</w:t>
      </w:r>
      <w:r w:rsidRPr="00556664">
        <w:t>udience</w:t>
      </w:r>
      <w:r>
        <w:t>?</w:t>
      </w:r>
      <w:bookmarkEnd w:id="10"/>
      <w:bookmarkEnd w:id="11"/>
    </w:p>
    <w:p w14:paraId="563E1E52" w14:textId="77777777" w:rsidR="006F4861" w:rsidRDefault="006F4861" w:rsidP="006F4861">
      <w:r>
        <w:t xml:space="preserve">This </w:t>
      </w:r>
      <w:r w:rsidR="004C1281">
        <w:t xml:space="preserve">2011 </w:t>
      </w:r>
      <w:r>
        <w:t>Users’ Guide is aimed at practitioners implementing the national environme</w:t>
      </w:r>
      <w:r w:rsidR="00A934A8">
        <w:t>ntal standards for air quality.</w:t>
      </w:r>
      <w:r>
        <w:t xml:space="preserve"> Principally this is regional council officers and their elected representatives as they are responsible for implementing the national environmental standards.  However, it will be of interest to other stakeholders such as planners and resource managers, air quality consultants, lawyers and </w:t>
      </w:r>
      <w:r w:rsidR="00614600">
        <w:t xml:space="preserve">representatives of </w:t>
      </w:r>
      <w:r w:rsidR="00A934A8">
        <w:t>industry and business.</w:t>
      </w:r>
    </w:p>
    <w:p w14:paraId="281E1C70" w14:textId="77777777" w:rsidR="006F4861" w:rsidRDefault="006F4861" w:rsidP="006F4861"/>
    <w:p w14:paraId="2635B6B4" w14:textId="77777777" w:rsidR="006F4861" w:rsidRDefault="006F4861" w:rsidP="006F4861">
      <w:r>
        <w:t>It is a technical document and is aimed at air quality specialists. Although some sections may be useful to the general public, hearing commissioners and specialists in areas other than air, the document has not been prepared with this audience in mind.</w:t>
      </w:r>
    </w:p>
    <w:p w14:paraId="75AECBD6" w14:textId="77777777" w:rsidR="006F4861" w:rsidRDefault="006F4861" w:rsidP="006F4861"/>
    <w:p w14:paraId="4DCED6A3" w14:textId="77777777" w:rsidR="006F4861" w:rsidRDefault="006F4861" w:rsidP="006F4861">
      <w:r w:rsidRPr="00556664">
        <w:t xml:space="preserve">As noted above, </w:t>
      </w:r>
      <w:r>
        <w:t xml:space="preserve">the </w:t>
      </w:r>
      <w:r w:rsidR="004C1281">
        <w:t xml:space="preserve">2011 </w:t>
      </w:r>
      <w:r>
        <w:t>Users’ Guide</w:t>
      </w:r>
      <w:r w:rsidRPr="00556664">
        <w:t xml:space="preserve"> is designed to provide assistance, advice and sources of information with the aim of </w:t>
      </w:r>
      <w:r>
        <w:t>implementing</w:t>
      </w:r>
      <w:r w:rsidRPr="00556664">
        <w:t xml:space="preserve"> the </w:t>
      </w:r>
      <w:r w:rsidR="00982C35">
        <w:t>Regulations</w:t>
      </w:r>
      <w:r w:rsidRPr="00556664">
        <w:t xml:space="preserve"> </w:t>
      </w:r>
      <w:r>
        <w:t>in a</w:t>
      </w:r>
      <w:r w:rsidRPr="00556664">
        <w:t xml:space="preserve"> streamlined and consistent </w:t>
      </w:r>
      <w:r>
        <w:t xml:space="preserve">manner </w:t>
      </w:r>
      <w:r w:rsidRPr="00556664">
        <w:t>around the country. It is not binding, and in some cases the level of detail required will go beyond what has been covered here.</w:t>
      </w:r>
      <w:r w:rsidRPr="00B229D4">
        <w:t xml:space="preserve"> </w:t>
      </w:r>
    </w:p>
    <w:p w14:paraId="130D1BD6" w14:textId="77777777" w:rsidR="006F4861" w:rsidRDefault="006F4861" w:rsidP="006F4861"/>
    <w:p w14:paraId="78F19471" w14:textId="77777777" w:rsidR="006F4861" w:rsidRPr="00556664" w:rsidRDefault="006F4861" w:rsidP="006F4861">
      <w:r>
        <w:t xml:space="preserve">To help prioritise regional council resources, the </w:t>
      </w:r>
      <w:r w:rsidR="00705041">
        <w:t xml:space="preserve">2011 </w:t>
      </w:r>
      <w:r>
        <w:t xml:space="preserve">Users’ Guide contains information on what local government </w:t>
      </w:r>
      <w:r w:rsidR="00982C35" w:rsidRPr="00982C35">
        <w:rPr>
          <w:b/>
        </w:rPr>
        <w:t>must</w:t>
      </w:r>
      <w:r>
        <w:t xml:space="preserve"> do to comply with the </w:t>
      </w:r>
      <w:r w:rsidR="00D752E1">
        <w:t>Regulations</w:t>
      </w:r>
      <w:r>
        <w:t xml:space="preserve">, as well as what they </w:t>
      </w:r>
      <w:r w:rsidR="00DB143B">
        <w:rPr>
          <w:b/>
        </w:rPr>
        <w:t>c</w:t>
      </w:r>
      <w:r w:rsidR="00DB143B" w:rsidRPr="00982C35">
        <w:rPr>
          <w:b/>
        </w:rPr>
        <w:t>ould</w:t>
      </w:r>
      <w:r w:rsidR="00DB143B">
        <w:t xml:space="preserve"> </w:t>
      </w:r>
      <w:r>
        <w:t xml:space="preserve">do in order to achieve best practice management of air quality. </w:t>
      </w:r>
      <w:r w:rsidR="00494CC2">
        <w:t xml:space="preserve">The language in the guide is intended to make this </w:t>
      </w:r>
      <w:r w:rsidR="004C1E2A">
        <w:t xml:space="preserve">distinction </w:t>
      </w:r>
      <w:r w:rsidR="00494CC2">
        <w:t>clear</w:t>
      </w:r>
      <w:r w:rsidR="004C1E2A">
        <w:t>.</w:t>
      </w:r>
    </w:p>
    <w:p w14:paraId="66D899A0" w14:textId="77777777" w:rsidR="001017F1" w:rsidRDefault="001017F1" w:rsidP="006F4861">
      <w:pPr>
        <w:pStyle w:val="BodyText"/>
      </w:pPr>
    </w:p>
    <w:p w14:paraId="1E8A8298" w14:textId="77777777" w:rsidR="006F4861" w:rsidRDefault="006F4861" w:rsidP="006F4861">
      <w:pPr>
        <w:pStyle w:val="BodyText"/>
        <w:rPr>
          <w:rStyle w:val="Hyperlink"/>
          <w:color w:val="auto"/>
        </w:rPr>
      </w:pPr>
      <w:r w:rsidRPr="000B5468">
        <w:t xml:space="preserve">If you require further assistance or have questions regarding the </w:t>
      </w:r>
      <w:r w:rsidR="00982C35">
        <w:t>Regulations</w:t>
      </w:r>
      <w:r w:rsidRPr="000B5468">
        <w:t xml:space="preserve">, the </w:t>
      </w:r>
      <w:r w:rsidRPr="00705041">
        <w:t>Compliance Strategy</w:t>
      </w:r>
      <w:r w:rsidRPr="000B5468">
        <w:rPr>
          <w:i/>
        </w:rPr>
        <w:t xml:space="preserve"> </w:t>
      </w:r>
      <w:r w:rsidRPr="000B5468">
        <w:t xml:space="preserve">or this </w:t>
      </w:r>
      <w:r w:rsidR="00705041">
        <w:t xml:space="preserve">2011 </w:t>
      </w:r>
      <w:r w:rsidRPr="000B5468">
        <w:t>User</w:t>
      </w:r>
      <w:r>
        <w:t>s’</w:t>
      </w:r>
      <w:r w:rsidRPr="000B5468">
        <w:t xml:space="preserve"> Guide</w:t>
      </w:r>
      <w:r w:rsidR="00982C35">
        <w:t>,</w:t>
      </w:r>
      <w:r w:rsidRPr="000B5468">
        <w:t xml:space="preserve"> please </w:t>
      </w:r>
      <w:r>
        <w:t xml:space="preserve">email hotline on </w:t>
      </w:r>
      <w:hyperlink r:id="rId24" w:history="1">
        <w:r w:rsidR="006B2F3A" w:rsidRPr="00056146">
          <w:rPr>
            <w:rStyle w:val="Hyperlink"/>
          </w:rPr>
          <w:t>info@mfe.govt.nz</w:t>
        </w:r>
      </w:hyperlink>
      <w:r>
        <w:rPr>
          <w:rStyle w:val="Hyperlink"/>
          <w:color w:val="auto"/>
        </w:rPr>
        <w:t>.</w:t>
      </w:r>
    </w:p>
    <w:p w14:paraId="42C0B12C" w14:textId="77777777" w:rsidR="00006C58" w:rsidRDefault="00006C58" w:rsidP="006F4861">
      <w:pPr>
        <w:pStyle w:val="BodyText"/>
      </w:pPr>
    </w:p>
    <w:p w14:paraId="7559C869" w14:textId="77777777" w:rsidR="006F4861" w:rsidRPr="008D7DBF" w:rsidRDefault="006F4861" w:rsidP="006F4861">
      <w:pPr>
        <w:pStyle w:val="Heading2"/>
      </w:pPr>
      <w:bookmarkStart w:id="12" w:name="_Toc298095001"/>
      <w:bookmarkStart w:id="13" w:name="_Toc300856586"/>
      <w:r>
        <w:t>1.5</w:t>
      </w:r>
      <w:r w:rsidRPr="008D7DBF">
        <w:tab/>
        <w:t xml:space="preserve">How </w:t>
      </w:r>
      <w:r>
        <w:t xml:space="preserve">does </w:t>
      </w:r>
      <w:r w:rsidRPr="008D7DBF">
        <w:t>the Users’ Guide fit with other documents</w:t>
      </w:r>
      <w:r>
        <w:t>?</w:t>
      </w:r>
      <w:bookmarkEnd w:id="12"/>
      <w:bookmarkEnd w:id="13"/>
    </w:p>
    <w:p w14:paraId="106A65C6" w14:textId="77777777" w:rsidR="006F4861" w:rsidRDefault="006F4861" w:rsidP="006F4861">
      <w:pPr>
        <w:pStyle w:val="BodyText"/>
      </w:pPr>
      <w:r w:rsidRPr="00A556FB">
        <w:t xml:space="preserve">The </w:t>
      </w:r>
      <w:r>
        <w:t>2011 Users’</w:t>
      </w:r>
      <w:r w:rsidRPr="00A556FB">
        <w:t xml:space="preserve"> </w:t>
      </w:r>
      <w:r>
        <w:t xml:space="preserve">Guide </w:t>
      </w:r>
      <w:r w:rsidRPr="00A556FB">
        <w:t>fits in</w:t>
      </w:r>
      <w:r>
        <w:t>to</w:t>
      </w:r>
      <w:r w:rsidRPr="00A556FB">
        <w:t xml:space="preserve"> a framework of legal and guidance documents for managing air quality in New Zealand</w:t>
      </w:r>
      <w:r>
        <w:t xml:space="preserve">, as </w:t>
      </w:r>
      <w:r w:rsidRPr="00A556FB">
        <w:t xml:space="preserve">shown in </w:t>
      </w:r>
      <w:r>
        <w:t>f</w:t>
      </w:r>
      <w:r w:rsidRPr="00A556FB">
        <w:t xml:space="preserve">igure </w:t>
      </w:r>
      <w:r>
        <w:t>1</w:t>
      </w:r>
      <w:r w:rsidRPr="00A556FB">
        <w:t>.</w:t>
      </w:r>
    </w:p>
    <w:p w14:paraId="5CCF19B2" w14:textId="77777777" w:rsidR="006F4861" w:rsidRDefault="006F4861" w:rsidP="006F4861">
      <w:pPr>
        <w:pStyle w:val="BodyText"/>
      </w:pPr>
    </w:p>
    <w:p w14:paraId="1019A76C" w14:textId="77777777" w:rsidR="006F4861" w:rsidRDefault="006F4861" w:rsidP="006F4861">
      <w:r>
        <w:t xml:space="preserve">It should be noted that practitioners implementing the Regulations </w:t>
      </w:r>
      <w:r w:rsidR="00031514">
        <w:t>may</w:t>
      </w:r>
      <w:r>
        <w:t xml:space="preserve"> need copies of the following standards as these are referenced in the Regulations</w:t>
      </w:r>
      <w:r w:rsidR="00031514">
        <w:t xml:space="preserve"> or in this </w:t>
      </w:r>
      <w:r w:rsidR="004C1281">
        <w:t xml:space="preserve">2011 </w:t>
      </w:r>
      <w:r w:rsidR="00031514">
        <w:t>Users’ Guide</w:t>
      </w:r>
      <w:r>
        <w:t>:</w:t>
      </w:r>
    </w:p>
    <w:p w14:paraId="433880F9" w14:textId="77777777" w:rsidR="00031514" w:rsidRPr="00031514" w:rsidRDefault="00031514" w:rsidP="00152DF6">
      <w:pPr>
        <w:pStyle w:val="Bullet"/>
        <w:numPr>
          <w:ilvl w:val="0"/>
          <w:numId w:val="7"/>
        </w:numPr>
        <w:ind w:left="360"/>
      </w:pPr>
      <w:r w:rsidRPr="00031514">
        <w:t>AS/NZS</w:t>
      </w:r>
      <w:r w:rsidR="00627DB4">
        <w:rPr>
          <w:rStyle w:val="FootnoteReference"/>
        </w:rPr>
        <w:footnoteReference w:id="2"/>
      </w:r>
      <w:r w:rsidRPr="00031514">
        <w:t xml:space="preserve"> 4013:1999, Domestic </w:t>
      </w:r>
      <w:r>
        <w:t xml:space="preserve">solid fuel burning appliances - </w:t>
      </w:r>
      <w:r w:rsidRPr="00031514">
        <w:t>Method for determination of flue gas emissions</w:t>
      </w:r>
    </w:p>
    <w:p w14:paraId="69B8A6C6" w14:textId="77777777" w:rsidR="00031514" w:rsidRPr="00031514" w:rsidRDefault="00031514" w:rsidP="00152DF6">
      <w:pPr>
        <w:pStyle w:val="Bullet"/>
        <w:numPr>
          <w:ilvl w:val="0"/>
          <w:numId w:val="7"/>
        </w:numPr>
        <w:ind w:left="360"/>
      </w:pPr>
      <w:r w:rsidRPr="00031514">
        <w:t xml:space="preserve">AS/NZS 4012:1999, Domestic </w:t>
      </w:r>
      <w:r>
        <w:t xml:space="preserve">solid fuel burning appliances - </w:t>
      </w:r>
      <w:r w:rsidRPr="00031514">
        <w:t>Method for determination of power output and efficiency</w:t>
      </w:r>
    </w:p>
    <w:p w14:paraId="6BE2DD5B" w14:textId="77777777" w:rsidR="00031514" w:rsidRPr="00031514" w:rsidRDefault="00031514" w:rsidP="00152DF6">
      <w:pPr>
        <w:pStyle w:val="Bullet"/>
        <w:numPr>
          <w:ilvl w:val="0"/>
          <w:numId w:val="7"/>
        </w:numPr>
        <w:ind w:left="360"/>
      </w:pPr>
      <w:r w:rsidRPr="00031514">
        <w:t>AS</w:t>
      </w:r>
      <w:r w:rsidR="00627DB4">
        <w:rPr>
          <w:rStyle w:val="FootnoteReference"/>
        </w:rPr>
        <w:footnoteReference w:id="3"/>
      </w:r>
      <w:r w:rsidRPr="00031514">
        <w:t xml:space="preserve"> 3580.7.1:1992, Methods for sampling and analysis of ambient air</w:t>
      </w:r>
      <w:r>
        <w:t xml:space="preserve"> </w:t>
      </w:r>
      <w:r w:rsidRPr="00031514">
        <w:t>-</w:t>
      </w:r>
      <w:r>
        <w:t xml:space="preserve"> </w:t>
      </w:r>
      <w:r w:rsidRPr="00031514">
        <w:t>De</w:t>
      </w:r>
      <w:r>
        <w:t xml:space="preserve">termination of carbon monoxide - </w:t>
      </w:r>
      <w:r w:rsidRPr="00031514">
        <w:t>Direct-reading instrumental method</w:t>
      </w:r>
    </w:p>
    <w:p w14:paraId="7952EDAE" w14:textId="77777777" w:rsidR="00031514" w:rsidRPr="00031514" w:rsidRDefault="00031514" w:rsidP="00152DF6">
      <w:pPr>
        <w:pStyle w:val="Bullet"/>
        <w:numPr>
          <w:ilvl w:val="0"/>
          <w:numId w:val="7"/>
        </w:numPr>
        <w:ind w:left="360"/>
      </w:pPr>
      <w:r w:rsidRPr="00031514">
        <w:t>AS 3580.5.1:1993, Methods for sampling and analysis of ambient air</w:t>
      </w:r>
      <w:r>
        <w:t xml:space="preserve"> - </w:t>
      </w:r>
      <w:r w:rsidRPr="00031514">
        <w:t>Determ</w:t>
      </w:r>
      <w:r>
        <w:t xml:space="preserve">ination of oxides of nitrogen - </w:t>
      </w:r>
      <w:r w:rsidRPr="00031514">
        <w:t>Chemiluminescence method</w:t>
      </w:r>
    </w:p>
    <w:p w14:paraId="7D7535B3" w14:textId="77777777" w:rsidR="00031514" w:rsidRPr="00031514" w:rsidRDefault="00031514" w:rsidP="00152DF6">
      <w:pPr>
        <w:pStyle w:val="Bullet"/>
        <w:numPr>
          <w:ilvl w:val="0"/>
          <w:numId w:val="7"/>
        </w:numPr>
        <w:ind w:left="360"/>
      </w:pPr>
      <w:r w:rsidRPr="00031514">
        <w:t>AS 3580.6.1:1990, Methods for sampling and analysis of ambient ai</w:t>
      </w:r>
      <w:r>
        <w:t xml:space="preserve">r - Determination of ozone - </w:t>
      </w:r>
      <w:r w:rsidRPr="00031514">
        <w:t>Direct-reading instrumental method</w:t>
      </w:r>
    </w:p>
    <w:p w14:paraId="149A2039" w14:textId="77777777" w:rsidR="00031514" w:rsidRPr="00031514" w:rsidRDefault="00031514" w:rsidP="00152DF6">
      <w:pPr>
        <w:pStyle w:val="Bullet"/>
        <w:numPr>
          <w:ilvl w:val="0"/>
          <w:numId w:val="7"/>
        </w:numPr>
        <w:ind w:left="360"/>
      </w:pPr>
      <w:r w:rsidRPr="00031514">
        <w:t>United States Code of F</w:t>
      </w:r>
      <w:r>
        <w:t xml:space="preserve">ederal Regulations, Title 40 - </w:t>
      </w:r>
      <w:r w:rsidRPr="00031514">
        <w:t xml:space="preserve">Protection of Environment, </w:t>
      </w:r>
      <w:r>
        <w:t xml:space="preserve">Volume 2, Part 50, Appendix J - </w:t>
      </w:r>
      <w:r w:rsidRPr="00031514">
        <w:t>Reference method for the determination of particulate matter as PM</w:t>
      </w:r>
      <w:r w:rsidRPr="00031514">
        <w:rPr>
          <w:vertAlign w:val="subscript"/>
        </w:rPr>
        <w:t>10</w:t>
      </w:r>
      <w:r w:rsidRPr="00031514">
        <w:t xml:space="preserve"> in the atmosphere</w:t>
      </w:r>
    </w:p>
    <w:p w14:paraId="77D2D87C" w14:textId="77777777" w:rsidR="00031514" w:rsidRPr="00031514" w:rsidRDefault="00031514" w:rsidP="00152DF6">
      <w:pPr>
        <w:pStyle w:val="Bullet"/>
        <w:numPr>
          <w:ilvl w:val="0"/>
          <w:numId w:val="7"/>
        </w:numPr>
        <w:ind w:left="360"/>
      </w:pPr>
      <w:r w:rsidRPr="00031514">
        <w:t>AS/NZS 3580.9.6:2003, Methods for samplin</w:t>
      </w:r>
      <w:r w:rsidR="00627DB4">
        <w:t xml:space="preserve">g and analysis of ambient air - </w:t>
      </w:r>
      <w:r w:rsidRPr="00031514">
        <w:t>Determination of</w:t>
      </w:r>
      <w:r w:rsidR="00627DB4">
        <w:t xml:space="preserve"> suspended particulate matter - </w:t>
      </w:r>
      <w:r w:rsidRPr="00031514">
        <w:t>PM</w:t>
      </w:r>
      <w:r w:rsidRPr="00627DB4">
        <w:rPr>
          <w:vertAlign w:val="subscript"/>
        </w:rPr>
        <w:t>10</w:t>
      </w:r>
      <w:r w:rsidR="00627DB4">
        <w:t xml:space="preserve"> </w:t>
      </w:r>
      <w:r w:rsidRPr="00031514">
        <w:t>high volume sampler with size-selective inlet</w:t>
      </w:r>
      <w:r w:rsidR="00627DB4">
        <w:t xml:space="preserve"> - </w:t>
      </w:r>
      <w:r w:rsidRPr="00031514">
        <w:t>Gravimetric method</w:t>
      </w:r>
    </w:p>
    <w:p w14:paraId="6EC80C93" w14:textId="77777777" w:rsidR="00031514" w:rsidRPr="00031514" w:rsidRDefault="00031514" w:rsidP="00152DF6">
      <w:pPr>
        <w:pStyle w:val="Bullet"/>
        <w:numPr>
          <w:ilvl w:val="0"/>
          <w:numId w:val="7"/>
        </w:numPr>
        <w:ind w:left="360"/>
      </w:pPr>
      <w:r w:rsidRPr="00031514">
        <w:t>AS 3580.9.8:2008, Methods for sampling and analysis of ambient air</w:t>
      </w:r>
      <w:r w:rsidR="00627DB4">
        <w:t xml:space="preserve"> - </w:t>
      </w:r>
      <w:r w:rsidRPr="00031514">
        <w:t>Determination of suspended particulate matter</w:t>
      </w:r>
      <w:r w:rsidR="00627DB4">
        <w:t xml:space="preserve"> - </w:t>
      </w:r>
      <w:r w:rsidRPr="00031514">
        <w:t>PM</w:t>
      </w:r>
      <w:r w:rsidRPr="00627DB4">
        <w:rPr>
          <w:vertAlign w:val="subscript"/>
        </w:rPr>
        <w:t>10</w:t>
      </w:r>
      <w:r w:rsidRPr="00031514">
        <w:t xml:space="preserve"> continuous direct mass method using a tapered element oscillating microbalance analyser</w:t>
      </w:r>
    </w:p>
    <w:p w14:paraId="0B97433D" w14:textId="77777777" w:rsidR="00031514" w:rsidRPr="00031514" w:rsidRDefault="00031514" w:rsidP="00152DF6">
      <w:pPr>
        <w:pStyle w:val="Bullet"/>
        <w:numPr>
          <w:ilvl w:val="0"/>
          <w:numId w:val="7"/>
        </w:numPr>
        <w:ind w:left="360"/>
      </w:pPr>
      <w:r w:rsidRPr="00031514">
        <w:t>AS/NZS 3580.9.11:2008, Methods for sampling and analysis of ambient air</w:t>
      </w:r>
      <w:r w:rsidR="00627DB4">
        <w:t xml:space="preserve"> - </w:t>
      </w:r>
      <w:r w:rsidRPr="00031514">
        <w:t>Determination of suspended particulate matter</w:t>
      </w:r>
      <w:r w:rsidR="00627DB4">
        <w:t xml:space="preserve"> - </w:t>
      </w:r>
      <w:r w:rsidRPr="00031514">
        <w:t>PM</w:t>
      </w:r>
      <w:r w:rsidRPr="00627DB4">
        <w:rPr>
          <w:vertAlign w:val="subscript"/>
        </w:rPr>
        <w:t>10</w:t>
      </w:r>
      <w:r w:rsidRPr="00031514">
        <w:t xml:space="preserve"> beta attenuation monitors</w:t>
      </w:r>
    </w:p>
    <w:p w14:paraId="44FB3AED" w14:textId="77777777" w:rsidR="00031514" w:rsidRPr="00031514" w:rsidRDefault="00031514" w:rsidP="00152DF6">
      <w:pPr>
        <w:pStyle w:val="Bullet"/>
        <w:numPr>
          <w:ilvl w:val="0"/>
          <w:numId w:val="7"/>
        </w:numPr>
        <w:ind w:left="360"/>
      </w:pPr>
      <w:r w:rsidRPr="00031514">
        <w:t>AS 3580.4.1:2008, Methods of sampling and analys</w:t>
      </w:r>
      <w:r w:rsidR="00627DB4">
        <w:t xml:space="preserve">is of ambient air - </w:t>
      </w:r>
      <w:r w:rsidRPr="00031514">
        <w:t>Determination of sulfur dioxide</w:t>
      </w:r>
      <w:r w:rsidR="00627DB4">
        <w:t xml:space="preserve"> - </w:t>
      </w:r>
      <w:r w:rsidRPr="00031514">
        <w:t>Direct reading instrumental method</w:t>
      </w:r>
    </w:p>
    <w:p w14:paraId="75105FAD" w14:textId="77777777" w:rsidR="00031514" w:rsidRPr="00031514" w:rsidRDefault="00031514" w:rsidP="00152DF6">
      <w:pPr>
        <w:pStyle w:val="Bullet"/>
        <w:numPr>
          <w:ilvl w:val="0"/>
          <w:numId w:val="7"/>
        </w:numPr>
        <w:ind w:left="360"/>
      </w:pPr>
      <w:r w:rsidRPr="00031514">
        <w:t xml:space="preserve">AS/NZS 3580.1.1:2007 Methods for Sampling and analysis of ambient air – Guide to siting air monitoring equipment.  </w:t>
      </w:r>
    </w:p>
    <w:p w14:paraId="103357ED" w14:textId="77777777" w:rsidR="006F4861" w:rsidRPr="00031514" w:rsidRDefault="006F4861" w:rsidP="006F4861">
      <w:pPr>
        <w:pStyle w:val="BodyText"/>
      </w:pPr>
    </w:p>
    <w:p w14:paraId="1CC0DE1D" w14:textId="77777777" w:rsidR="006F4861" w:rsidRDefault="006F4861" w:rsidP="006F4861">
      <w:pPr>
        <w:pStyle w:val="Figureheading"/>
        <w:keepLines/>
      </w:pPr>
      <w:bookmarkStart w:id="14" w:name="_Toc298037572"/>
      <w:bookmarkStart w:id="15" w:name="_Toc298095070"/>
      <w:bookmarkStart w:id="16" w:name="_Toc376785755"/>
      <w:r w:rsidRPr="005267D4">
        <w:t xml:space="preserve">Figure </w:t>
      </w:r>
      <w:r>
        <w:t>1</w:t>
      </w:r>
      <w:r w:rsidRPr="005267D4">
        <w:t>:</w:t>
      </w:r>
      <w:r w:rsidRPr="005267D4">
        <w:tab/>
      </w:r>
      <w:r w:rsidRPr="00C80FE5">
        <w:t xml:space="preserve">The </w:t>
      </w:r>
      <w:r w:rsidR="00BD0BA0">
        <w:t>2011 Users’ Guide</w:t>
      </w:r>
      <w:r>
        <w:t xml:space="preserve"> and </w:t>
      </w:r>
      <w:r w:rsidR="00BD0BA0">
        <w:t>other air quality</w:t>
      </w:r>
      <w:r>
        <w:t xml:space="preserve"> documents</w:t>
      </w:r>
      <w:bookmarkEnd w:id="14"/>
      <w:bookmarkEnd w:id="15"/>
      <w:bookmarkEnd w:id="16"/>
    </w:p>
    <w:tbl>
      <w:tblPr>
        <w:tblpPr w:leftFromText="180" w:rightFromText="180" w:vertAnchor="text" w:horzAnchor="page" w:tblpX="6874" w:tblpY="572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425"/>
      </w:tblGrid>
      <w:tr w:rsidR="00BD0BA0" w14:paraId="79856FB2" w14:textId="77777777" w:rsidTr="00BD0BA0">
        <w:tc>
          <w:tcPr>
            <w:tcW w:w="3085" w:type="dxa"/>
          </w:tcPr>
          <w:p w14:paraId="2E15CF29" w14:textId="77777777" w:rsidR="00BD0BA0" w:rsidRPr="00F86D22" w:rsidRDefault="00BD0BA0" w:rsidP="00BD0BA0">
            <w:pPr>
              <w:jc w:val="left"/>
              <w:rPr>
                <w:rFonts w:ascii="Calibri" w:hAnsi="Calibri"/>
                <w:b/>
                <w:sz w:val="16"/>
                <w:szCs w:val="16"/>
              </w:rPr>
            </w:pPr>
            <w:r w:rsidRPr="00F86D22">
              <w:rPr>
                <w:rFonts w:ascii="Calibri" w:hAnsi="Calibri"/>
                <w:b/>
                <w:sz w:val="16"/>
                <w:szCs w:val="16"/>
              </w:rPr>
              <w:t>Key</w:t>
            </w:r>
          </w:p>
        </w:tc>
        <w:tc>
          <w:tcPr>
            <w:tcW w:w="425" w:type="dxa"/>
          </w:tcPr>
          <w:p w14:paraId="15B91C75" w14:textId="77777777" w:rsidR="00BD0BA0" w:rsidRPr="00F86D22" w:rsidRDefault="00BD0BA0" w:rsidP="00BD0BA0">
            <w:pPr>
              <w:rPr>
                <w:sz w:val="16"/>
                <w:szCs w:val="16"/>
              </w:rPr>
            </w:pPr>
          </w:p>
        </w:tc>
      </w:tr>
      <w:tr w:rsidR="00BD0BA0" w14:paraId="3A9C8042" w14:textId="77777777" w:rsidTr="00BD0BA0">
        <w:tc>
          <w:tcPr>
            <w:tcW w:w="3085" w:type="dxa"/>
          </w:tcPr>
          <w:p w14:paraId="0F1AEC8A" w14:textId="77777777" w:rsidR="00BD0BA0" w:rsidRPr="00F86D22" w:rsidRDefault="00BD0BA0" w:rsidP="00BD0BA0">
            <w:pPr>
              <w:jc w:val="left"/>
              <w:rPr>
                <w:rFonts w:ascii="Calibri" w:hAnsi="Calibri"/>
                <w:sz w:val="16"/>
                <w:szCs w:val="16"/>
              </w:rPr>
            </w:pPr>
            <w:r w:rsidRPr="00F86D22">
              <w:rPr>
                <w:rFonts w:ascii="Calibri" w:hAnsi="Calibri" w:cs="Arial"/>
                <w:sz w:val="16"/>
                <w:szCs w:val="16"/>
              </w:rPr>
              <w:t>Legislation</w:t>
            </w:r>
          </w:p>
        </w:tc>
        <w:tc>
          <w:tcPr>
            <w:tcW w:w="425" w:type="dxa"/>
            <w:shd w:val="clear" w:color="auto" w:fill="FFC000"/>
          </w:tcPr>
          <w:p w14:paraId="16F11AC4" w14:textId="77777777" w:rsidR="00BD0BA0" w:rsidRPr="00F86D22" w:rsidRDefault="00BD0BA0" w:rsidP="00BD0BA0">
            <w:pPr>
              <w:rPr>
                <w:sz w:val="16"/>
                <w:szCs w:val="16"/>
              </w:rPr>
            </w:pPr>
          </w:p>
        </w:tc>
      </w:tr>
      <w:tr w:rsidR="00BD0BA0" w14:paraId="03B7470A" w14:textId="77777777" w:rsidTr="00BD0BA0">
        <w:tc>
          <w:tcPr>
            <w:tcW w:w="3085" w:type="dxa"/>
          </w:tcPr>
          <w:p w14:paraId="20F14084" w14:textId="77777777" w:rsidR="00BD0BA0" w:rsidRPr="00F86D22" w:rsidRDefault="00BD0BA0" w:rsidP="00BD0BA0">
            <w:pPr>
              <w:jc w:val="left"/>
              <w:rPr>
                <w:rFonts w:ascii="Calibri" w:hAnsi="Calibri" w:cs="Arial"/>
                <w:sz w:val="16"/>
                <w:szCs w:val="16"/>
              </w:rPr>
            </w:pPr>
            <w:r w:rsidRPr="00F86D22">
              <w:rPr>
                <w:rFonts w:ascii="Calibri" w:hAnsi="Calibri" w:cs="Arial"/>
                <w:sz w:val="16"/>
                <w:szCs w:val="16"/>
              </w:rPr>
              <w:t>Non-statutory</w:t>
            </w:r>
            <w:r w:rsidRPr="00F86D22">
              <w:rPr>
                <w:rFonts w:cs="Arial"/>
                <w:sz w:val="16"/>
                <w:szCs w:val="16"/>
              </w:rPr>
              <w:t xml:space="preserve"> </w:t>
            </w:r>
            <w:r w:rsidRPr="00F86D22">
              <w:rPr>
                <w:rFonts w:ascii="Calibri" w:hAnsi="Calibri" w:cs="Arial"/>
                <w:sz w:val="16"/>
                <w:szCs w:val="16"/>
              </w:rPr>
              <w:t>guidance</w:t>
            </w:r>
          </w:p>
        </w:tc>
        <w:tc>
          <w:tcPr>
            <w:tcW w:w="425" w:type="dxa"/>
            <w:shd w:val="clear" w:color="auto" w:fill="FF9900"/>
          </w:tcPr>
          <w:p w14:paraId="6244C7F1" w14:textId="77777777" w:rsidR="00BD0BA0" w:rsidRPr="00F86D22" w:rsidRDefault="00BD0BA0" w:rsidP="00BD0BA0">
            <w:pPr>
              <w:rPr>
                <w:sz w:val="16"/>
                <w:szCs w:val="16"/>
              </w:rPr>
            </w:pPr>
          </w:p>
        </w:tc>
      </w:tr>
      <w:tr w:rsidR="00BD0BA0" w14:paraId="49871420" w14:textId="77777777" w:rsidTr="00BD0BA0">
        <w:tc>
          <w:tcPr>
            <w:tcW w:w="3085" w:type="dxa"/>
          </w:tcPr>
          <w:p w14:paraId="292CFFFC" w14:textId="77777777" w:rsidR="00BD0BA0" w:rsidRPr="00F86D22" w:rsidRDefault="00BD0BA0" w:rsidP="00BD0BA0">
            <w:pPr>
              <w:jc w:val="left"/>
              <w:rPr>
                <w:rFonts w:ascii="Calibri" w:hAnsi="Calibri"/>
                <w:sz w:val="16"/>
                <w:szCs w:val="16"/>
              </w:rPr>
            </w:pPr>
            <w:r w:rsidRPr="00F86D22">
              <w:rPr>
                <w:rFonts w:ascii="Calibri" w:hAnsi="Calibri" w:cs="Arial"/>
                <w:sz w:val="16"/>
                <w:szCs w:val="16"/>
              </w:rPr>
              <w:t>Current good practice guides on air quality</w:t>
            </w:r>
          </w:p>
        </w:tc>
        <w:tc>
          <w:tcPr>
            <w:tcW w:w="425" w:type="dxa"/>
            <w:shd w:val="clear" w:color="auto" w:fill="99CCFF"/>
          </w:tcPr>
          <w:p w14:paraId="3E65269C" w14:textId="77777777" w:rsidR="00BD0BA0" w:rsidRPr="00F86D22" w:rsidRDefault="00BD0BA0" w:rsidP="00BD0BA0">
            <w:pPr>
              <w:rPr>
                <w:sz w:val="16"/>
                <w:szCs w:val="16"/>
              </w:rPr>
            </w:pPr>
          </w:p>
        </w:tc>
      </w:tr>
      <w:tr w:rsidR="00BD0BA0" w14:paraId="6BA44D96" w14:textId="77777777" w:rsidTr="00BD0BA0">
        <w:tc>
          <w:tcPr>
            <w:tcW w:w="3085" w:type="dxa"/>
          </w:tcPr>
          <w:p w14:paraId="5E1BE737" w14:textId="77777777" w:rsidR="00BD0BA0" w:rsidRPr="00F86D22" w:rsidRDefault="00BD0BA0" w:rsidP="00BD0BA0">
            <w:pPr>
              <w:jc w:val="left"/>
              <w:rPr>
                <w:rFonts w:ascii="Calibri" w:hAnsi="Calibri" w:cs="Arial"/>
                <w:sz w:val="16"/>
                <w:szCs w:val="16"/>
              </w:rPr>
            </w:pPr>
            <w:r w:rsidRPr="00F86D22">
              <w:rPr>
                <w:rFonts w:ascii="Calibri" w:hAnsi="Calibri" w:cs="Arial"/>
                <w:sz w:val="16"/>
                <w:szCs w:val="16"/>
              </w:rPr>
              <w:t>Future good practice guides on air quality</w:t>
            </w:r>
          </w:p>
        </w:tc>
        <w:tc>
          <w:tcPr>
            <w:tcW w:w="425" w:type="dxa"/>
            <w:shd w:val="clear" w:color="auto" w:fill="99CC00"/>
          </w:tcPr>
          <w:p w14:paraId="6F820FC8" w14:textId="77777777" w:rsidR="00BD0BA0" w:rsidRPr="00F86D22" w:rsidRDefault="00BD0BA0" w:rsidP="00BD0BA0">
            <w:pPr>
              <w:rPr>
                <w:sz w:val="16"/>
                <w:szCs w:val="16"/>
              </w:rPr>
            </w:pPr>
          </w:p>
        </w:tc>
      </w:tr>
    </w:tbl>
    <w:p w14:paraId="19415CEB" w14:textId="783F68AA" w:rsidR="00BD0BA0" w:rsidRDefault="0043717E" w:rsidP="00056146">
      <w:pPr>
        <w:pStyle w:val="BodyText"/>
      </w:pPr>
      <w:r w:rsidRPr="0011281F">
        <w:rPr>
          <w:noProof/>
          <w:lang w:eastAsia="en-NZ"/>
        </w:rPr>
        <mc:AlternateContent>
          <mc:Choice Requires="wpc">
            <w:drawing>
              <wp:anchor distT="0" distB="0" distL="114300" distR="114300" simplePos="0" relativeHeight="251656704" behindDoc="1" locked="0" layoutInCell="1" allowOverlap="1" wp14:anchorId="54513E5E" wp14:editId="78373028">
                <wp:simplePos x="0" y="0"/>
                <wp:positionH relativeFrom="column">
                  <wp:posOffset>-782955</wp:posOffset>
                </wp:positionH>
                <wp:positionV relativeFrom="paragraph">
                  <wp:posOffset>107950</wp:posOffset>
                </wp:positionV>
                <wp:extent cx="5176520" cy="5231765"/>
                <wp:effectExtent l="0" t="12700" r="0" b="3810"/>
                <wp:wrapTight wrapText="bothSides">
                  <wp:wrapPolygon edited="0">
                    <wp:start x="7000" y="-39"/>
                    <wp:lineTo x="6961" y="1534"/>
                    <wp:lineTo x="9110" y="1848"/>
                    <wp:lineTo x="11060" y="1848"/>
                    <wp:lineTo x="7758" y="2244"/>
                    <wp:lineTo x="7040" y="2362"/>
                    <wp:lineTo x="7040" y="3935"/>
                    <wp:lineTo x="9904" y="4368"/>
                    <wp:lineTo x="11060" y="4368"/>
                    <wp:lineTo x="6563" y="4564"/>
                    <wp:lineTo x="6325" y="4604"/>
                    <wp:lineTo x="6325" y="4997"/>
                    <wp:lineTo x="4255" y="5272"/>
                    <wp:lineTo x="3699" y="5390"/>
                    <wp:lineTo x="3699" y="6963"/>
                    <wp:lineTo x="10103" y="7514"/>
                    <wp:lineTo x="6364" y="7553"/>
                    <wp:lineTo x="6126" y="7592"/>
                    <wp:lineTo x="6126" y="9011"/>
                    <wp:lineTo x="9149" y="9404"/>
                    <wp:lineTo x="10779" y="9404"/>
                    <wp:lineTo x="6364" y="9561"/>
                    <wp:lineTo x="6126" y="9601"/>
                    <wp:lineTo x="6126" y="11016"/>
                    <wp:lineTo x="8275" y="11292"/>
                    <wp:lineTo x="10779" y="11292"/>
                    <wp:lineTo x="6364" y="11528"/>
                    <wp:lineTo x="6126" y="11567"/>
                    <wp:lineTo x="6126" y="12985"/>
                    <wp:lineTo x="7716" y="13179"/>
                    <wp:lineTo x="10779" y="13179"/>
                    <wp:lineTo x="6603" y="13494"/>
                    <wp:lineTo x="6126" y="13575"/>
                    <wp:lineTo x="6126" y="14991"/>
                    <wp:lineTo x="10779" y="15069"/>
                    <wp:lineTo x="6841" y="15463"/>
                    <wp:lineTo x="6126" y="15581"/>
                    <wp:lineTo x="6126" y="16996"/>
                    <wp:lineTo x="10779" y="17586"/>
                    <wp:lineTo x="6364" y="17586"/>
                    <wp:lineTo x="6126" y="17626"/>
                    <wp:lineTo x="6126" y="19044"/>
                    <wp:lineTo x="9467" y="19474"/>
                    <wp:lineTo x="6364" y="19592"/>
                    <wp:lineTo x="6126" y="19634"/>
                    <wp:lineTo x="6126" y="21010"/>
                    <wp:lineTo x="16348" y="21010"/>
                    <wp:lineTo x="16428" y="19634"/>
                    <wp:lineTo x="16110" y="19592"/>
                    <wp:lineTo x="12371" y="19474"/>
                    <wp:lineTo x="16388" y="19044"/>
                    <wp:lineTo x="16428" y="17626"/>
                    <wp:lineTo x="16110" y="17586"/>
                    <wp:lineTo x="10779" y="17586"/>
                    <wp:lineTo x="16348" y="16996"/>
                    <wp:lineTo x="16428" y="15581"/>
                    <wp:lineTo x="15474" y="15463"/>
                    <wp:lineTo x="10779" y="15069"/>
                    <wp:lineTo x="15514" y="15069"/>
                    <wp:lineTo x="16428" y="14951"/>
                    <wp:lineTo x="16428" y="13575"/>
                    <wp:lineTo x="15792" y="13494"/>
                    <wp:lineTo x="10779" y="13179"/>
                    <wp:lineTo x="14520" y="13179"/>
                    <wp:lineTo x="16388" y="12985"/>
                    <wp:lineTo x="16428" y="11567"/>
                    <wp:lineTo x="16110" y="11528"/>
                    <wp:lineTo x="10779" y="11292"/>
                    <wp:lineTo x="13802" y="11292"/>
                    <wp:lineTo x="16388" y="11016"/>
                    <wp:lineTo x="16428" y="9601"/>
                    <wp:lineTo x="16110" y="9561"/>
                    <wp:lineTo x="10779" y="9404"/>
                    <wp:lineTo x="12729" y="9404"/>
                    <wp:lineTo x="16388" y="9011"/>
                    <wp:lineTo x="16428" y="7592"/>
                    <wp:lineTo x="16110" y="7553"/>
                    <wp:lineTo x="11576" y="7514"/>
                    <wp:lineTo x="18934" y="6963"/>
                    <wp:lineTo x="19014" y="5390"/>
                    <wp:lineTo x="16269" y="4997"/>
                    <wp:lineTo x="16348" y="4643"/>
                    <wp:lineTo x="16030" y="4604"/>
                    <wp:lineTo x="11219" y="4368"/>
                    <wp:lineTo x="12411" y="4368"/>
                    <wp:lineTo x="15315" y="3935"/>
                    <wp:lineTo x="15355" y="2362"/>
                    <wp:lineTo x="11219" y="1848"/>
                    <wp:lineTo x="13166" y="1848"/>
                    <wp:lineTo x="15275" y="1534"/>
                    <wp:lineTo x="15236" y="-39"/>
                    <wp:lineTo x="7000" y="-39"/>
                  </wp:wrapPolygon>
                </wp:wrapTight>
                <wp:docPr id="177"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29279391" name="Line 44"/>
                        <wps:cNvCnPr>
                          <a:cxnSpLocks noChangeShapeType="1"/>
                        </wps:cNvCnPr>
                        <wps:spPr bwMode="auto">
                          <a:xfrm>
                            <a:off x="4229735" y="800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31803934" name="Group 180"/>
                        <wpg:cNvGrpSpPr>
                          <a:grpSpLocks/>
                        </wpg:cNvGrpSpPr>
                        <wpg:grpSpPr bwMode="auto">
                          <a:xfrm>
                            <a:off x="915035" y="0"/>
                            <a:ext cx="3616325" cy="5094605"/>
                            <a:chOff x="3431" y="5396"/>
                            <a:chExt cx="5695" cy="8023"/>
                          </a:xfrm>
                        </wpg:grpSpPr>
                        <wps:wsp>
                          <wps:cNvPr id="667590086" name="Rectangle 32"/>
                          <wps:cNvSpPr>
                            <a:spLocks noChangeArrowheads="1"/>
                          </wps:cNvSpPr>
                          <wps:spPr bwMode="auto">
                            <a:xfrm>
                              <a:off x="4689" y="6311"/>
                              <a:ext cx="3062" cy="584"/>
                            </a:xfrm>
                            <a:prstGeom prst="rect">
                              <a:avLst/>
                            </a:prstGeom>
                            <a:solidFill>
                              <a:srgbClr val="FFC000"/>
                            </a:solidFill>
                            <a:ln w="9525">
                              <a:solidFill>
                                <a:srgbClr val="FFFFFF"/>
                              </a:solidFill>
                              <a:miter lim="800000"/>
                              <a:headEnd/>
                              <a:tailEnd/>
                            </a:ln>
                          </wps:spPr>
                          <wps:txbx>
                            <w:txbxContent>
                              <w:p w14:paraId="6F49D26B"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National Environmental Standards (Air) 2004</w:t>
                                </w:r>
                              </w:p>
                            </w:txbxContent>
                          </wps:txbx>
                          <wps:bodyPr rot="0" vert="horz" wrap="square" lIns="91440" tIns="45720" rIns="91440" bIns="45720" anchor="t" anchorCtr="0" upright="1">
                            <a:noAutofit/>
                          </wps:bodyPr>
                        </wps:wsp>
                        <wps:wsp>
                          <wps:cNvPr id="702218614" name="Rectangle 33"/>
                          <wps:cNvSpPr>
                            <a:spLocks noChangeArrowheads="1"/>
                          </wps:cNvSpPr>
                          <wps:spPr bwMode="auto">
                            <a:xfrm>
                              <a:off x="7130" y="7466"/>
                              <a:ext cx="1996" cy="590"/>
                            </a:xfrm>
                            <a:prstGeom prst="rect">
                              <a:avLst/>
                            </a:prstGeom>
                            <a:solidFill>
                              <a:srgbClr val="FF9900"/>
                            </a:solidFill>
                            <a:ln w="9525">
                              <a:solidFill>
                                <a:srgbClr val="FFFFFF"/>
                              </a:solidFill>
                              <a:miter lim="800000"/>
                              <a:headEnd/>
                              <a:tailEnd/>
                            </a:ln>
                          </wps:spPr>
                          <wps:txbx>
                            <w:txbxContent>
                              <w:p w14:paraId="4FB03727"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2011</w:t>
                                </w:r>
                                <w:r>
                                  <w:rPr>
                                    <w:rFonts w:ascii="Arial" w:hAnsi="Arial" w:cs="Arial"/>
                                    <w:b/>
                                    <w:sz w:val="18"/>
                                    <w:szCs w:val="18"/>
                                  </w:rPr>
                                  <w:br/>
                                </w:r>
                                <w:r w:rsidRPr="00D65CDC">
                                  <w:rPr>
                                    <w:rFonts w:ascii="Arial" w:hAnsi="Arial" w:cs="Arial"/>
                                    <w:b/>
                                    <w:sz w:val="18"/>
                                    <w:szCs w:val="18"/>
                                  </w:rPr>
                                  <w:t>Users’ Guide</w:t>
                                </w:r>
                              </w:p>
                            </w:txbxContent>
                          </wps:txbx>
                          <wps:bodyPr rot="0" vert="horz" wrap="square" lIns="91440" tIns="45720" rIns="91440" bIns="45720" anchor="t" anchorCtr="0" upright="1">
                            <a:noAutofit/>
                          </wps:bodyPr>
                        </wps:wsp>
                        <wps:wsp>
                          <wps:cNvPr id="1208546916" name="Rectangle 37"/>
                          <wps:cNvSpPr>
                            <a:spLocks noChangeArrowheads="1"/>
                          </wps:cNvSpPr>
                          <wps:spPr bwMode="auto">
                            <a:xfrm>
                              <a:off x="4352" y="12892"/>
                              <a:ext cx="3796" cy="527"/>
                            </a:xfrm>
                            <a:prstGeom prst="rect">
                              <a:avLst/>
                            </a:prstGeom>
                            <a:solidFill>
                              <a:srgbClr val="99CC00"/>
                            </a:solidFill>
                            <a:ln w="9525">
                              <a:solidFill>
                                <a:srgbClr val="FFFFFF"/>
                              </a:solidFill>
                              <a:miter lim="800000"/>
                              <a:headEnd/>
                              <a:tailEnd/>
                            </a:ln>
                          </wps:spPr>
                          <wps:txbx>
                            <w:txbxContent>
                              <w:p w14:paraId="6C1721EE" w14:textId="77777777" w:rsidR="0030091F" w:rsidRPr="00520CFA" w:rsidRDefault="0030091F" w:rsidP="00BD0BA0">
                                <w:pPr>
                                  <w:jc w:val="center"/>
                                  <w:rPr>
                                    <w:rFonts w:ascii="Arial" w:hAnsi="Arial" w:cs="Arial"/>
                                    <w:b/>
                                    <w:sz w:val="16"/>
                                    <w:szCs w:val="16"/>
                                  </w:rPr>
                                </w:pPr>
                                <w:r w:rsidRPr="00520CFA">
                                  <w:rPr>
                                    <w:rFonts w:ascii="Arial" w:hAnsi="Arial" w:cs="Arial"/>
                                    <w:b/>
                                    <w:sz w:val="16"/>
                                    <w:szCs w:val="16"/>
                                  </w:rPr>
                                  <w:t xml:space="preserve">GPG on </w:t>
                                </w:r>
                                <w:r>
                                  <w:rPr>
                                    <w:rFonts w:ascii="Arial" w:hAnsi="Arial" w:cs="Arial"/>
                                    <w:b/>
                                    <w:sz w:val="16"/>
                                    <w:szCs w:val="16"/>
                                  </w:rPr>
                                  <w:t>Assessing &amp; Managing Discharges from Domestic Fires (proposed)</w:t>
                                </w:r>
                              </w:p>
                            </w:txbxContent>
                          </wps:txbx>
                          <wps:bodyPr rot="0" vert="horz" wrap="square" lIns="91440" tIns="45720" rIns="91440" bIns="45720" anchor="t" anchorCtr="0" upright="1">
                            <a:noAutofit/>
                          </wps:bodyPr>
                        </wps:wsp>
                        <wps:wsp>
                          <wps:cNvPr id="663844383" name="Line 38"/>
                          <wps:cNvCnPr>
                            <a:cxnSpLocks noChangeShapeType="1"/>
                          </wps:cNvCnPr>
                          <wps:spPr bwMode="auto">
                            <a:xfrm>
                              <a:off x="5434" y="7755"/>
                              <a:ext cx="1701" cy="1"/>
                            </a:xfrm>
                            <a:prstGeom prst="line">
                              <a:avLst/>
                            </a:prstGeom>
                            <a:noFill/>
                            <a:ln w="9525">
                              <a:solidFill>
                                <a:srgbClr val="000000"/>
                              </a:solidFill>
                              <a:prstDash val="dash"/>
                              <a:round/>
                              <a:headEnd type="stealth" w="med" len="med"/>
                              <a:tailEnd type="stealth" w="med" len="med"/>
                            </a:ln>
                            <a:extLst>
                              <a:ext uri="{909E8E84-426E-40DD-AFC4-6F175D3DCCD1}">
                                <a14:hiddenFill xmlns:a14="http://schemas.microsoft.com/office/drawing/2010/main">
                                  <a:noFill/>
                                </a14:hiddenFill>
                              </a:ext>
                            </a:extLst>
                          </wps:spPr>
                          <wps:bodyPr/>
                        </wps:wsp>
                        <wps:wsp>
                          <wps:cNvPr id="941080489" name="Line 39"/>
                          <wps:cNvCnPr>
                            <a:cxnSpLocks noChangeShapeType="1"/>
                          </wps:cNvCnPr>
                          <wps:spPr bwMode="auto">
                            <a:xfrm flipH="1">
                              <a:off x="4429" y="7174"/>
                              <a:ext cx="1" cy="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7434287" name="Rectangle 45"/>
                          <wps:cNvSpPr>
                            <a:spLocks noChangeArrowheads="1"/>
                          </wps:cNvSpPr>
                          <wps:spPr bwMode="auto">
                            <a:xfrm>
                              <a:off x="3431" y="7464"/>
                              <a:ext cx="2000" cy="590"/>
                            </a:xfrm>
                            <a:prstGeom prst="rect">
                              <a:avLst/>
                            </a:prstGeom>
                            <a:solidFill>
                              <a:srgbClr val="FF9900"/>
                            </a:solidFill>
                            <a:ln w="9525">
                              <a:solidFill>
                                <a:srgbClr val="FFFFFF"/>
                              </a:solidFill>
                              <a:miter lim="800000"/>
                              <a:headEnd/>
                              <a:tailEnd/>
                            </a:ln>
                          </wps:spPr>
                          <wps:txbx>
                            <w:txbxContent>
                              <w:p w14:paraId="40BC2E60"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PM</w:t>
                                </w:r>
                                <w:r w:rsidRPr="00D65CDC">
                                  <w:rPr>
                                    <w:rFonts w:ascii="Arial" w:hAnsi="Arial" w:cs="Arial"/>
                                    <w:b/>
                                    <w:sz w:val="18"/>
                                    <w:szCs w:val="18"/>
                                    <w:vertAlign w:val="subscript"/>
                                  </w:rPr>
                                  <w:t>10</w:t>
                                </w:r>
                                <w:r w:rsidRPr="00D65CDC">
                                  <w:rPr>
                                    <w:rFonts w:ascii="Arial" w:hAnsi="Arial" w:cs="Arial"/>
                                    <w:b/>
                                    <w:sz w:val="18"/>
                                    <w:szCs w:val="18"/>
                                  </w:rPr>
                                  <w:t xml:space="preserve"> Compliance Strategy</w:t>
                                </w:r>
                              </w:p>
                            </w:txbxContent>
                          </wps:txbx>
                          <wps:bodyPr rot="0" vert="horz" wrap="square" lIns="91440" tIns="45720" rIns="91440" bIns="45720" anchor="t" anchorCtr="0" upright="1">
                            <a:noAutofit/>
                          </wps:bodyPr>
                        </wps:wsp>
                        <wps:wsp>
                          <wps:cNvPr id="206008548" name="Rectangle 47"/>
                          <wps:cNvSpPr>
                            <a:spLocks noChangeArrowheads="1"/>
                          </wps:cNvSpPr>
                          <wps:spPr bwMode="auto">
                            <a:xfrm>
                              <a:off x="4664" y="5396"/>
                              <a:ext cx="3062" cy="584"/>
                            </a:xfrm>
                            <a:prstGeom prst="rect">
                              <a:avLst/>
                            </a:prstGeom>
                            <a:solidFill>
                              <a:srgbClr val="FFCC00"/>
                            </a:solidFill>
                            <a:ln w="9525">
                              <a:solidFill>
                                <a:srgbClr val="FFFFFF"/>
                              </a:solidFill>
                              <a:miter lim="800000"/>
                              <a:headEnd/>
                              <a:tailEnd/>
                            </a:ln>
                          </wps:spPr>
                          <wps:txbx>
                            <w:txbxContent>
                              <w:p w14:paraId="103B6438"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Resource Management Act 1991</w:t>
                                </w:r>
                              </w:p>
                            </w:txbxContent>
                          </wps:txbx>
                          <wps:bodyPr rot="0" vert="horz" wrap="square" lIns="91440" tIns="45720" rIns="91440" bIns="45720" anchor="t" anchorCtr="0" upright="1">
                            <a:noAutofit/>
                          </wps:bodyPr>
                        </wps:wsp>
                        <wps:wsp>
                          <wps:cNvPr id="1358790108" name="Line 48"/>
                          <wps:cNvCnPr>
                            <a:cxnSpLocks noChangeShapeType="1"/>
                          </wps:cNvCnPr>
                          <wps:spPr bwMode="auto">
                            <a:xfrm>
                              <a:off x="6212" y="5949"/>
                              <a:ext cx="2"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2986831" name="Rectangle 49"/>
                          <wps:cNvSpPr>
                            <a:spLocks noChangeArrowheads="1"/>
                          </wps:cNvSpPr>
                          <wps:spPr bwMode="auto">
                            <a:xfrm>
                              <a:off x="4352" y="9065"/>
                              <a:ext cx="3796" cy="527"/>
                            </a:xfrm>
                            <a:prstGeom prst="rect">
                              <a:avLst/>
                            </a:prstGeom>
                            <a:solidFill>
                              <a:srgbClr val="99CCFF"/>
                            </a:solidFill>
                            <a:ln w="9525">
                              <a:solidFill>
                                <a:srgbClr val="FFFFFF"/>
                              </a:solidFill>
                              <a:miter lim="800000"/>
                              <a:headEnd/>
                              <a:tailEnd/>
                            </a:ln>
                          </wps:spPr>
                          <wps:txbx>
                            <w:txbxContent>
                              <w:p w14:paraId="486CF52D"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Preparing Emission Inventories</w:t>
                                </w:r>
                                <w:r>
                                  <w:rPr>
                                    <w:rFonts w:ascii="Arial" w:hAnsi="Arial" w:cs="Arial"/>
                                    <w:b/>
                                    <w:sz w:val="16"/>
                                    <w:szCs w:val="16"/>
                                  </w:rPr>
                                  <w:t xml:space="preserve"> </w:t>
                                </w:r>
                                <w:r w:rsidRPr="005B5FD6">
                                  <w:rPr>
                                    <w:rFonts w:ascii="Arial" w:hAnsi="Arial" w:cs="Arial"/>
                                    <w:b/>
                                    <w:sz w:val="16"/>
                                    <w:szCs w:val="16"/>
                                  </w:rPr>
                                  <w:t>(2001)</w:t>
                                </w:r>
                              </w:p>
                            </w:txbxContent>
                          </wps:txbx>
                          <wps:bodyPr rot="0" vert="horz" wrap="square" lIns="91440" tIns="45720" rIns="91440" bIns="45720" anchor="t" anchorCtr="0" upright="1">
                            <a:noAutofit/>
                          </wps:bodyPr>
                        </wps:wsp>
                        <wps:wsp>
                          <wps:cNvPr id="1327931155" name="Rectangle 50"/>
                          <wps:cNvSpPr>
                            <a:spLocks noChangeArrowheads="1"/>
                          </wps:cNvSpPr>
                          <wps:spPr bwMode="auto">
                            <a:xfrm>
                              <a:off x="4352" y="9824"/>
                              <a:ext cx="3796" cy="527"/>
                            </a:xfrm>
                            <a:prstGeom prst="rect">
                              <a:avLst/>
                            </a:prstGeom>
                            <a:solidFill>
                              <a:srgbClr val="99CCFF"/>
                            </a:solidFill>
                            <a:ln w="9525">
                              <a:solidFill>
                                <a:srgbClr val="FFFFFF"/>
                              </a:solidFill>
                              <a:miter lim="800000"/>
                              <a:headEnd/>
                              <a:tailEnd/>
                            </a:ln>
                          </wps:spPr>
                          <wps:txbx>
                            <w:txbxContent>
                              <w:p w14:paraId="709D55B9"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Atmospheric Dispersion Modelling (2004)</w:t>
                                </w:r>
                              </w:p>
                            </w:txbxContent>
                          </wps:txbx>
                          <wps:bodyPr rot="0" vert="horz" wrap="square" lIns="91440" tIns="45720" rIns="91440" bIns="45720" anchor="t" anchorCtr="0" upright="1">
                            <a:noAutofit/>
                          </wps:bodyPr>
                        </wps:wsp>
                        <wps:wsp>
                          <wps:cNvPr id="1672764072" name="Rectangle 51"/>
                          <wps:cNvSpPr>
                            <a:spLocks noChangeArrowheads="1"/>
                          </wps:cNvSpPr>
                          <wps:spPr bwMode="auto">
                            <a:xfrm>
                              <a:off x="4352" y="10588"/>
                              <a:ext cx="3796" cy="527"/>
                            </a:xfrm>
                            <a:prstGeom prst="rect">
                              <a:avLst/>
                            </a:prstGeom>
                            <a:solidFill>
                              <a:srgbClr val="99CCFF"/>
                            </a:solidFill>
                            <a:ln w="9525">
                              <a:solidFill>
                                <a:srgbClr val="FFFFFF"/>
                              </a:solidFill>
                              <a:miter lim="800000"/>
                              <a:headEnd/>
                              <a:tailEnd/>
                            </a:ln>
                          </wps:spPr>
                          <wps:txbx>
                            <w:txbxContent>
                              <w:p w14:paraId="0047FB1C"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Assessing Discharges from</w:t>
                                </w:r>
                                <w:r>
                                  <w:rPr>
                                    <w:rFonts w:ascii="Arial" w:hAnsi="Arial" w:cs="Arial"/>
                                    <w:b/>
                                    <w:sz w:val="16"/>
                                    <w:szCs w:val="16"/>
                                  </w:rPr>
                                  <w:br/>
                                </w:r>
                                <w:r w:rsidRPr="005B5FD6">
                                  <w:rPr>
                                    <w:rFonts w:ascii="Arial" w:hAnsi="Arial" w:cs="Arial"/>
                                    <w:b/>
                                    <w:sz w:val="16"/>
                                    <w:szCs w:val="16"/>
                                  </w:rPr>
                                  <w:t>Land Transport</w:t>
                                </w:r>
                                <w:r>
                                  <w:rPr>
                                    <w:rFonts w:ascii="Arial" w:hAnsi="Arial" w:cs="Arial"/>
                                    <w:b/>
                                    <w:sz w:val="16"/>
                                    <w:szCs w:val="16"/>
                                  </w:rPr>
                                  <w:t xml:space="preserve"> </w:t>
                                </w:r>
                                <w:r w:rsidRPr="005B5FD6">
                                  <w:rPr>
                                    <w:rFonts w:ascii="Arial" w:hAnsi="Arial" w:cs="Arial"/>
                                    <w:b/>
                                    <w:sz w:val="16"/>
                                    <w:szCs w:val="16"/>
                                  </w:rPr>
                                  <w:t>(2008)</w:t>
                                </w:r>
                              </w:p>
                            </w:txbxContent>
                          </wps:txbx>
                          <wps:bodyPr rot="0" vert="horz" wrap="square" lIns="91440" tIns="45720" rIns="91440" bIns="45720" anchor="t" anchorCtr="0" upright="1">
                            <a:noAutofit/>
                          </wps:bodyPr>
                        </wps:wsp>
                        <wps:wsp>
                          <wps:cNvPr id="637836814" name="Rectangle 52"/>
                          <wps:cNvSpPr>
                            <a:spLocks noChangeArrowheads="1"/>
                          </wps:cNvSpPr>
                          <wps:spPr bwMode="auto">
                            <a:xfrm>
                              <a:off x="4352" y="12123"/>
                              <a:ext cx="3796" cy="527"/>
                            </a:xfrm>
                            <a:prstGeom prst="rect">
                              <a:avLst/>
                            </a:prstGeom>
                            <a:solidFill>
                              <a:srgbClr val="99CCFF"/>
                            </a:solidFill>
                            <a:ln w="9525">
                              <a:solidFill>
                                <a:srgbClr val="FFFFFF"/>
                              </a:solidFill>
                              <a:miter lim="800000"/>
                              <a:headEnd/>
                              <a:tailEnd/>
                            </a:ln>
                          </wps:spPr>
                          <wps:txbx>
                            <w:txbxContent>
                              <w:p w14:paraId="121D2CDF"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Monitoring &amp; Data Management</w:t>
                                </w:r>
                                <w:r>
                                  <w:rPr>
                                    <w:rFonts w:ascii="Arial" w:hAnsi="Arial" w:cs="Arial"/>
                                    <w:b/>
                                    <w:sz w:val="16"/>
                                    <w:szCs w:val="16"/>
                                  </w:rPr>
                                  <w:t xml:space="preserve"> </w:t>
                                </w:r>
                                <w:r w:rsidRPr="005B5FD6">
                                  <w:rPr>
                                    <w:rFonts w:ascii="Arial" w:hAnsi="Arial" w:cs="Arial"/>
                                    <w:b/>
                                    <w:sz w:val="16"/>
                                    <w:szCs w:val="16"/>
                                  </w:rPr>
                                  <w:t>(2009)</w:t>
                                </w:r>
                              </w:p>
                            </w:txbxContent>
                          </wps:txbx>
                          <wps:bodyPr rot="0" vert="horz" wrap="square" lIns="91440" tIns="45720" rIns="91440" bIns="45720" anchor="t" anchorCtr="0" upright="1">
                            <a:noAutofit/>
                          </wps:bodyPr>
                        </wps:wsp>
                        <wps:wsp>
                          <wps:cNvPr id="2069325867" name="Rectangle 53"/>
                          <wps:cNvSpPr>
                            <a:spLocks noChangeArrowheads="1"/>
                          </wps:cNvSpPr>
                          <wps:spPr bwMode="auto">
                            <a:xfrm>
                              <a:off x="4352" y="8306"/>
                              <a:ext cx="3796" cy="526"/>
                            </a:xfrm>
                            <a:prstGeom prst="rect">
                              <a:avLst/>
                            </a:prstGeom>
                            <a:solidFill>
                              <a:srgbClr val="99CCFF"/>
                            </a:solidFill>
                            <a:ln w="9525">
                              <a:solidFill>
                                <a:srgbClr val="FFFFFF"/>
                              </a:solidFill>
                              <a:miter lim="800000"/>
                              <a:headEnd/>
                              <a:tailEnd/>
                            </a:ln>
                          </wps:spPr>
                          <wps:txbx>
                            <w:txbxContent>
                              <w:p w14:paraId="6BE2C61F" w14:textId="77777777" w:rsidR="0030091F" w:rsidRPr="005B5FD6" w:rsidRDefault="0030091F" w:rsidP="00BD0BA0">
                                <w:pPr>
                                  <w:jc w:val="center"/>
                                  <w:rPr>
                                    <w:rFonts w:ascii="Arial" w:hAnsi="Arial" w:cs="Arial"/>
                                    <w:b/>
                                    <w:sz w:val="16"/>
                                    <w:szCs w:val="16"/>
                                  </w:rPr>
                                </w:pPr>
                                <w:r>
                                  <w:rPr>
                                    <w:rFonts w:ascii="Arial" w:hAnsi="Arial" w:cs="Arial"/>
                                    <w:b/>
                                    <w:sz w:val="16"/>
                                    <w:szCs w:val="16"/>
                                  </w:rPr>
                                  <w:t xml:space="preserve">GPG on </w:t>
                                </w:r>
                                <w:r w:rsidRPr="00520CFA">
                                  <w:rPr>
                                    <w:rFonts w:ascii="Arial" w:hAnsi="Arial" w:cs="Arial"/>
                                    <w:b/>
                                    <w:sz w:val="16"/>
                                    <w:szCs w:val="16"/>
                                  </w:rPr>
                                  <w:t xml:space="preserve">Compliance Monitoring </w:t>
                                </w:r>
                                <w:r>
                                  <w:rPr>
                                    <w:rFonts w:ascii="Arial" w:hAnsi="Arial" w:cs="Arial"/>
                                    <w:b/>
                                    <w:sz w:val="16"/>
                                    <w:szCs w:val="16"/>
                                  </w:rPr>
                                  <w:t>&amp;</w:t>
                                </w:r>
                                <w:r>
                                  <w:rPr>
                                    <w:rFonts w:ascii="Arial" w:hAnsi="Arial" w:cs="Arial"/>
                                    <w:b/>
                                    <w:sz w:val="16"/>
                                    <w:szCs w:val="16"/>
                                  </w:rPr>
                                  <w:br/>
                                </w:r>
                                <w:r w:rsidRPr="00520CFA">
                                  <w:rPr>
                                    <w:rFonts w:ascii="Arial" w:hAnsi="Arial" w:cs="Arial"/>
                                    <w:b/>
                                    <w:sz w:val="16"/>
                                    <w:szCs w:val="16"/>
                                  </w:rPr>
                                  <w:t>Emissions Testing of Discharges to Air</w:t>
                                </w:r>
                                <w:r>
                                  <w:rPr>
                                    <w:rFonts w:ascii="Arial" w:hAnsi="Arial" w:cs="Arial"/>
                                    <w:b/>
                                    <w:sz w:val="16"/>
                                    <w:szCs w:val="16"/>
                                  </w:rPr>
                                  <w:t xml:space="preserve"> (1998)</w:t>
                                </w:r>
                              </w:p>
                            </w:txbxContent>
                          </wps:txbx>
                          <wps:bodyPr rot="0" vert="horz" wrap="square" lIns="54000" tIns="45720" rIns="54000" bIns="45720" anchor="t" anchorCtr="0" upright="1">
                            <a:noAutofit/>
                          </wps:bodyPr>
                        </wps:wsp>
                        <wps:wsp>
                          <wps:cNvPr id="890928318" name="Line 59"/>
                          <wps:cNvCnPr>
                            <a:cxnSpLocks noChangeShapeType="1"/>
                          </wps:cNvCnPr>
                          <wps:spPr bwMode="auto">
                            <a:xfrm flipH="1">
                              <a:off x="8123" y="7189"/>
                              <a:ext cx="1" cy="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506548" name="AutoShape 61"/>
                          <wps:cNvCnPr>
                            <a:cxnSpLocks noChangeShapeType="1"/>
                          </wps:cNvCnPr>
                          <wps:spPr bwMode="auto">
                            <a:xfrm>
                              <a:off x="4429" y="7173"/>
                              <a:ext cx="3683"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156238" name="Line 62"/>
                          <wps:cNvCnPr>
                            <a:cxnSpLocks noChangeShapeType="1"/>
                          </wps:cNvCnPr>
                          <wps:spPr bwMode="auto">
                            <a:xfrm>
                              <a:off x="6212" y="6850"/>
                              <a:ext cx="1"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7586176" name="Rectangle 64"/>
                          <wps:cNvSpPr>
                            <a:spLocks noChangeArrowheads="1"/>
                          </wps:cNvSpPr>
                          <wps:spPr bwMode="auto">
                            <a:xfrm>
                              <a:off x="4352" y="11354"/>
                              <a:ext cx="3796" cy="527"/>
                            </a:xfrm>
                            <a:prstGeom prst="rect">
                              <a:avLst/>
                            </a:prstGeom>
                            <a:solidFill>
                              <a:srgbClr val="99CCFF"/>
                            </a:solidFill>
                            <a:ln w="9525">
                              <a:solidFill>
                                <a:srgbClr val="FFFFFF"/>
                              </a:solidFill>
                              <a:miter lim="800000"/>
                              <a:headEnd/>
                              <a:tailEnd/>
                            </a:ln>
                          </wps:spPr>
                          <wps:txbx>
                            <w:txbxContent>
                              <w:p w14:paraId="65F9DF53"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Assessing Discharges from</w:t>
                                </w:r>
                                <w:r>
                                  <w:rPr>
                                    <w:rFonts w:ascii="Arial" w:hAnsi="Arial" w:cs="Arial"/>
                                    <w:b/>
                                    <w:sz w:val="16"/>
                                    <w:szCs w:val="16"/>
                                  </w:rPr>
                                  <w:br/>
                                  <w:t xml:space="preserve">Industry </w:t>
                                </w:r>
                                <w:r w:rsidRPr="005B5FD6">
                                  <w:rPr>
                                    <w:rFonts w:ascii="Arial" w:hAnsi="Arial" w:cs="Arial"/>
                                    <w:b/>
                                    <w:sz w:val="16"/>
                                    <w:szCs w:val="16"/>
                                  </w:rPr>
                                  <w:t>(2008)</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54513E5E" id="Canvas 4" o:spid="_x0000_s1026" editas="canvas" style="position:absolute;left:0;text-align:left;margin-left:-61.65pt;margin-top:8.5pt;width:407.6pt;height:411.95pt;z-index:-251659776" coordsize="51765,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65;height:52317;visibility:visible;mso-wrap-style:square">
                  <v:fill o:detectmouseclick="t"/>
                  <v:path o:connecttype="none"/>
                </v:shape>
                <v:line id="Line 44" o:spid="_x0000_s1028" style="position:absolute;visibility:visible;mso-wrap-style:square" from="42297,8001" to="4229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">
                  <v:stroke endarrow="block"/>
                </v:line>
                <v:group id="Group 180" o:spid="_x0000_s1029" style="position:absolute;left:9150;width:36163;height:50946" coordorigin="3431,5396" coordsize="5695,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">
                  <v:rect id="Rectangle 32" o:spid="_x0000_s1030" style="position:absolute;left:4689;top:6311;width:306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" fillcolor="#ffc000" strokecolor="white">
                    <v:textbox>
                      <w:txbxContent>
                        <w:p w14:paraId="6F49D26B"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National Environmental Standards (Air) 2004</w:t>
                          </w:r>
                        </w:p>
                      </w:txbxContent>
                    </v:textbox>
                  </v:rect>
                  <v:rect id="Rectangle 33" o:spid="_x0000_s1031" style="position:absolute;left:7130;top:7466;width:1996;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" fillcolor="#f90" strokecolor="white">
                    <v:textbox>
                      <w:txbxContent>
                        <w:p w14:paraId="4FB03727"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2011</w:t>
                          </w:r>
                          <w:r>
                            <w:rPr>
                              <w:rFonts w:ascii="Arial" w:hAnsi="Arial" w:cs="Arial"/>
                              <w:b/>
                              <w:sz w:val="18"/>
                              <w:szCs w:val="18"/>
                            </w:rPr>
                            <w:br/>
                          </w:r>
                          <w:r w:rsidRPr="00D65CDC">
                            <w:rPr>
                              <w:rFonts w:ascii="Arial" w:hAnsi="Arial" w:cs="Arial"/>
                              <w:b/>
                              <w:sz w:val="18"/>
                              <w:szCs w:val="18"/>
                            </w:rPr>
                            <w:t>Users’ Guide</w:t>
                          </w:r>
                        </w:p>
                      </w:txbxContent>
                    </v:textbox>
                  </v:rect>
                  <v:rect id="Rectangle 37" o:spid="_x0000_s1032" style="position:absolute;left:4352;top:12892;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" fillcolor="#9c0" strokecolor="white">
                    <v:textbox>
                      <w:txbxContent>
                        <w:p w14:paraId="6C1721EE" w14:textId="77777777" w:rsidR="0030091F" w:rsidRPr="00520CFA" w:rsidRDefault="0030091F" w:rsidP="00BD0BA0">
                          <w:pPr>
                            <w:jc w:val="center"/>
                            <w:rPr>
                              <w:rFonts w:ascii="Arial" w:hAnsi="Arial" w:cs="Arial"/>
                              <w:b/>
                              <w:sz w:val="16"/>
                              <w:szCs w:val="16"/>
                            </w:rPr>
                          </w:pPr>
                          <w:r w:rsidRPr="00520CFA">
                            <w:rPr>
                              <w:rFonts w:ascii="Arial" w:hAnsi="Arial" w:cs="Arial"/>
                              <w:b/>
                              <w:sz w:val="16"/>
                              <w:szCs w:val="16"/>
                            </w:rPr>
                            <w:t xml:space="preserve">GPG on </w:t>
                          </w:r>
                          <w:r>
                            <w:rPr>
                              <w:rFonts w:ascii="Arial" w:hAnsi="Arial" w:cs="Arial"/>
                              <w:b/>
                              <w:sz w:val="16"/>
                              <w:szCs w:val="16"/>
                            </w:rPr>
                            <w:t>Assessing &amp; Managing Discharges from Domestic Fires (proposed)</w:t>
                          </w:r>
                        </w:p>
                      </w:txbxContent>
                    </v:textbox>
                  </v:rect>
                  <v:line id="Line 38" o:spid="_x0000_s1033" style="position:absolute;visibility:visible;mso-wrap-style:square" from="5434,7755" to="7135,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">
                    <v:stroke dashstyle="dash" startarrow="classic" endarrow="classic"/>
                  </v:line>
                  <v:line id="Line 39" o:spid="_x0000_s1034" style="position:absolute;flip:x;visibility:visible;mso-wrap-style:square" from="4429,7174" to="4430,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">
                    <v:stroke endarrow="block"/>
                  </v:line>
                  <v:rect id="Rectangle 45" o:spid="_x0000_s1035" style="position:absolute;left:3431;top:7464;width:200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" fillcolor="#f90" strokecolor="white">
                    <v:textbox>
                      <w:txbxContent>
                        <w:p w14:paraId="40BC2E60"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PM</w:t>
                          </w:r>
                          <w:r w:rsidRPr="00D65CDC">
                            <w:rPr>
                              <w:rFonts w:ascii="Arial" w:hAnsi="Arial" w:cs="Arial"/>
                              <w:b/>
                              <w:sz w:val="18"/>
                              <w:szCs w:val="18"/>
                              <w:vertAlign w:val="subscript"/>
                            </w:rPr>
                            <w:t>10</w:t>
                          </w:r>
                          <w:r w:rsidRPr="00D65CDC">
                            <w:rPr>
                              <w:rFonts w:ascii="Arial" w:hAnsi="Arial" w:cs="Arial"/>
                              <w:b/>
                              <w:sz w:val="18"/>
                              <w:szCs w:val="18"/>
                            </w:rPr>
                            <w:t xml:space="preserve"> Compliance Strategy</w:t>
                          </w:r>
                        </w:p>
                      </w:txbxContent>
                    </v:textbox>
                  </v:rect>
                  <v:rect id="Rectangle 47" o:spid="_x0000_s1036" style="position:absolute;left:4664;top:5396;width:306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" fillcolor="#fc0" strokecolor="white">
                    <v:textbox>
                      <w:txbxContent>
                        <w:p w14:paraId="103B6438" w14:textId="77777777" w:rsidR="0030091F" w:rsidRPr="00D65CDC" w:rsidRDefault="0030091F" w:rsidP="00BD0BA0">
                          <w:pPr>
                            <w:jc w:val="center"/>
                            <w:rPr>
                              <w:rFonts w:ascii="Arial" w:hAnsi="Arial" w:cs="Arial"/>
                              <w:b/>
                              <w:sz w:val="18"/>
                              <w:szCs w:val="18"/>
                            </w:rPr>
                          </w:pPr>
                          <w:r w:rsidRPr="00D65CDC">
                            <w:rPr>
                              <w:rFonts w:ascii="Arial" w:hAnsi="Arial" w:cs="Arial"/>
                              <w:b/>
                              <w:sz w:val="18"/>
                              <w:szCs w:val="18"/>
                            </w:rPr>
                            <w:t>Resource Management Act 1991</w:t>
                          </w:r>
                        </w:p>
                      </w:txbxContent>
                    </v:textbox>
                  </v:rect>
                  <v:line id="Line 48" o:spid="_x0000_s1037" style="position:absolute;visibility:visible;mso-wrap-style:square" from="6212,5949" to="6214,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">
                    <v:stroke endarrow="block"/>
                  </v:line>
                  <v:rect id="Rectangle 49" o:spid="_x0000_s1038" style="position:absolute;left:4352;top:9065;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" fillcolor="#9cf" strokecolor="white">
                    <v:textbox>
                      <w:txbxContent>
                        <w:p w14:paraId="486CF52D"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Preparing Emission Inventories</w:t>
                          </w:r>
                          <w:r>
                            <w:rPr>
                              <w:rFonts w:ascii="Arial" w:hAnsi="Arial" w:cs="Arial"/>
                              <w:b/>
                              <w:sz w:val="16"/>
                              <w:szCs w:val="16"/>
                            </w:rPr>
                            <w:t xml:space="preserve"> </w:t>
                          </w:r>
                          <w:r w:rsidRPr="005B5FD6">
                            <w:rPr>
                              <w:rFonts w:ascii="Arial" w:hAnsi="Arial" w:cs="Arial"/>
                              <w:b/>
                              <w:sz w:val="16"/>
                              <w:szCs w:val="16"/>
                            </w:rPr>
                            <w:t>(2001)</w:t>
                          </w:r>
                        </w:p>
                      </w:txbxContent>
                    </v:textbox>
                  </v:rect>
                  <v:rect id="Rectangle 50" o:spid="_x0000_s1039" style="position:absolute;left:4352;top:9824;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" fillcolor="#9cf" strokecolor="white">
                    <v:textbox>
                      <w:txbxContent>
                        <w:p w14:paraId="709D55B9"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Atmospheric Dispersion Modelling (2004)</w:t>
                          </w:r>
                        </w:p>
                      </w:txbxContent>
                    </v:textbox>
                  </v:rect>
                  <v:rect id="Rectangle 51" o:spid="_x0000_s1040" style="position:absolute;left:4352;top:10588;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" fillcolor="#9cf" strokecolor="white">
                    <v:textbox>
                      <w:txbxContent>
                        <w:p w14:paraId="0047FB1C"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Assessing Discharges from</w:t>
                          </w:r>
                          <w:r>
                            <w:rPr>
                              <w:rFonts w:ascii="Arial" w:hAnsi="Arial" w:cs="Arial"/>
                              <w:b/>
                              <w:sz w:val="16"/>
                              <w:szCs w:val="16"/>
                            </w:rPr>
                            <w:br/>
                          </w:r>
                          <w:r w:rsidRPr="005B5FD6">
                            <w:rPr>
                              <w:rFonts w:ascii="Arial" w:hAnsi="Arial" w:cs="Arial"/>
                              <w:b/>
                              <w:sz w:val="16"/>
                              <w:szCs w:val="16"/>
                            </w:rPr>
                            <w:t>Land Transport</w:t>
                          </w:r>
                          <w:r>
                            <w:rPr>
                              <w:rFonts w:ascii="Arial" w:hAnsi="Arial" w:cs="Arial"/>
                              <w:b/>
                              <w:sz w:val="16"/>
                              <w:szCs w:val="16"/>
                            </w:rPr>
                            <w:t xml:space="preserve"> </w:t>
                          </w:r>
                          <w:r w:rsidRPr="005B5FD6">
                            <w:rPr>
                              <w:rFonts w:ascii="Arial" w:hAnsi="Arial" w:cs="Arial"/>
                              <w:b/>
                              <w:sz w:val="16"/>
                              <w:szCs w:val="16"/>
                            </w:rPr>
                            <w:t>(2008)</w:t>
                          </w:r>
                        </w:p>
                      </w:txbxContent>
                    </v:textbox>
                  </v:rect>
                  <v:rect id="Rectangle 52" o:spid="_x0000_s1041" style="position:absolute;left:4352;top:12123;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" fillcolor="#9cf" strokecolor="white">
                    <v:textbox>
                      <w:txbxContent>
                        <w:p w14:paraId="121D2CDF"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Monitoring &amp; Data Management</w:t>
                          </w:r>
                          <w:r>
                            <w:rPr>
                              <w:rFonts w:ascii="Arial" w:hAnsi="Arial" w:cs="Arial"/>
                              <w:b/>
                              <w:sz w:val="16"/>
                              <w:szCs w:val="16"/>
                            </w:rPr>
                            <w:t xml:space="preserve"> </w:t>
                          </w:r>
                          <w:r w:rsidRPr="005B5FD6">
                            <w:rPr>
                              <w:rFonts w:ascii="Arial" w:hAnsi="Arial" w:cs="Arial"/>
                              <w:b/>
                              <w:sz w:val="16"/>
                              <w:szCs w:val="16"/>
                            </w:rPr>
                            <w:t>(2009)</w:t>
                          </w:r>
                        </w:p>
                      </w:txbxContent>
                    </v:textbox>
                  </v:rect>
                  <v:rect id="Rectangle 53" o:spid="_x0000_s1042" style="position:absolute;left:4352;top:8306;width:379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" fillcolor="#9cf" strokecolor="white">
                    <v:textbox inset="1.5mm,,1.5mm">
                      <w:txbxContent>
                        <w:p w14:paraId="6BE2C61F" w14:textId="77777777" w:rsidR="0030091F" w:rsidRPr="005B5FD6" w:rsidRDefault="0030091F" w:rsidP="00BD0BA0">
                          <w:pPr>
                            <w:jc w:val="center"/>
                            <w:rPr>
                              <w:rFonts w:ascii="Arial" w:hAnsi="Arial" w:cs="Arial"/>
                              <w:b/>
                              <w:sz w:val="16"/>
                              <w:szCs w:val="16"/>
                            </w:rPr>
                          </w:pPr>
                          <w:r>
                            <w:rPr>
                              <w:rFonts w:ascii="Arial" w:hAnsi="Arial" w:cs="Arial"/>
                              <w:b/>
                              <w:sz w:val="16"/>
                              <w:szCs w:val="16"/>
                            </w:rPr>
                            <w:t xml:space="preserve">GPG on </w:t>
                          </w:r>
                          <w:r w:rsidRPr="00520CFA">
                            <w:rPr>
                              <w:rFonts w:ascii="Arial" w:hAnsi="Arial" w:cs="Arial"/>
                              <w:b/>
                              <w:sz w:val="16"/>
                              <w:szCs w:val="16"/>
                            </w:rPr>
                            <w:t xml:space="preserve">Compliance Monitoring </w:t>
                          </w:r>
                          <w:r>
                            <w:rPr>
                              <w:rFonts w:ascii="Arial" w:hAnsi="Arial" w:cs="Arial"/>
                              <w:b/>
                              <w:sz w:val="16"/>
                              <w:szCs w:val="16"/>
                            </w:rPr>
                            <w:t>&amp;</w:t>
                          </w:r>
                          <w:r>
                            <w:rPr>
                              <w:rFonts w:ascii="Arial" w:hAnsi="Arial" w:cs="Arial"/>
                              <w:b/>
                              <w:sz w:val="16"/>
                              <w:szCs w:val="16"/>
                            </w:rPr>
                            <w:br/>
                          </w:r>
                          <w:r w:rsidRPr="00520CFA">
                            <w:rPr>
                              <w:rFonts w:ascii="Arial" w:hAnsi="Arial" w:cs="Arial"/>
                              <w:b/>
                              <w:sz w:val="16"/>
                              <w:szCs w:val="16"/>
                            </w:rPr>
                            <w:t>Emissions Testing of Discharges to Air</w:t>
                          </w:r>
                          <w:r>
                            <w:rPr>
                              <w:rFonts w:ascii="Arial" w:hAnsi="Arial" w:cs="Arial"/>
                              <w:b/>
                              <w:sz w:val="16"/>
                              <w:szCs w:val="16"/>
                            </w:rPr>
                            <w:t xml:space="preserve"> (1998)</w:t>
                          </w:r>
                        </w:p>
                      </w:txbxContent>
                    </v:textbox>
                  </v:rect>
                  <v:line id="Line 59" o:spid="_x0000_s1043" style="position:absolute;flip:x;visibility:visible;mso-wrap-style:square" from="8123,7189" to="8124,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">
                    <v:stroke endarrow="block"/>
                  </v:line>
                  <v:shapetype id="_x0000_t32" coordsize="21600,21600" o:spt="32" o:oned="t" path="m,l21600,21600e" filled="f">
                    <v:path arrowok="t" fillok="f" o:connecttype="none"/>
                    <o:lock v:ext="edit" shapetype="t"/>
                  </v:shapetype>
                  <v:shape id="AutoShape 61" o:spid="_x0000_s1044" type="#_x0000_t32" style="position:absolute;left:4429;top:7173;width:3683;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"/>
                  <v:line id="Line 62" o:spid="_x0000_s1045" style="position:absolute;visibility:visible;mso-wrap-style:square" from="6212,6850" to="6213,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">
                    <v:stroke endarrow="block"/>
                  </v:line>
                  <v:rect id="Rectangle 64" o:spid="_x0000_s1046" style="position:absolute;left:4352;top:11354;width:37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" fillcolor="#9cf" strokecolor="white">
                    <v:textbox>
                      <w:txbxContent>
                        <w:p w14:paraId="65F9DF53" w14:textId="77777777" w:rsidR="0030091F" w:rsidRPr="005B5FD6" w:rsidRDefault="0030091F" w:rsidP="00BD0BA0">
                          <w:pPr>
                            <w:jc w:val="center"/>
                            <w:rPr>
                              <w:rFonts w:ascii="Arial" w:hAnsi="Arial" w:cs="Arial"/>
                              <w:b/>
                              <w:sz w:val="16"/>
                              <w:szCs w:val="16"/>
                            </w:rPr>
                          </w:pPr>
                          <w:r w:rsidRPr="005B5FD6">
                            <w:rPr>
                              <w:rFonts w:ascii="Arial" w:hAnsi="Arial" w:cs="Arial"/>
                              <w:b/>
                              <w:sz w:val="16"/>
                              <w:szCs w:val="16"/>
                            </w:rPr>
                            <w:t>GPG on Assessing Discharges from</w:t>
                          </w:r>
                          <w:r>
                            <w:rPr>
                              <w:rFonts w:ascii="Arial" w:hAnsi="Arial" w:cs="Arial"/>
                              <w:b/>
                              <w:sz w:val="16"/>
                              <w:szCs w:val="16"/>
                            </w:rPr>
                            <w:br/>
                            <w:t xml:space="preserve">Industry </w:t>
                          </w:r>
                          <w:r w:rsidRPr="005B5FD6">
                            <w:rPr>
                              <w:rFonts w:ascii="Arial" w:hAnsi="Arial" w:cs="Arial"/>
                              <w:b/>
                              <w:sz w:val="16"/>
                              <w:szCs w:val="16"/>
                            </w:rPr>
                            <w:t>(2008)</w:t>
                          </w:r>
                        </w:p>
                      </w:txbxContent>
                    </v:textbox>
                  </v:rect>
                </v:group>
                <w10:wrap type="tight"/>
              </v:group>
            </w:pict>
          </mc:Fallback>
        </mc:AlternateContent>
      </w:r>
      <w:bookmarkStart w:id="17" w:name="content"/>
      <w:bookmarkStart w:id="18" w:name="_Toc298095003"/>
      <w:bookmarkEnd w:id="17"/>
      <w:r w:rsidR="006F4861">
        <w:br w:type="page"/>
      </w:r>
      <w:r w:rsidR="00BD0BA0">
        <w:t>The Ministry for the Environment has also published good practice guides on assessing and managing the effects of dust (MfE, 2001a) and odour (MfE, 2003) but these are not shown in figure 1 as they are not directly related to meeting the Regulations.</w:t>
      </w:r>
    </w:p>
    <w:p w14:paraId="7B966CB9" w14:textId="77777777" w:rsidR="00006C58" w:rsidRDefault="00006C58" w:rsidP="00BD0BA0">
      <w:pPr>
        <w:jc w:val="left"/>
      </w:pPr>
    </w:p>
    <w:p w14:paraId="54D5EEBD" w14:textId="77777777" w:rsidR="006F4861" w:rsidRPr="00506204" w:rsidRDefault="006F4861" w:rsidP="006F4861">
      <w:pPr>
        <w:pStyle w:val="Heading2"/>
      </w:pPr>
      <w:bookmarkStart w:id="19" w:name="_Toc300856587"/>
      <w:r w:rsidRPr="00506204">
        <w:t>1.</w:t>
      </w:r>
      <w:r>
        <w:t>6</w:t>
      </w:r>
      <w:r w:rsidRPr="00506204">
        <w:tab/>
      </w:r>
      <w:r>
        <w:t>How is the Users’ Guide structured</w:t>
      </w:r>
      <w:r w:rsidRPr="00506204">
        <w:t>?</w:t>
      </w:r>
      <w:bookmarkEnd w:id="18"/>
      <w:bookmarkEnd w:id="19"/>
    </w:p>
    <w:p w14:paraId="2E34BA7A" w14:textId="77777777" w:rsidR="006F4861" w:rsidRPr="001F25C4" w:rsidRDefault="006F4861" w:rsidP="006F4861">
      <w:r>
        <w:t>The</w:t>
      </w:r>
      <w:r w:rsidRPr="001F25C4">
        <w:t xml:space="preserve"> </w:t>
      </w:r>
      <w:r w:rsidR="004C1281">
        <w:t xml:space="preserve">2011 </w:t>
      </w:r>
      <w:r>
        <w:t>Users’ Guide consists of six chapters and is structured to follow the general content of the Regulations as outlined below</w:t>
      </w:r>
      <w:r w:rsidR="008448E4">
        <w:t>.</w:t>
      </w:r>
    </w:p>
    <w:p w14:paraId="37E2B0CA" w14:textId="77777777" w:rsidR="006F4861" w:rsidRPr="00AF0934" w:rsidRDefault="006F4861" w:rsidP="00152DF6">
      <w:pPr>
        <w:pStyle w:val="Bullet"/>
        <w:numPr>
          <w:ilvl w:val="0"/>
          <w:numId w:val="8"/>
        </w:numPr>
        <w:rPr>
          <w:rStyle w:val="Hyperlink"/>
          <w:color w:val="auto"/>
        </w:rPr>
      </w:pPr>
      <w:r w:rsidRPr="00AF0934">
        <w:rPr>
          <w:rStyle w:val="Hyperlink"/>
          <w:color w:val="auto"/>
        </w:rPr>
        <w:t>Seven activity standards that ban various activities that discharge unacceptable quantities of dioxins and other toxics into t</w:t>
      </w:r>
      <w:r w:rsidR="005F4875">
        <w:rPr>
          <w:rStyle w:val="Hyperlink"/>
          <w:color w:val="auto"/>
        </w:rPr>
        <w:t xml:space="preserve">he air. </w:t>
      </w:r>
      <w:r w:rsidRPr="00AF0934">
        <w:rPr>
          <w:rStyle w:val="Hyperlink"/>
          <w:color w:val="auto"/>
        </w:rPr>
        <w:t>These are outlined in Chapter 2.</w:t>
      </w:r>
    </w:p>
    <w:p w14:paraId="0EA50064" w14:textId="77777777" w:rsidR="006F4861" w:rsidRPr="00AF0934" w:rsidRDefault="006F4861" w:rsidP="00152DF6">
      <w:pPr>
        <w:pStyle w:val="Bullet"/>
        <w:numPr>
          <w:ilvl w:val="0"/>
          <w:numId w:val="8"/>
        </w:numPr>
        <w:rPr>
          <w:rStyle w:val="Hyperlink"/>
          <w:color w:val="auto"/>
        </w:rPr>
      </w:pPr>
      <w:r w:rsidRPr="00AF0934">
        <w:rPr>
          <w:rStyle w:val="Hyperlink"/>
          <w:color w:val="auto"/>
        </w:rPr>
        <w:t>Five ambient air quality standards for carbon monoxide (CO), nitrogen dioxide (NO</w:t>
      </w:r>
      <w:r w:rsidRPr="002D4396">
        <w:rPr>
          <w:rStyle w:val="Hyperlink"/>
          <w:color w:val="auto"/>
          <w:vertAlign w:val="subscript"/>
        </w:rPr>
        <w:t>2</w:t>
      </w:r>
      <w:r w:rsidRPr="00AF0934">
        <w:rPr>
          <w:rStyle w:val="Hyperlink"/>
          <w:color w:val="auto"/>
        </w:rPr>
        <w:t>), sulphur dioxide (SO</w:t>
      </w:r>
      <w:r w:rsidRPr="002D4396">
        <w:rPr>
          <w:rStyle w:val="Hyperlink"/>
          <w:color w:val="auto"/>
          <w:vertAlign w:val="subscript"/>
        </w:rPr>
        <w:t>2</w:t>
      </w:r>
      <w:r w:rsidRPr="00AF0934">
        <w:rPr>
          <w:rStyle w:val="Hyperlink"/>
          <w:color w:val="auto"/>
        </w:rPr>
        <w:t>)</w:t>
      </w:r>
      <w:r w:rsidR="00074CA6">
        <w:rPr>
          <w:rStyle w:val="Hyperlink"/>
          <w:color w:val="auto"/>
        </w:rPr>
        <w:t>,</w:t>
      </w:r>
      <w:r w:rsidRPr="00AF0934">
        <w:rPr>
          <w:rStyle w:val="Hyperlink"/>
          <w:color w:val="auto"/>
        </w:rPr>
        <w:t xml:space="preserve"> ozone (</w:t>
      </w:r>
      <w:r>
        <w:rPr>
          <w:rStyle w:val="Hyperlink"/>
          <w:color w:val="auto"/>
        </w:rPr>
        <w:t>O</w:t>
      </w:r>
      <w:r w:rsidRPr="002D4396">
        <w:rPr>
          <w:rStyle w:val="Hyperlink"/>
          <w:color w:val="auto"/>
          <w:vertAlign w:val="subscript"/>
        </w:rPr>
        <w:t>3</w:t>
      </w:r>
      <w:r w:rsidR="005F4875">
        <w:rPr>
          <w:rStyle w:val="Hyperlink"/>
          <w:color w:val="auto"/>
        </w:rPr>
        <w:t>)</w:t>
      </w:r>
      <w:r w:rsidR="00074CA6">
        <w:rPr>
          <w:rStyle w:val="Hyperlink"/>
          <w:color w:val="auto"/>
        </w:rPr>
        <w:t xml:space="preserve"> and </w:t>
      </w:r>
      <w:r w:rsidR="00074CA6" w:rsidRPr="00AF0934">
        <w:rPr>
          <w:rStyle w:val="Hyperlink"/>
          <w:color w:val="auto"/>
        </w:rPr>
        <w:t>particulate matter less than 10 micrometres in diameter (PM</w:t>
      </w:r>
      <w:r w:rsidR="00074CA6" w:rsidRPr="002D4396">
        <w:rPr>
          <w:rStyle w:val="Hyperlink"/>
          <w:color w:val="auto"/>
          <w:vertAlign w:val="subscript"/>
        </w:rPr>
        <w:t>10</w:t>
      </w:r>
      <w:r w:rsidR="00074CA6" w:rsidRPr="00AF0934">
        <w:rPr>
          <w:rStyle w:val="Hyperlink"/>
          <w:color w:val="auto"/>
        </w:rPr>
        <w:t>)</w:t>
      </w:r>
      <w:r w:rsidR="005F4875">
        <w:rPr>
          <w:rStyle w:val="Hyperlink"/>
          <w:color w:val="auto"/>
        </w:rPr>
        <w:t xml:space="preserve">. </w:t>
      </w:r>
      <w:r w:rsidRPr="00AF0934">
        <w:rPr>
          <w:rStyle w:val="Hyperlink"/>
          <w:color w:val="auto"/>
        </w:rPr>
        <w:t>These are outlined in Chapters 3 and 4.</w:t>
      </w:r>
    </w:p>
    <w:p w14:paraId="6B0CA8FC" w14:textId="77777777" w:rsidR="006F4861" w:rsidRPr="00AF0934" w:rsidRDefault="006F4861" w:rsidP="00152DF6">
      <w:pPr>
        <w:pStyle w:val="Bullet"/>
        <w:numPr>
          <w:ilvl w:val="0"/>
          <w:numId w:val="8"/>
        </w:numPr>
        <w:rPr>
          <w:rStyle w:val="Hyperlink"/>
          <w:color w:val="auto"/>
        </w:rPr>
      </w:pPr>
      <w:r w:rsidRPr="00AF0934">
        <w:rPr>
          <w:rStyle w:val="Hyperlink"/>
          <w:color w:val="auto"/>
        </w:rPr>
        <w:t>A design standard for new small-scale domestic wood-burning appliances and an activity standard that bans new solid-fuel burning op</w:t>
      </w:r>
      <w:r w:rsidR="005F4875">
        <w:rPr>
          <w:rStyle w:val="Hyperlink"/>
          <w:color w:val="auto"/>
        </w:rPr>
        <w:t xml:space="preserve">en fires in polluted airsheds. </w:t>
      </w:r>
      <w:r w:rsidRPr="00AF0934">
        <w:rPr>
          <w:rStyle w:val="Hyperlink"/>
          <w:color w:val="auto"/>
        </w:rPr>
        <w:t>These are outlined in Chapter 5.</w:t>
      </w:r>
    </w:p>
    <w:p w14:paraId="5FBBAF46" w14:textId="77777777" w:rsidR="006F4861" w:rsidRPr="00AF0934" w:rsidRDefault="006F4861" w:rsidP="00152DF6">
      <w:pPr>
        <w:pStyle w:val="Bullet"/>
        <w:numPr>
          <w:ilvl w:val="0"/>
          <w:numId w:val="8"/>
        </w:numPr>
        <w:rPr>
          <w:rStyle w:val="Hyperlink"/>
          <w:color w:val="auto"/>
        </w:rPr>
      </w:pPr>
      <w:r w:rsidRPr="00AF0934">
        <w:rPr>
          <w:rStyle w:val="Hyperlink"/>
          <w:color w:val="auto"/>
        </w:rPr>
        <w:t>A design standard for the collection and destruction of l</w:t>
      </w:r>
      <w:r w:rsidR="005F4875">
        <w:rPr>
          <w:rStyle w:val="Hyperlink"/>
          <w:color w:val="auto"/>
        </w:rPr>
        <w:t>andfill gas at large landfills.</w:t>
      </w:r>
      <w:r w:rsidRPr="00AF0934">
        <w:rPr>
          <w:rStyle w:val="Hyperlink"/>
          <w:color w:val="auto"/>
        </w:rPr>
        <w:t xml:space="preserve"> This is outlined in Chapter 6.</w:t>
      </w:r>
    </w:p>
    <w:p w14:paraId="3E4007A4" w14:textId="77777777" w:rsidR="006F4861" w:rsidRDefault="006F4861" w:rsidP="006F4861">
      <w:pPr>
        <w:pStyle w:val="Sub-list"/>
        <w:tabs>
          <w:tab w:val="clear" w:pos="397"/>
        </w:tabs>
        <w:spacing w:before="0"/>
        <w:ind w:left="0"/>
      </w:pPr>
    </w:p>
    <w:p w14:paraId="3971F80B" w14:textId="77777777" w:rsidR="006F4861" w:rsidRDefault="006F4861" w:rsidP="006F4861">
      <w:pPr>
        <w:pStyle w:val="Sub-list"/>
        <w:tabs>
          <w:tab w:val="clear" w:pos="397"/>
        </w:tabs>
        <w:spacing w:before="0"/>
        <w:ind w:left="0"/>
      </w:pPr>
      <w:r>
        <w:t xml:space="preserve">Table 1 indicates where guidance on specific </w:t>
      </w:r>
      <w:r w:rsidR="00D752E1">
        <w:t>Regulation</w:t>
      </w:r>
      <w:r>
        <w:t>s can be found</w:t>
      </w:r>
      <w:r w:rsidR="00074CA6">
        <w:t xml:space="preserve"> within the Users’ Guide</w:t>
      </w:r>
      <w:r>
        <w:t>.</w:t>
      </w:r>
    </w:p>
    <w:p w14:paraId="64459330" w14:textId="77777777" w:rsidR="006F4861" w:rsidRPr="009C6DE6" w:rsidRDefault="006F4861" w:rsidP="006F4861">
      <w:pPr>
        <w:pStyle w:val="Sub-list"/>
        <w:tabs>
          <w:tab w:val="clear" w:pos="397"/>
        </w:tabs>
        <w:ind w:left="0"/>
        <w:rPr>
          <w:highlight w:val="yellow"/>
        </w:rPr>
      </w:pPr>
    </w:p>
    <w:p w14:paraId="5C2C866E" w14:textId="77777777" w:rsidR="006F4861" w:rsidRDefault="006F4861" w:rsidP="00407749">
      <w:pPr>
        <w:pStyle w:val="Tableheading"/>
      </w:pPr>
      <w:bookmarkStart w:id="20" w:name="_Toc298095064"/>
      <w:bookmarkStart w:id="21" w:name="_Toc377645807"/>
      <w:r>
        <w:t>Table 1:</w:t>
      </w:r>
      <w:r>
        <w:tab/>
        <w:t xml:space="preserve">Regulations and relevant sections of the </w:t>
      </w:r>
      <w:r w:rsidR="004C1281">
        <w:t xml:space="preserve">2011 </w:t>
      </w:r>
      <w:r>
        <w:t>Users’ Guide</w:t>
      </w:r>
      <w:bookmarkEnd w:id="20"/>
      <w:bookmarkEnd w:id="21"/>
    </w:p>
    <w:tbl>
      <w:tblPr>
        <w:tblW w:w="4939" w:type="pct"/>
        <w:tblLook w:val="04A0" w:firstRow="1" w:lastRow="0" w:firstColumn="1" w:lastColumn="0" w:noHBand="0" w:noVBand="1"/>
      </w:tblPr>
      <w:tblGrid>
        <w:gridCol w:w="464"/>
        <w:gridCol w:w="5448"/>
        <w:gridCol w:w="2488"/>
      </w:tblGrid>
      <w:tr w:rsidR="006F4861" w14:paraId="58083588" w14:textId="77777777" w:rsidTr="004C1281">
        <w:tc>
          <w:tcPr>
            <w:tcW w:w="3519" w:type="pct"/>
            <w:gridSpan w:val="2"/>
            <w:tcBorders>
              <w:top w:val="single" w:sz="8" w:space="0" w:color="auto"/>
              <w:left w:val="nil"/>
              <w:bottom w:val="single" w:sz="8" w:space="0" w:color="auto"/>
              <w:right w:val="nil"/>
            </w:tcBorders>
          </w:tcPr>
          <w:p w14:paraId="332E1CAD" w14:textId="77777777" w:rsidR="006F4861" w:rsidRDefault="006F4861" w:rsidP="006F4861">
            <w:pPr>
              <w:pStyle w:val="TableTextbold"/>
            </w:pPr>
            <w:r>
              <w:t xml:space="preserve">Regulation </w:t>
            </w:r>
          </w:p>
        </w:tc>
        <w:tc>
          <w:tcPr>
            <w:tcW w:w="1481" w:type="pct"/>
            <w:tcBorders>
              <w:top w:val="single" w:sz="8" w:space="0" w:color="auto"/>
              <w:left w:val="nil"/>
              <w:bottom w:val="single" w:sz="8" w:space="0" w:color="auto"/>
              <w:right w:val="nil"/>
            </w:tcBorders>
          </w:tcPr>
          <w:p w14:paraId="0B0EF636" w14:textId="77777777" w:rsidR="006F4861" w:rsidRDefault="006F4861" w:rsidP="006F4861">
            <w:pPr>
              <w:pStyle w:val="TableTextbold"/>
            </w:pPr>
            <w:r>
              <w:t xml:space="preserve">Section of </w:t>
            </w:r>
            <w:r w:rsidR="004C1281">
              <w:t xml:space="preserve">2011 </w:t>
            </w:r>
            <w:r>
              <w:t>Users</w:t>
            </w:r>
            <w:r w:rsidR="004C1281">
              <w:t>’</w:t>
            </w:r>
            <w:r>
              <w:t xml:space="preserve"> Guide</w:t>
            </w:r>
          </w:p>
        </w:tc>
      </w:tr>
      <w:tr w:rsidR="006F4861" w14:paraId="02D22A8D" w14:textId="77777777" w:rsidTr="004C1281">
        <w:tc>
          <w:tcPr>
            <w:tcW w:w="276" w:type="pct"/>
            <w:tcBorders>
              <w:top w:val="single" w:sz="8" w:space="0" w:color="auto"/>
              <w:left w:val="nil"/>
              <w:bottom w:val="nil"/>
              <w:right w:val="nil"/>
            </w:tcBorders>
          </w:tcPr>
          <w:p w14:paraId="4DFA79EC" w14:textId="77777777" w:rsidR="006F4861" w:rsidRDefault="006F4861" w:rsidP="006F4861">
            <w:pPr>
              <w:pStyle w:val="TableText"/>
            </w:pPr>
          </w:p>
        </w:tc>
        <w:tc>
          <w:tcPr>
            <w:tcW w:w="3242" w:type="pct"/>
            <w:tcBorders>
              <w:top w:val="single" w:sz="8" w:space="0" w:color="auto"/>
              <w:left w:val="nil"/>
              <w:bottom w:val="nil"/>
              <w:right w:val="nil"/>
            </w:tcBorders>
          </w:tcPr>
          <w:p w14:paraId="1D243292" w14:textId="77777777" w:rsidR="006F4861" w:rsidRDefault="006F4861" w:rsidP="006F4861">
            <w:pPr>
              <w:pStyle w:val="TableText"/>
            </w:pPr>
            <w:r>
              <w:t>Landfill fires (Regulation 6)</w:t>
            </w:r>
          </w:p>
        </w:tc>
        <w:tc>
          <w:tcPr>
            <w:tcW w:w="1481" w:type="pct"/>
            <w:tcBorders>
              <w:top w:val="single" w:sz="8" w:space="0" w:color="auto"/>
              <w:left w:val="nil"/>
              <w:bottom w:val="nil"/>
              <w:right w:val="nil"/>
            </w:tcBorders>
          </w:tcPr>
          <w:p w14:paraId="10B4CABB" w14:textId="77777777" w:rsidR="006F4861" w:rsidRDefault="006F4861" w:rsidP="006F4861">
            <w:pPr>
              <w:pStyle w:val="TableText"/>
            </w:pPr>
            <w:r>
              <w:t>2.2.1</w:t>
            </w:r>
          </w:p>
        </w:tc>
      </w:tr>
      <w:tr w:rsidR="006F4861" w14:paraId="2EE05742" w14:textId="77777777" w:rsidTr="004C1281">
        <w:tc>
          <w:tcPr>
            <w:tcW w:w="276" w:type="pct"/>
            <w:tcBorders>
              <w:top w:val="nil"/>
              <w:left w:val="nil"/>
              <w:bottom w:val="nil"/>
              <w:right w:val="nil"/>
            </w:tcBorders>
          </w:tcPr>
          <w:p w14:paraId="53B702B1" w14:textId="77777777" w:rsidR="006F4861" w:rsidRDefault="006F4861" w:rsidP="006F4861">
            <w:pPr>
              <w:pStyle w:val="TableText"/>
            </w:pPr>
          </w:p>
        </w:tc>
        <w:tc>
          <w:tcPr>
            <w:tcW w:w="3242" w:type="pct"/>
            <w:tcBorders>
              <w:top w:val="nil"/>
              <w:left w:val="nil"/>
              <w:bottom w:val="nil"/>
              <w:right w:val="nil"/>
            </w:tcBorders>
          </w:tcPr>
          <w:p w14:paraId="2EEF253C" w14:textId="77777777" w:rsidR="006F4861" w:rsidRDefault="006F4861" w:rsidP="006F4861">
            <w:pPr>
              <w:pStyle w:val="TableText"/>
            </w:pPr>
            <w:r>
              <w:t>Burning of tyres in the open (Regulation 7)</w:t>
            </w:r>
          </w:p>
        </w:tc>
        <w:tc>
          <w:tcPr>
            <w:tcW w:w="1481" w:type="pct"/>
            <w:tcBorders>
              <w:top w:val="nil"/>
              <w:left w:val="nil"/>
              <w:bottom w:val="nil"/>
              <w:right w:val="nil"/>
            </w:tcBorders>
          </w:tcPr>
          <w:p w14:paraId="27742C9D" w14:textId="77777777" w:rsidR="006F4861" w:rsidRDefault="006F4861" w:rsidP="006F4861">
            <w:pPr>
              <w:pStyle w:val="TableText"/>
            </w:pPr>
            <w:r>
              <w:t>2.2.2</w:t>
            </w:r>
          </w:p>
        </w:tc>
      </w:tr>
      <w:tr w:rsidR="006F4861" w14:paraId="45C4E8A4" w14:textId="77777777" w:rsidTr="004C1281">
        <w:tc>
          <w:tcPr>
            <w:tcW w:w="276" w:type="pct"/>
            <w:tcBorders>
              <w:top w:val="nil"/>
              <w:left w:val="nil"/>
              <w:bottom w:val="nil"/>
              <w:right w:val="nil"/>
            </w:tcBorders>
          </w:tcPr>
          <w:p w14:paraId="6F8038BE" w14:textId="77777777" w:rsidR="006F4861" w:rsidRDefault="006F4861" w:rsidP="006F4861">
            <w:pPr>
              <w:pStyle w:val="TableText"/>
            </w:pPr>
          </w:p>
        </w:tc>
        <w:tc>
          <w:tcPr>
            <w:tcW w:w="3242" w:type="pct"/>
            <w:tcBorders>
              <w:top w:val="nil"/>
              <w:left w:val="nil"/>
              <w:bottom w:val="nil"/>
              <w:right w:val="nil"/>
            </w:tcBorders>
          </w:tcPr>
          <w:p w14:paraId="250DD2F3" w14:textId="77777777" w:rsidR="006F4861" w:rsidRDefault="006F4861" w:rsidP="006F4861">
            <w:pPr>
              <w:pStyle w:val="TableText"/>
            </w:pPr>
            <w:r>
              <w:t>Bitumen burning for road maintenance (Regulation 8)</w:t>
            </w:r>
          </w:p>
        </w:tc>
        <w:tc>
          <w:tcPr>
            <w:tcW w:w="1481" w:type="pct"/>
            <w:tcBorders>
              <w:top w:val="nil"/>
              <w:left w:val="nil"/>
              <w:bottom w:val="nil"/>
              <w:right w:val="nil"/>
            </w:tcBorders>
          </w:tcPr>
          <w:p w14:paraId="1E628CEB" w14:textId="77777777" w:rsidR="006F4861" w:rsidRDefault="006F4861" w:rsidP="006F4861">
            <w:pPr>
              <w:pStyle w:val="TableText"/>
            </w:pPr>
            <w:r>
              <w:t>2.2.3</w:t>
            </w:r>
          </w:p>
        </w:tc>
      </w:tr>
      <w:tr w:rsidR="006F4861" w14:paraId="0EF76047" w14:textId="77777777" w:rsidTr="004C1281">
        <w:tc>
          <w:tcPr>
            <w:tcW w:w="276" w:type="pct"/>
            <w:tcBorders>
              <w:top w:val="nil"/>
              <w:left w:val="nil"/>
              <w:bottom w:val="nil"/>
              <w:right w:val="nil"/>
            </w:tcBorders>
          </w:tcPr>
          <w:p w14:paraId="2E1DAA2E" w14:textId="77777777" w:rsidR="006F4861" w:rsidRDefault="006F4861" w:rsidP="006F4861">
            <w:pPr>
              <w:pStyle w:val="TableText"/>
            </w:pPr>
          </w:p>
        </w:tc>
        <w:tc>
          <w:tcPr>
            <w:tcW w:w="3242" w:type="pct"/>
            <w:tcBorders>
              <w:top w:val="nil"/>
              <w:left w:val="nil"/>
              <w:bottom w:val="nil"/>
              <w:right w:val="nil"/>
            </w:tcBorders>
          </w:tcPr>
          <w:p w14:paraId="43166EF1" w14:textId="77777777" w:rsidR="006F4861" w:rsidRDefault="006F4861" w:rsidP="006F4861">
            <w:pPr>
              <w:pStyle w:val="TableText"/>
            </w:pPr>
            <w:r>
              <w:t>Burning of coated wire in the open (Regulation 9)</w:t>
            </w:r>
          </w:p>
        </w:tc>
        <w:tc>
          <w:tcPr>
            <w:tcW w:w="1481" w:type="pct"/>
            <w:tcBorders>
              <w:top w:val="nil"/>
              <w:left w:val="nil"/>
              <w:bottom w:val="nil"/>
              <w:right w:val="nil"/>
            </w:tcBorders>
          </w:tcPr>
          <w:p w14:paraId="4EAAF149" w14:textId="77777777" w:rsidR="006F4861" w:rsidRDefault="006F4861" w:rsidP="006F4861">
            <w:pPr>
              <w:pStyle w:val="TableText"/>
            </w:pPr>
            <w:r>
              <w:t>2.2.4</w:t>
            </w:r>
          </w:p>
        </w:tc>
      </w:tr>
      <w:tr w:rsidR="006F4861" w14:paraId="2AACC1CB" w14:textId="77777777" w:rsidTr="004C1281">
        <w:tc>
          <w:tcPr>
            <w:tcW w:w="276" w:type="pct"/>
            <w:tcBorders>
              <w:top w:val="nil"/>
              <w:left w:val="nil"/>
              <w:bottom w:val="nil"/>
              <w:right w:val="nil"/>
            </w:tcBorders>
          </w:tcPr>
          <w:p w14:paraId="433546B4" w14:textId="77777777" w:rsidR="006F4861" w:rsidRDefault="006F4861" w:rsidP="006F4861">
            <w:pPr>
              <w:pStyle w:val="TableText"/>
            </w:pPr>
          </w:p>
        </w:tc>
        <w:tc>
          <w:tcPr>
            <w:tcW w:w="3242" w:type="pct"/>
            <w:tcBorders>
              <w:top w:val="nil"/>
              <w:left w:val="nil"/>
              <w:bottom w:val="nil"/>
              <w:right w:val="nil"/>
            </w:tcBorders>
          </w:tcPr>
          <w:p w14:paraId="6DE64918" w14:textId="77777777" w:rsidR="006F4861" w:rsidRDefault="006F4861" w:rsidP="006F4861">
            <w:pPr>
              <w:pStyle w:val="TableText"/>
            </w:pPr>
            <w:r>
              <w:t>Burning of oil in the open (Regulation 10)</w:t>
            </w:r>
          </w:p>
        </w:tc>
        <w:tc>
          <w:tcPr>
            <w:tcW w:w="1481" w:type="pct"/>
            <w:tcBorders>
              <w:top w:val="nil"/>
              <w:left w:val="nil"/>
              <w:bottom w:val="nil"/>
              <w:right w:val="nil"/>
            </w:tcBorders>
          </w:tcPr>
          <w:p w14:paraId="368F1887" w14:textId="77777777" w:rsidR="006F4861" w:rsidRDefault="006F4861" w:rsidP="006F4861">
            <w:pPr>
              <w:pStyle w:val="TableText"/>
            </w:pPr>
            <w:r>
              <w:t>2.2.5</w:t>
            </w:r>
          </w:p>
        </w:tc>
      </w:tr>
      <w:tr w:rsidR="006F4861" w14:paraId="6619FE98" w14:textId="77777777" w:rsidTr="004C1281">
        <w:tc>
          <w:tcPr>
            <w:tcW w:w="276" w:type="pct"/>
            <w:tcBorders>
              <w:top w:val="nil"/>
              <w:left w:val="nil"/>
              <w:bottom w:val="nil"/>
              <w:right w:val="nil"/>
            </w:tcBorders>
          </w:tcPr>
          <w:p w14:paraId="40935EEA" w14:textId="77777777" w:rsidR="006F4861" w:rsidRDefault="006F4861" w:rsidP="006F4861">
            <w:pPr>
              <w:pStyle w:val="TableText"/>
            </w:pPr>
          </w:p>
        </w:tc>
        <w:tc>
          <w:tcPr>
            <w:tcW w:w="3242" w:type="pct"/>
            <w:tcBorders>
              <w:top w:val="nil"/>
              <w:left w:val="nil"/>
              <w:bottom w:val="nil"/>
              <w:right w:val="nil"/>
            </w:tcBorders>
          </w:tcPr>
          <w:p w14:paraId="70AD0C80" w14:textId="77777777" w:rsidR="006F4861" w:rsidRDefault="006F4861" w:rsidP="006F4861">
            <w:pPr>
              <w:pStyle w:val="TableText"/>
            </w:pPr>
            <w:r>
              <w:t>School/healthcare incinerators  (Regulation 11)</w:t>
            </w:r>
          </w:p>
        </w:tc>
        <w:tc>
          <w:tcPr>
            <w:tcW w:w="1481" w:type="pct"/>
            <w:tcBorders>
              <w:top w:val="nil"/>
              <w:left w:val="nil"/>
              <w:bottom w:val="nil"/>
              <w:right w:val="nil"/>
            </w:tcBorders>
          </w:tcPr>
          <w:p w14:paraId="39C56E01" w14:textId="77777777" w:rsidR="006F4861" w:rsidRDefault="006F4861" w:rsidP="006F4861">
            <w:pPr>
              <w:pStyle w:val="TableText"/>
            </w:pPr>
            <w:r>
              <w:t>2.2.6</w:t>
            </w:r>
          </w:p>
        </w:tc>
      </w:tr>
      <w:tr w:rsidR="006F4861" w14:paraId="1473747B" w14:textId="77777777" w:rsidTr="004C1281">
        <w:tc>
          <w:tcPr>
            <w:tcW w:w="276" w:type="pct"/>
            <w:tcBorders>
              <w:top w:val="nil"/>
              <w:left w:val="nil"/>
              <w:bottom w:val="nil"/>
              <w:right w:val="nil"/>
            </w:tcBorders>
          </w:tcPr>
          <w:p w14:paraId="0E48EC15" w14:textId="77777777" w:rsidR="006F4861" w:rsidRDefault="006F4861" w:rsidP="006F4861">
            <w:pPr>
              <w:pStyle w:val="TableText"/>
            </w:pPr>
          </w:p>
        </w:tc>
        <w:tc>
          <w:tcPr>
            <w:tcW w:w="3242" w:type="pct"/>
            <w:tcBorders>
              <w:top w:val="nil"/>
              <w:left w:val="nil"/>
              <w:bottom w:val="nil"/>
              <w:right w:val="nil"/>
            </w:tcBorders>
          </w:tcPr>
          <w:p w14:paraId="1E959375" w14:textId="77777777" w:rsidR="006F4861" w:rsidRDefault="006F4861" w:rsidP="006F4861">
            <w:pPr>
              <w:pStyle w:val="TableText"/>
            </w:pPr>
            <w:r>
              <w:t>High temperature hazardous waste incinerators (Regulation 12)</w:t>
            </w:r>
          </w:p>
        </w:tc>
        <w:tc>
          <w:tcPr>
            <w:tcW w:w="1481" w:type="pct"/>
            <w:tcBorders>
              <w:top w:val="nil"/>
              <w:left w:val="nil"/>
              <w:bottom w:val="nil"/>
              <w:right w:val="nil"/>
            </w:tcBorders>
          </w:tcPr>
          <w:p w14:paraId="6B46C153" w14:textId="77777777" w:rsidR="006F4861" w:rsidRDefault="006F4861" w:rsidP="006F4861">
            <w:pPr>
              <w:pStyle w:val="TableText"/>
            </w:pPr>
            <w:r>
              <w:t>2.2.7</w:t>
            </w:r>
          </w:p>
        </w:tc>
      </w:tr>
      <w:tr w:rsidR="006F4861" w14:paraId="1C1F54C4" w14:textId="77777777" w:rsidTr="004C1281">
        <w:tc>
          <w:tcPr>
            <w:tcW w:w="276" w:type="pct"/>
            <w:tcBorders>
              <w:top w:val="nil"/>
              <w:left w:val="nil"/>
              <w:bottom w:val="nil"/>
              <w:right w:val="nil"/>
            </w:tcBorders>
          </w:tcPr>
          <w:p w14:paraId="2C4858BE" w14:textId="77777777" w:rsidR="006F4861" w:rsidRDefault="006F4861" w:rsidP="006F4861">
            <w:pPr>
              <w:pStyle w:val="TableText"/>
            </w:pPr>
          </w:p>
        </w:tc>
        <w:tc>
          <w:tcPr>
            <w:tcW w:w="3242" w:type="pct"/>
            <w:tcBorders>
              <w:top w:val="nil"/>
              <w:left w:val="nil"/>
              <w:bottom w:val="nil"/>
              <w:right w:val="nil"/>
            </w:tcBorders>
          </w:tcPr>
          <w:p w14:paraId="6E81447E" w14:textId="77777777" w:rsidR="006F4861" w:rsidRDefault="006F4861" w:rsidP="006F4861">
            <w:pPr>
              <w:pStyle w:val="TableText"/>
            </w:pPr>
            <w:r>
              <w:t>Ambient air quality standards – carbon monoxide (Regulations 13 &amp; 20)</w:t>
            </w:r>
          </w:p>
        </w:tc>
        <w:tc>
          <w:tcPr>
            <w:tcW w:w="1481" w:type="pct"/>
            <w:tcBorders>
              <w:top w:val="nil"/>
              <w:left w:val="nil"/>
              <w:bottom w:val="nil"/>
              <w:right w:val="nil"/>
            </w:tcBorders>
          </w:tcPr>
          <w:p w14:paraId="702D7CF2" w14:textId="77777777" w:rsidR="006F4861" w:rsidRDefault="006F4861" w:rsidP="006F4861">
            <w:pPr>
              <w:pStyle w:val="TableText"/>
            </w:pPr>
            <w:r>
              <w:t>3 &amp; 3.9.1</w:t>
            </w:r>
          </w:p>
        </w:tc>
      </w:tr>
      <w:tr w:rsidR="006F4861" w14:paraId="30214246" w14:textId="77777777" w:rsidTr="004C1281">
        <w:tc>
          <w:tcPr>
            <w:tcW w:w="276" w:type="pct"/>
            <w:tcBorders>
              <w:top w:val="nil"/>
              <w:left w:val="nil"/>
              <w:bottom w:val="nil"/>
              <w:right w:val="nil"/>
            </w:tcBorders>
          </w:tcPr>
          <w:p w14:paraId="790398A0" w14:textId="77777777" w:rsidR="006F4861" w:rsidRDefault="006F4861" w:rsidP="006F4861">
            <w:pPr>
              <w:pStyle w:val="TableText"/>
            </w:pPr>
          </w:p>
        </w:tc>
        <w:tc>
          <w:tcPr>
            <w:tcW w:w="3242" w:type="pct"/>
            <w:tcBorders>
              <w:top w:val="nil"/>
              <w:left w:val="nil"/>
              <w:bottom w:val="nil"/>
              <w:right w:val="nil"/>
            </w:tcBorders>
          </w:tcPr>
          <w:p w14:paraId="1A031F86" w14:textId="77777777" w:rsidR="006F4861" w:rsidRDefault="006F4861" w:rsidP="006F4861">
            <w:pPr>
              <w:pStyle w:val="TableText"/>
            </w:pPr>
            <w:r>
              <w:t>Ambient air quality standards – nitrogen dioxide (Regulations 13 &amp; 20)</w:t>
            </w:r>
          </w:p>
        </w:tc>
        <w:tc>
          <w:tcPr>
            <w:tcW w:w="1481" w:type="pct"/>
            <w:tcBorders>
              <w:top w:val="nil"/>
              <w:left w:val="nil"/>
              <w:bottom w:val="nil"/>
              <w:right w:val="nil"/>
            </w:tcBorders>
          </w:tcPr>
          <w:p w14:paraId="04DD12A7" w14:textId="77777777" w:rsidR="006F4861" w:rsidRDefault="006F4861" w:rsidP="006F4861">
            <w:pPr>
              <w:pStyle w:val="TableText"/>
            </w:pPr>
            <w:r>
              <w:t>3 &amp; 3.9.1</w:t>
            </w:r>
          </w:p>
        </w:tc>
      </w:tr>
      <w:tr w:rsidR="006F4861" w14:paraId="3752CBC1" w14:textId="77777777" w:rsidTr="004C1281">
        <w:tc>
          <w:tcPr>
            <w:tcW w:w="276" w:type="pct"/>
            <w:tcBorders>
              <w:top w:val="nil"/>
              <w:left w:val="nil"/>
              <w:bottom w:val="nil"/>
              <w:right w:val="nil"/>
            </w:tcBorders>
          </w:tcPr>
          <w:p w14:paraId="06F8345A" w14:textId="77777777" w:rsidR="006F4861" w:rsidRDefault="006F4861" w:rsidP="006F4861">
            <w:pPr>
              <w:pStyle w:val="TableText"/>
            </w:pPr>
          </w:p>
        </w:tc>
        <w:tc>
          <w:tcPr>
            <w:tcW w:w="3242" w:type="pct"/>
            <w:tcBorders>
              <w:top w:val="nil"/>
              <w:left w:val="nil"/>
              <w:bottom w:val="nil"/>
              <w:right w:val="nil"/>
            </w:tcBorders>
          </w:tcPr>
          <w:p w14:paraId="7AFD07A8" w14:textId="77777777" w:rsidR="006F4861" w:rsidRDefault="006F4861" w:rsidP="006F4861">
            <w:pPr>
              <w:pStyle w:val="TableText"/>
            </w:pPr>
            <w:r>
              <w:t>Ambient air quality standards – ozone (Regulations 13 &amp; 20)</w:t>
            </w:r>
          </w:p>
        </w:tc>
        <w:tc>
          <w:tcPr>
            <w:tcW w:w="1481" w:type="pct"/>
            <w:tcBorders>
              <w:top w:val="nil"/>
              <w:left w:val="nil"/>
              <w:bottom w:val="nil"/>
              <w:right w:val="nil"/>
            </w:tcBorders>
          </w:tcPr>
          <w:p w14:paraId="581BA341" w14:textId="77777777" w:rsidR="006F4861" w:rsidRDefault="006F4861" w:rsidP="006F4861">
            <w:pPr>
              <w:pStyle w:val="TableText"/>
            </w:pPr>
            <w:r>
              <w:t>3 &amp; 3.9.1</w:t>
            </w:r>
          </w:p>
        </w:tc>
      </w:tr>
      <w:tr w:rsidR="006F4861" w14:paraId="15E41DFE" w14:textId="77777777" w:rsidTr="004C1281">
        <w:tc>
          <w:tcPr>
            <w:tcW w:w="276" w:type="pct"/>
            <w:tcBorders>
              <w:top w:val="nil"/>
              <w:left w:val="nil"/>
              <w:bottom w:val="nil"/>
              <w:right w:val="nil"/>
            </w:tcBorders>
          </w:tcPr>
          <w:p w14:paraId="7E5F8E77" w14:textId="77777777" w:rsidR="006F4861" w:rsidRDefault="006F4861" w:rsidP="006F4861">
            <w:pPr>
              <w:pStyle w:val="TableText"/>
            </w:pPr>
          </w:p>
        </w:tc>
        <w:tc>
          <w:tcPr>
            <w:tcW w:w="3242" w:type="pct"/>
            <w:tcBorders>
              <w:top w:val="nil"/>
              <w:left w:val="nil"/>
              <w:bottom w:val="nil"/>
              <w:right w:val="nil"/>
            </w:tcBorders>
          </w:tcPr>
          <w:p w14:paraId="32E965E4" w14:textId="77777777" w:rsidR="006F4861" w:rsidRDefault="006F4861" w:rsidP="006F4861">
            <w:pPr>
              <w:pStyle w:val="TableText"/>
            </w:pPr>
            <w:r>
              <w:t>Ambient air quality standards – sulphur dioxide (Regulations 13 &amp; 21)</w:t>
            </w:r>
          </w:p>
        </w:tc>
        <w:tc>
          <w:tcPr>
            <w:tcW w:w="1481" w:type="pct"/>
            <w:tcBorders>
              <w:top w:val="nil"/>
              <w:left w:val="nil"/>
              <w:bottom w:val="nil"/>
              <w:right w:val="nil"/>
            </w:tcBorders>
          </w:tcPr>
          <w:p w14:paraId="3EF69CA4" w14:textId="77777777" w:rsidR="006F4861" w:rsidRDefault="006F4861" w:rsidP="006F4861">
            <w:pPr>
              <w:pStyle w:val="TableText"/>
            </w:pPr>
            <w:r>
              <w:t>3 &amp; 3.9.2</w:t>
            </w:r>
          </w:p>
        </w:tc>
      </w:tr>
      <w:tr w:rsidR="006F4861" w14:paraId="45002D4E" w14:textId="77777777" w:rsidTr="004C1281">
        <w:tc>
          <w:tcPr>
            <w:tcW w:w="276" w:type="pct"/>
            <w:tcBorders>
              <w:top w:val="nil"/>
              <w:left w:val="nil"/>
              <w:bottom w:val="nil"/>
              <w:right w:val="nil"/>
            </w:tcBorders>
          </w:tcPr>
          <w:p w14:paraId="6B5F47A7" w14:textId="77777777" w:rsidR="006F4861" w:rsidRDefault="006F4861" w:rsidP="006F4861">
            <w:pPr>
              <w:pStyle w:val="TableText"/>
            </w:pPr>
          </w:p>
        </w:tc>
        <w:tc>
          <w:tcPr>
            <w:tcW w:w="3242" w:type="pct"/>
            <w:tcBorders>
              <w:top w:val="nil"/>
              <w:left w:val="nil"/>
              <w:bottom w:val="nil"/>
              <w:right w:val="nil"/>
            </w:tcBorders>
          </w:tcPr>
          <w:p w14:paraId="414CBC37" w14:textId="77777777" w:rsidR="006F4861" w:rsidRDefault="006F4861" w:rsidP="006F4861">
            <w:pPr>
              <w:pStyle w:val="TableText"/>
            </w:pPr>
            <w:r>
              <w:t>Ambient air quality standards – PM</w:t>
            </w:r>
            <w:r w:rsidRPr="00041BEA">
              <w:rPr>
                <w:vertAlign w:val="subscript"/>
              </w:rPr>
              <w:t>10</w:t>
            </w:r>
            <w:r>
              <w:t xml:space="preserve"> (Regulations 13, 16B, 16C, 16D &amp; 17)</w:t>
            </w:r>
          </w:p>
        </w:tc>
        <w:tc>
          <w:tcPr>
            <w:tcW w:w="1481" w:type="pct"/>
            <w:tcBorders>
              <w:top w:val="nil"/>
              <w:left w:val="nil"/>
              <w:bottom w:val="nil"/>
              <w:right w:val="nil"/>
            </w:tcBorders>
          </w:tcPr>
          <w:p w14:paraId="37DD6F36" w14:textId="77777777" w:rsidR="006F4861" w:rsidRDefault="006F4861" w:rsidP="006F4861">
            <w:pPr>
              <w:pStyle w:val="TableText"/>
            </w:pPr>
            <w:r>
              <w:t>3 &amp; 4</w:t>
            </w:r>
          </w:p>
        </w:tc>
      </w:tr>
      <w:tr w:rsidR="006F4861" w14:paraId="52135046" w14:textId="77777777" w:rsidTr="004C1281">
        <w:tc>
          <w:tcPr>
            <w:tcW w:w="276" w:type="pct"/>
            <w:tcBorders>
              <w:top w:val="nil"/>
              <w:left w:val="nil"/>
              <w:bottom w:val="nil"/>
              <w:right w:val="nil"/>
            </w:tcBorders>
          </w:tcPr>
          <w:p w14:paraId="32D6D623" w14:textId="77777777" w:rsidR="006F4861" w:rsidRDefault="006F4861" w:rsidP="006F4861">
            <w:pPr>
              <w:pStyle w:val="TableText"/>
            </w:pPr>
          </w:p>
        </w:tc>
        <w:tc>
          <w:tcPr>
            <w:tcW w:w="3242" w:type="pct"/>
            <w:tcBorders>
              <w:top w:val="nil"/>
              <w:left w:val="nil"/>
              <w:bottom w:val="nil"/>
              <w:right w:val="nil"/>
            </w:tcBorders>
          </w:tcPr>
          <w:p w14:paraId="76E1DD85" w14:textId="77777777" w:rsidR="006F4861" w:rsidRDefault="006F4861" w:rsidP="006F4861">
            <w:pPr>
              <w:pStyle w:val="TableText"/>
            </w:pPr>
            <w:r>
              <w:t>Woodburner design standards (Regulations 22, 23 &amp; 24)</w:t>
            </w:r>
          </w:p>
        </w:tc>
        <w:tc>
          <w:tcPr>
            <w:tcW w:w="1481" w:type="pct"/>
            <w:tcBorders>
              <w:top w:val="nil"/>
              <w:left w:val="nil"/>
              <w:bottom w:val="nil"/>
              <w:right w:val="nil"/>
            </w:tcBorders>
          </w:tcPr>
          <w:p w14:paraId="51FC2B3B" w14:textId="77777777" w:rsidR="006F4861" w:rsidRDefault="006F4861" w:rsidP="006F4861">
            <w:pPr>
              <w:pStyle w:val="TableText"/>
            </w:pPr>
            <w:r>
              <w:t>5.2</w:t>
            </w:r>
          </w:p>
        </w:tc>
      </w:tr>
      <w:tr w:rsidR="006F4861" w14:paraId="232501D9" w14:textId="77777777" w:rsidTr="004C1281">
        <w:tc>
          <w:tcPr>
            <w:tcW w:w="276" w:type="pct"/>
            <w:tcBorders>
              <w:top w:val="nil"/>
              <w:left w:val="nil"/>
              <w:bottom w:val="nil"/>
              <w:right w:val="nil"/>
            </w:tcBorders>
          </w:tcPr>
          <w:p w14:paraId="49FB5F1A" w14:textId="77777777" w:rsidR="006F4861" w:rsidRDefault="006F4861" w:rsidP="006F4861">
            <w:pPr>
              <w:pStyle w:val="TableText"/>
            </w:pPr>
          </w:p>
        </w:tc>
        <w:tc>
          <w:tcPr>
            <w:tcW w:w="3242" w:type="pct"/>
            <w:tcBorders>
              <w:top w:val="nil"/>
              <w:left w:val="nil"/>
              <w:bottom w:val="nil"/>
              <w:right w:val="nil"/>
            </w:tcBorders>
          </w:tcPr>
          <w:p w14:paraId="4B7C41D6" w14:textId="77777777" w:rsidR="006F4861" w:rsidRDefault="006F4861" w:rsidP="006F4861">
            <w:pPr>
              <w:pStyle w:val="TableText"/>
            </w:pPr>
            <w:r>
              <w:t>Solid-fuel burning open fire bans (Regulation 24A)</w:t>
            </w:r>
          </w:p>
        </w:tc>
        <w:tc>
          <w:tcPr>
            <w:tcW w:w="1481" w:type="pct"/>
            <w:tcBorders>
              <w:top w:val="nil"/>
              <w:left w:val="nil"/>
              <w:bottom w:val="nil"/>
              <w:right w:val="nil"/>
            </w:tcBorders>
          </w:tcPr>
          <w:p w14:paraId="78F67CF7" w14:textId="77777777" w:rsidR="006F4861" w:rsidRDefault="006F4861" w:rsidP="006F4861">
            <w:pPr>
              <w:pStyle w:val="TableText"/>
            </w:pPr>
            <w:r>
              <w:t>5.3</w:t>
            </w:r>
          </w:p>
        </w:tc>
      </w:tr>
      <w:tr w:rsidR="006F4861" w14:paraId="3D8DA0A7" w14:textId="77777777" w:rsidTr="004C1281">
        <w:tc>
          <w:tcPr>
            <w:tcW w:w="276" w:type="pct"/>
            <w:tcBorders>
              <w:top w:val="nil"/>
              <w:left w:val="nil"/>
              <w:bottom w:val="single" w:sz="8" w:space="0" w:color="auto"/>
              <w:right w:val="nil"/>
            </w:tcBorders>
          </w:tcPr>
          <w:p w14:paraId="5DC4ADE2" w14:textId="77777777" w:rsidR="006F4861" w:rsidRDefault="006F4861" w:rsidP="006F4861">
            <w:pPr>
              <w:pStyle w:val="TableText"/>
            </w:pPr>
          </w:p>
        </w:tc>
        <w:tc>
          <w:tcPr>
            <w:tcW w:w="3242" w:type="pct"/>
            <w:tcBorders>
              <w:top w:val="nil"/>
              <w:left w:val="nil"/>
              <w:bottom w:val="single" w:sz="8" w:space="0" w:color="auto"/>
              <w:right w:val="nil"/>
            </w:tcBorders>
          </w:tcPr>
          <w:p w14:paraId="5D4F9EF3" w14:textId="77777777" w:rsidR="006F4861" w:rsidRDefault="006F4861" w:rsidP="006F4861">
            <w:pPr>
              <w:pStyle w:val="TableText"/>
            </w:pPr>
            <w:r>
              <w:t>Landfill gas (Regulations 25, 26 &amp; 27)</w:t>
            </w:r>
          </w:p>
        </w:tc>
        <w:tc>
          <w:tcPr>
            <w:tcW w:w="1481" w:type="pct"/>
            <w:tcBorders>
              <w:top w:val="nil"/>
              <w:left w:val="nil"/>
              <w:bottom w:val="single" w:sz="8" w:space="0" w:color="auto"/>
              <w:right w:val="nil"/>
            </w:tcBorders>
          </w:tcPr>
          <w:p w14:paraId="5291C70A" w14:textId="77777777" w:rsidR="006F4861" w:rsidRDefault="006F4861" w:rsidP="006F4861">
            <w:pPr>
              <w:pStyle w:val="TableText"/>
            </w:pPr>
            <w:r>
              <w:t>6</w:t>
            </w:r>
          </w:p>
        </w:tc>
      </w:tr>
    </w:tbl>
    <w:p w14:paraId="7D58EE39" w14:textId="77777777" w:rsidR="006F4861" w:rsidRDefault="006F4861" w:rsidP="006F4861">
      <w:pPr>
        <w:pStyle w:val="Sub-list"/>
        <w:tabs>
          <w:tab w:val="clear" w:pos="397"/>
        </w:tabs>
        <w:ind w:left="0"/>
      </w:pPr>
    </w:p>
    <w:p w14:paraId="57B7EC74" w14:textId="77777777" w:rsidR="00CE22C6" w:rsidRDefault="00CE22C6" w:rsidP="00065BC2">
      <w:pPr>
        <w:pStyle w:val="Sub-list"/>
        <w:tabs>
          <w:tab w:val="clear" w:pos="397"/>
        </w:tabs>
        <w:ind w:left="0"/>
        <w:sectPr w:rsidR="00CE22C6">
          <w:headerReference w:type="even" r:id="rId25"/>
          <w:headerReference w:type="default" r:id="rId26"/>
          <w:footerReference w:type="even" r:id="rId27"/>
          <w:footerReference w:type="default" r:id="rId28"/>
          <w:headerReference w:type="first" r:id="rId29"/>
          <w:pgSz w:w="11907" w:h="16840" w:code="9"/>
          <w:pgMar w:top="1701" w:right="1418" w:bottom="1701" w:left="1418" w:header="567" w:footer="567" w:gutter="567"/>
          <w:pgNumType w:start="1"/>
          <w:cols w:space="720"/>
        </w:sectPr>
      </w:pPr>
    </w:p>
    <w:p w14:paraId="45F6FFC6" w14:textId="77777777" w:rsidR="00B33D7B" w:rsidRDefault="006201AD" w:rsidP="00744C5D">
      <w:pPr>
        <w:pStyle w:val="Heading1"/>
      </w:pPr>
      <w:bookmarkStart w:id="22" w:name="_Toc300856588"/>
      <w:r>
        <w:t>2</w:t>
      </w:r>
      <w:r>
        <w:tab/>
      </w:r>
      <w:r w:rsidR="00744C5D">
        <w:t>Dioxin and Other Toxic Substances</w:t>
      </w:r>
      <w:bookmarkEnd w:id="22"/>
    </w:p>
    <w:p w14:paraId="2FBF1C68" w14:textId="77777777" w:rsidR="00744C5D" w:rsidRDefault="006201AD" w:rsidP="00990A40">
      <w:pPr>
        <w:pStyle w:val="Heading2"/>
      </w:pPr>
      <w:bookmarkStart w:id="23" w:name="_Toc300856589"/>
      <w:r>
        <w:t>2.1</w:t>
      </w:r>
      <w:r>
        <w:tab/>
      </w:r>
      <w:r w:rsidR="00990A40">
        <w:t>Background</w:t>
      </w:r>
      <w:bookmarkEnd w:id="23"/>
    </w:p>
    <w:p w14:paraId="51B19494" w14:textId="77777777" w:rsidR="002D679B" w:rsidRDefault="002D679B" w:rsidP="002D679B">
      <w:pPr>
        <w:pStyle w:val="Sub-list"/>
        <w:tabs>
          <w:tab w:val="clear" w:pos="397"/>
        </w:tabs>
        <w:spacing w:before="0"/>
        <w:ind w:left="0"/>
      </w:pPr>
      <w:r>
        <w:t>Toxic air pollutants (also called hazardous air pollutants) are those known, or suspected, to cause cancer or other serious health effects (e.g. reproductive effects or birth defects) or adverse environmental effects. Examples of toxic air pollutants include benzene which is found in petrol, perchlorethlyene emitted from dry cleaners, and methylene chloride which is used as a solvent and paint stri</w:t>
      </w:r>
      <w:r w:rsidR="00321A57">
        <w:t>pper by a number of industries.</w:t>
      </w:r>
      <w:r>
        <w:t xml:space="preserve"> These are all volatile organic compo</w:t>
      </w:r>
      <w:r w:rsidR="008C485A">
        <w:t>unds (discussed further below).</w:t>
      </w:r>
      <w:r>
        <w:t xml:space="preserve"> Other examples include dioxin, asbestos, toluene, and metals such as cadmium, mercury, chromium, and lead compounds.</w:t>
      </w:r>
    </w:p>
    <w:p w14:paraId="249DC098" w14:textId="77777777" w:rsidR="002D679B" w:rsidRDefault="002D679B" w:rsidP="002D679B">
      <w:pPr>
        <w:pStyle w:val="Sub-list"/>
        <w:tabs>
          <w:tab w:val="clear" w:pos="397"/>
        </w:tabs>
        <w:spacing w:before="0"/>
        <w:ind w:left="0"/>
      </w:pPr>
    </w:p>
    <w:p w14:paraId="52F23DFE" w14:textId="77777777" w:rsidR="002D679B" w:rsidRDefault="002D679B" w:rsidP="002D679B">
      <w:pPr>
        <w:pStyle w:val="Sub-list"/>
        <w:tabs>
          <w:tab w:val="clear" w:pos="397"/>
        </w:tabs>
        <w:spacing w:before="0"/>
        <w:ind w:left="0"/>
      </w:pPr>
      <w:r>
        <w:t>Most air toxics originate from human-made sources</w:t>
      </w:r>
      <w:r w:rsidR="00321A57">
        <w:t xml:space="preserve"> such as traffic and industry. </w:t>
      </w:r>
      <w:r>
        <w:t>Domestic sources can also be significant, for example solid-fuel burners and indoor sources such as building ma</w:t>
      </w:r>
      <w:r w:rsidR="00321A57">
        <w:t>terials and cleaning solvents.</w:t>
      </w:r>
    </w:p>
    <w:p w14:paraId="32410AA6" w14:textId="77777777" w:rsidR="002D679B" w:rsidRDefault="002D679B" w:rsidP="002D679B">
      <w:pPr>
        <w:pStyle w:val="Sub-list"/>
        <w:tabs>
          <w:tab w:val="clear" w:pos="397"/>
        </w:tabs>
        <w:spacing w:before="0"/>
        <w:ind w:left="0"/>
      </w:pPr>
    </w:p>
    <w:p w14:paraId="04423FD3" w14:textId="77777777" w:rsidR="002D679B" w:rsidRDefault="002D679B" w:rsidP="002D679B">
      <w:pPr>
        <w:pStyle w:val="Sub-list"/>
        <w:tabs>
          <w:tab w:val="clear" w:pos="397"/>
        </w:tabs>
        <w:spacing w:before="0"/>
        <w:ind w:left="0"/>
      </w:pPr>
      <w:r>
        <w:t>Toxic air pollutants are often present in very low concentrations and significant exposure typically occurs</w:t>
      </w:r>
      <w:r w:rsidR="00321A57">
        <w:t xml:space="preserve"> only after long time periods. </w:t>
      </w:r>
      <w:r>
        <w:t>However, once they enter the body, some persistent toxic air pollutan</w:t>
      </w:r>
      <w:r w:rsidR="00321A57">
        <w:t xml:space="preserve">ts accumulate in body tissues. </w:t>
      </w:r>
      <w:r>
        <w:t>This means that predators accumulate higher pollutant concentration</w:t>
      </w:r>
      <w:r w:rsidR="00321A57">
        <w:t>s than their contaminated prey.</w:t>
      </w:r>
      <w:r>
        <w:t xml:space="preserve"> As a result, people and other animals at the top of the food chain </w:t>
      </w:r>
      <w:r w:rsidR="00FF6D37">
        <w:t>that</w:t>
      </w:r>
      <w:r>
        <w:t xml:space="preserve"> eat contaminated fish or meat can be exposed over shorter time periods to concentrations that are much higher than the concentrations in the water, air, or soil.</w:t>
      </w:r>
    </w:p>
    <w:p w14:paraId="7C9739FF" w14:textId="77777777" w:rsidR="002D679B" w:rsidRDefault="002D679B" w:rsidP="00053B4A">
      <w:pPr>
        <w:pStyle w:val="Sub-list"/>
        <w:tabs>
          <w:tab w:val="clear" w:pos="397"/>
        </w:tabs>
        <w:spacing w:before="0"/>
        <w:ind w:left="0"/>
      </w:pPr>
    </w:p>
    <w:p w14:paraId="5098DC41" w14:textId="77777777" w:rsidR="00314AE9" w:rsidRDefault="00314AE9" w:rsidP="00053B4A">
      <w:pPr>
        <w:pStyle w:val="Sub-list"/>
        <w:tabs>
          <w:tab w:val="clear" w:pos="397"/>
        </w:tabs>
        <w:spacing w:before="0"/>
        <w:ind w:left="0"/>
      </w:pPr>
      <w:r>
        <w:t>The Stockholm Convention on Persistent Organic Pollutants (the Convention) came into</w:t>
      </w:r>
      <w:r w:rsidR="00321A57">
        <w:t xml:space="preserve"> force for New Zealand in 2004.</w:t>
      </w:r>
      <w:r>
        <w:t xml:space="preserve"> Persistent organic pollutants are organic compounds that do not break down readily in the environment, are capable of long-range transport and bioaccumulate in human and animal tissue (and biomagnify in food chains). </w:t>
      </w:r>
      <w:r w:rsidR="002D679B">
        <w:t>Persistent organic pollutants</w:t>
      </w:r>
      <w:r>
        <w:t>, therefore, pose a risk of causing adverse effects to human health and the environment.</w:t>
      </w:r>
    </w:p>
    <w:p w14:paraId="134683C1" w14:textId="77777777" w:rsidR="00314AE9" w:rsidRDefault="00314AE9" w:rsidP="00053B4A">
      <w:pPr>
        <w:pStyle w:val="Sub-list"/>
        <w:tabs>
          <w:tab w:val="clear" w:pos="397"/>
        </w:tabs>
        <w:spacing w:before="0"/>
        <w:ind w:left="0"/>
      </w:pPr>
    </w:p>
    <w:p w14:paraId="13394A4C" w14:textId="77777777" w:rsidR="004D13C6" w:rsidRDefault="00314AE9" w:rsidP="00053B4A">
      <w:pPr>
        <w:pStyle w:val="Sub-list"/>
        <w:tabs>
          <w:tab w:val="clear" w:pos="397"/>
        </w:tabs>
        <w:spacing w:before="0"/>
        <w:ind w:left="0"/>
      </w:pPr>
      <w:r>
        <w:t xml:space="preserve">There are 21 groups of chemicals lists as </w:t>
      </w:r>
      <w:r w:rsidR="002D679B">
        <w:t>persistent organic pollutants</w:t>
      </w:r>
      <w:r>
        <w:t xml:space="preserve"> under the </w:t>
      </w:r>
      <w:r w:rsidR="002D679B">
        <w:t xml:space="preserve">Stockholm </w:t>
      </w:r>
      <w:r w:rsidR="00321A57">
        <w:t xml:space="preserve">Convention. </w:t>
      </w:r>
      <w:r>
        <w:t>Dioxins are one of these groups.</w:t>
      </w:r>
      <w:r w:rsidR="004D13C6" w:rsidRPr="004D13C6">
        <w:t xml:space="preserve"> </w:t>
      </w:r>
      <w:r w:rsidR="004D13C6">
        <w:t xml:space="preserve">New Zealand’s National Implementation Plan (required under the Convention) sets out how New Zealand proposes to meet </w:t>
      </w:r>
      <w:r w:rsidR="002D679B">
        <w:t>its</w:t>
      </w:r>
      <w:r w:rsidR="004D13C6">
        <w:t xml:space="preserve"> obligations including reducing dioxins.</w:t>
      </w:r>
    </w:p>
    <w:p w14:paraId="17E40E84" w14:textId="77777777" w:rsidR="004D13C6" w:rsidRDefault="004D13C6" w:rsidP="00053B4A">
      <w:pPr>
        <w:pStyle w:val="Sub-list"/>
        <w:tabs>
          <w:tab w:val="clear" w:pos="397"/>
        </w:tabs>
        <w:spacing w:before="0"/>
        <w:ind w:left="0"/>
      </w:pPr>
    </w:p>
    <w:p w14:paraId="230DADAE" w14:textId="77777777" w:rsidR="004D13C6" w:rsidRDefault="004D13C6" w:rsidP="00053B4A">
      <w:pPr>
        <w:pStyle w:val="Sub-list"/>
        <w:tabs>
          <w:tab w:val="clear" w:pos="397"/>
        </w:tabs>
        <w:spacing w:before="0"/>
        <w:ind w:left="0"/>
      </w:pPr>
      <w:r>
        <w:t xml:space="preserve">‘Dioxins’ are a group of chemicals consisting of polychlorinated dibenzo-p-dioxins (PCDDs, dioxins), polychlorinated dibenzofurans (PCDFs, furans) and polychlorinated biphenols (PCBs). Dioxins are released to the environment in very small amounts through a number of industrial and domestic activities, </w:t>
      </w:r>
      <w:r w:rsidR="002D679B">
        <w:t>and through t</w:t>
      </w:r>
      <w:r>
        <w:t xml:space="preserve">he open burning of wastes. New Zealand is obligated under the </w:t>
      </w:r>
      <w:r w:rsidR="00D60116">
        <w:t xml:space="preserve">Convention </w:t>
      </w:r>
      <w:r>
        <w:t>to take measures to reduce, and where feasible ultimately eliminate, releases of dioxin. Although levels of dioxins in New Zealand foods (including our meats, dairy products and fish) are low and below the World Health Organisation guidelines, it is prudent to further minimise our exposure to dioxins where practicable.</w:t>
      </w:r>
    </w:p>
    <w:p w14:paraId="5ECCA9E0" w14:textId="77777777" w:rsidR="004D13C6" w:rsidRDefault="004D13C6" w:rsidP="004D13C6">
      <w:pPr>
        <w:pStyle w:val="Sub-list"/>
        <w:tabs>
          <w:tab w:val="clear" w:pos="397"/>
        </w:tabs>
        <w:spacing w:before="0"/>
        <w:ind w:left="0"/>
      </w:pPr>
    </w:p>
    <w:p w14:paraId="6C9DE305" w14:textId="77777777" w:rsidR="004D13C6" w:rsidRDefault="00BF5167" w:rsidP="004D13C6">
      <w:r>
        <w:t xml:space="preserve">The </w:t>
      </w:r>
      <w:r w:rsidRPr="00CB4921">
        <w:t>Action Plan for Reducing Discharges of Dioxin to Air</w:t>
      </w:r>
      <w:r>
        <w:t xml:space="preserve"> (MfE, 2001</w:t>
      </w:r>
      <w:r w:rsidR="00CB4921">
        <w:t>c</w:t>
      </w:r>
      <w:r>
        <w:t>) identified the development of</w:t>
      </w:r>
      <w:r w:rsidR="004D13C6">
        <w:t xml:space="preserve"> </w:t>
      </w:r>
      <w:r>
        <w:t>national environmental standards to ban certain activities that produce dioxins and other air toxins</w:t>
      </w:r>
      <w:r w:rsidR="002D679B">
        <w:t xml:space="preserve"> as a key measure</w:t>
      </w:r>
      <w:r w:rsidR="00321A57">
        <w:t xml:space="preserve">. </w:t>
      </w:r>
      <w:r>
        <w:t>The</w:t>
      </w:r>
      <w:r w:rsidR="004D13C6">
        <w:t xml:space="preserve"> </w:t>
      </w:r>
      <w:r>
        <w:t xml:space="preserve">activity bans (Regulations 6 to 12) under the </w:t>
      </w:r>
      <w:r w:rsidR="004D13C6">
        <w:t xml:space="preserve">National Environmental Standards for Air Quality 2004 </w:t>
      </w:r>
      <w:r>
        <w:t>were promulgated to meet the Action Plan</w:t>
      </w:r>
      <w:r w:rsidR="00904545">
        <w:t xml:space="preserve"> and</w:t>
      </w:r>
      <w:r w:rsidR="002D679B">
        <w:t xml:space="preserve"> banned the following:</w:t>
      </w:r>
      <w:r w:rsidR="004D13C6">
        <w:t xml:space="preserve"> </w:t>
      </w:r>
    </w:p>
    <w:p w14:paraId="001B1F32" w14:textId="77777777" w:rsidR="004D13C6" w:rsidRDefault="00CB4921" w:rsidP="00152DF6">
      <w:pPr>
        <w:pStyle w:val="Bullet"/>
        <w:numPr>
          <w:ilvl w:val="0"/>
          <w:numId w:val="9"/>
        </w:numPr>
      </w:pPr>
      <w:r>
        <w:t xml:space="preserve">lighting </w:t>
      </w:r>
      <w:r w:rsidR="004D13C6">
        <w:t>fires and burning waste at landfills</w:t>
      </w:r>
      <w:r w:rsidR="004807E3">
        <w:t xml:space="preserve"> (landfill fires)</w:t>
      </w:r>
    </w:p>
    <w:p w14:paraId="2B8875B1" w14:textId="77777777" w:rsidR="004D13C6" w:rsidRDefault="00CB4921" w:rsidP="00152DF6">
      <w:pPr>
        <w:pStyle w:val="Bullet"/>
        <w:numPr>
          <w:ilvl w:val="0"/>
          <w:numId w:val="9"/>
        </w:numPr>
      </w:pPr>
      <w:r>
        <w:t xml:space="preserve">burning </w:t>
      </w:r>
      <w:r w:rsidR="004D13C6">
        <w:t xml:space="preserve">insulated wire, oil or tyres in the open </w:t>
      </w:r>
    </w:p>
    <w:p w14:paraId="2D17C771" w14:textId="77777777" w:rsidR="004D13C6" w:rsidRDefault="00CB4921" w:rsidP="00152DF6">
      <w:pPr>
        <w:pStyle w:val="Bullet"/>
        <w:numPr>
          <w:ilvl w:val="0"/>
          <w:numId w:val="9"/>
        </w:numPr>
      </w:pPr>
      <w:r>
        <w:t xml:space="preserve">burning </w:t>
      </w:r>
      <w:r w:rsidR="004D13C6">
        <w:t xml:space="preserve">road seal </w:t>
      </w:r>
    </w:p>
    <w:p w14:paraId="044B0E80" w14:textId="77777777" w:rsidR="004D13C6" w:rsidRDefault="00CB4921" w:rsidP="00152DF6">
      <w:pPr>
        <w:pStyle w:val="Bullet"/>
        <w:numPr>
          <w:ilvl w:val="0"/>
          <w:numId w:val="9"/>
        </w:numPr>
      </w:pPr>
      <w:r>
        <w:t>high</w:t>
      </w:r>
      <w:r w:rsidR="004D13C6">
        <w:t xml:space="preserve">-temperature incineration of hazardous waste (except for three facilities that had existing resource consents, two of which have now closed) </w:t>
      </w:r>
    </w:p>
    <w:p w14:paraId="4E77ECD0" w14:textId="77777777" w:rsidR="004D13C6" w:rsidRDefault="00CB4921" w:rsidP="00152DF6">
      <w:pPr>
        <w:pStyle w:val="Bullet"/>
        <w:numPr>
          <w:ilvl w:val="0"/>
          <w:numId w:val="9"/>
        </w:numPr>
      </w:pPr>
      <w:r>
        <w:t>low</w:t>
      </w:r>
      <w:r w:rsidR="004D13C6">
        <w:t xml:space="preserve">-temperature waste incineration in schools and hospitals from October 2006 (unless the facility has a resource consent). </w:t>
      </w:r>
    </w:p>
    <w:p w14:paraId="69C4B6C2" w14:textId="77777777" w:rsidR="004D13C6" w:rsidRDefault="004D13C6" w:rsidP="004D13C6"/>
    <w:p w14:paraId="3AA43074" w14:textId="77777777" w:rsidR="004D13C6" w:rsidRDefault="004D13C6" w:rsidP="004D13C6">
      <w:r>
        <w:t>In 2011, the Ministry published an update of the 2000 evaluation of dioxin releases in New Zealand</w:t>
      </w:r>
      <w:r w:rsidR="00CB4921">
        <w:t>.</w:t>
      </w:r>
      <w:r w:rsidRPr="004D13C6">
        <w:rPr>
          <w:i/>
        </w:rPr>
        <w:t xml:space="preserve"> </w:t>
      </w:r>
      <w:r w:rsidR="004807E3">
        <w:t xml:space="preserve">The </w:t>
      </w:r>
      <w:r w:rsidR="002D679B">
        <w:t xml:space="preserve">Dioxin </w:t>
      </w:r>
      <w:r w:rsidR="004807E3">
        <w:t xml:space="preserve">Inventory </w:t>
      </w:r>
      <w:r w:rsidR="00CB4921">
        <w:t xml:space="preserve">(MfE, 2011a) </w:t>
      </w:r>
      <w:r w:rsidR="004807E3">
        <w:t>highlights that between 1998 and 2008 emissions from all sources of dioxins has reduced by almost 50</w:t>
      </w:r>
      <w:r w:rsidR="004C7B6C">
        <w:t>%</w:t>
      </w:r>
      <w:r w:rsidR="00321A57">
        <w:t xml:space="preserve">. </w:t>
      </w:r>
      <w:r w:rsidR="004807E3">
        <w:t>Since the introduction of the Regulations</w:t>
      </w:r>
      <w:r w:rsidR="002D679B">
        <w:t xml:space="preserve"> in 2004</w:t>
      </w:r>
      <w:r w:rsidR="004807E3">
        <w:t xml:space="preserve"> dioxin emissions </w:t>
      </w:r>
      <w:r w:rsidR="00BF5167">
        <w:t xml:space="preserve">from landfill fires </w:t>
      </w:r>
      <w:r w:rsidR="002D679B">
        <w:t>(previously the largest source of dioxin emissions) have dropped by</w:t>
      </w:r>
      <w:r w:rsidR="004807E3">
        <w:t xml:space="preserve"> approximately 80</w:t>
      </w:r>
      <w:r w:rsidR="004C7B6C">
        <w:t>%</w:t>
      </w:r>
      <w:r w:rsidR="004807E3">
        <w:t xml:space="preserve">. </w:t>
      </w:r>
    </w:p>
    <w:p w14:paraId="47E3B545" w14:textId="77777777" w:rsidR="00990A40" w:rsidRDefault="006201AD" w:rsidP="00990A40">
      <w:pPr>
        <w:pStyle w:val="Heading3"/>
      </w:pPr>
      <w:r>
        <w:t>2.1.1</w:t>
      </w:r>
      <w:r>
        <w:tab/>
      </w:r>
      <w:r w:rsidR="00990A40">
        <w:t xml:space="preserve">Adverse </w:t>
      </w:r>
      <w:r w:rsidR="00074CA6">
        <w:t xml:space="preserve">effects </w:t>
      </w:r>
      <w:r w:rsidR="00990A40">
        <w:t xml:space="preserve">of </w:t>
      </w:r>
      <w:r w:rsidR="00074CA6">
        <w:t>dioxins</w:t>
      </w:r>
    </w:p>
    <w:p w14:paraId="05ADFDD3" w14:textId="77777777" w:rsidR="006B066F" w:rsidRDefault="006B066F" w:rsidP="00D15F58">
      <w:r w:rsidRPr="008E6AA1">
        <w:t>Dioxins are formed by combustion activities including incineration of waste (such as medical and hazardous wastes), crematoria, metallurgical industries (including metal smelting, refining and recycling), industrial and domestic coal and wood combustion, exhaust emissions from vehicles, controlled burn-offs, uncontrolled and accidental fires (including landfill fires) and the burning  of plastics and tyres (including coated wire).</w:t>
      </w:r>
    </w:p>
    <w:p w14:paraId="7EEF2E63" w14:textId="77777777" w:rsidR="006B066F" w:rsidRDefault="006B066F" w:rsidP="00D15F58"/>
    <w:p w14:paraId="38D388A5" w14:textId="77777777" w:rsidR="006B066F" w:rsidRPr="008E6AA1" w:rsidRDefault="006B066F" w:rsidP="00D15F58">
      <w:pPr>
        <w:rPr>
          <w:szCs w:val="22"/>
          <w:lang w:eastAsia="en-NZ"/>
        </w:rPr>
      </w:pPr>
      <w:r w:rsidRPr="008E6AA1">
        <w:rPr>
          <w:szCs w:val="22"/>
          <w:lang w:eastAsia="en-NZ"/>
        </w:rPr>
        <w:t>Dioxins and furans can adversely affect human and animal health in a number of ways, including affecting the immune and reproductive systems, liver damage, neurobehavioural develop</w:t>
      </w:r>
      <w:r w:rsidR="00321A57">
        <w:rPr>
          <w:szCs w:val="22"/>
          <w:lang w:eastAsia="en-NZ"/>
        </w:rPr>
        <w:t>ment, birth defects and cancer.</w:t>
      </w:r>
      <w:r>
        <w:rPr>
          <w:szCs w:val="22"/>
          <w:lang w:eastAsia="en-NZ"/>
        </w:rPr>
        <w:t xml:space="preserve"> </w:t>
      </w:r>
      <w:r w:rsidRPr="008E6AA1">
        <w:rPr>
          <w:szCs w:val="22"/>
          <w:lang w:eastAsia="en-NZ"/>
        </w:rPr>
        <w:t>The most noted health effect in people exposed to large amounts of 2,3,7,8-tetrachlorodibenzo-p-dioxin (2,3,7,8-TCDD) is a skin effect known as chloracne. The International Agency for Research on Cancer (IARC) has determined that 2,3,7,8-TCDD is a human carcinogen (that is, it can cause cancer in humans).</w:t>
      </w:r>
    </w:p>
    <w:p w14:paraId="262E0560" w14:textId="77777777" w:rsidR="006B066F" w:rsidRDefault="006B066F" w:rsidP="00D15F58">
      <w:pPr>
        <w:rPr>
          <w:szCs w:val="22"/>
          <w:lang w:eastAsia="en-NZ"/>
        </w:rPr>
      </w:pPr>
    </w:p>
    <w:p w14:paraId="4E90E8C6" w14:textId="77777777" w:rsidR="006B066F" w:rsidRDefault="006B066F" w:rsidP="00D15F58">
      <w:pPr>
        <w:rPr>
          <w:szCs w:val="22"/>
          <w:lang w:eastAsia="en-NZ"/>
        </w:rPr>
      </w:pPr>
      <w:r w:rsidRPr="008E6AA1">
        <w:rPr>
          <w:szCs w:val="22"/>
          <w:lang w:eastAsia="en-NZ"/>
        </w:rPr>
        <w:t>High levels of PCBs cause chloracne, skin rashes, liver problems and eye irritation. Animal studies have shown developmental effects and there are reports of reduced short-term memory in children of mothers exposed to PCBs through what they eat.</w:t>
      </w:r>
    </w:p>
    <w:p w14:paraId="283ED6E9" w14:textId="77777777" w:rsidR="006B066F" w:rsidRPr="00BA648A" w:rsidRDefault="006B066F" w:rsidP="00D15F58">
      <w:pPr>
        <w:rPr>
          <w:highlight w:val="magenta"/>
        </w:rPr>
      </w:pPr>
    </w:p>
    <w:p w14:paraId="0DC78077" w14:textId="77777777" w:rsidR="006B066F" w:rsidRPr="00BA648A" w:rsidRDefault="006B066F" w:rsidP="00D15F58">
      <w:pPr>
        <w:rPr>
          <w:highlight w:val="magenta"/>
        </w:rPr>
      </w:pPr>
      <w:r w:rsidRPr="008E6AA1">
        <w:t>High levels of PCBs cause chloracne, skin rashes, liver problems and eye irritation. Animal studies have shown developmental effects and there are reports of reduced short-term memory in children of mothers exposed to PCBs through what they eat. The United States Environmental Protection Agency (USEPA) has classified PCBs as probable human carcinogens (Group B2).</w:t>
      </w:r>
    </w:p>
    <w:p w14:paraId="39980436" w14:textId="77777777" w:rsidR="006B066F" w:rsidRPr="00BA648A" w:rsidRDefault="006B066F" w:rsidP="00D15F58">
      <w:pPr>
        <w:rPr>
          <w:highlight w:val="magenta"/>
        </w:rPr>
      </w:pPr>
    </w:p>
    <w:p w14:paraId="17E66130" w14:textId="77777777" w:rsidR="006B066F" w:rsidRPr="00BA648A" w:rsidRDefault="006B066F" w:rsidP="00D15F58">
      <w:pPr>
        <w:rPr>
          <w:highlight w:val="magenta"/>
        </w:rPr>
      </w:pPr>
      <w:r>
        <w:t>Humans</w:t>
      </w:r>
      <w:r w:rsidRPr="008E6AA1">
        <w:t xml:space="preserve"> are most sensitive </w:t>
      </w:r>
      <w:r>
        <w:t xml:space="preserve">group </w:t>
      </w:r>
      <w:r w:rsidRPr="008E6AA1">
        <w:t>to dioxins, furans and PCBs, particularly foetuses and young children, and some animals.</w:t>
      </w:r>
    </w:p>
    <w:p w14:paraId="7C2B328B" w14:textId="77777777" w:rsidR="006B066F" w:rsidRPr="00BA648A" w:rsidRDefault="006B066F" w:rsidP="00D15F58">
      <w:pPr>
        <w:rPr>
          <w:highlight w:val="magenta"/>
        </w:rPr>
      </w:pPr>
    </w:p>
    <w:p w14:paraId="203F02F9" w14:textId="77777777" w:rsidR="006B066F" w:rsidRDefault="006B066F" w:rsidP="00D15F58">
      <w:r w:rsidRPr="008E6AA1">
        <w:t>Generally, the concentrations of dioxins, furans and PCBs in New Zealand are low when compared to ambient concentrations found i</w:t>
      </w:r>
      <w:r w:rsidR="00321A57">
        <w:t xml:space="preserve">n other countries. </w:t>
      </w:r>
      <w:r w:rsidRPr="008E6AA1">
        <w:t>Dioxin levels in air were found to be seasonally elevated</w:t>
      </w:r>
      <w:r>
        <w:t>, however,</w:t>
      </w:r>
      <w:r w:rsidRPr="008E6AA1">
        <w:t xml:space="preserve"> during colder months due to domestic fires.</w:t>
      </w:r>
    </w:p>
    <w:p w14:paraId="2C61C354" w14:textId="77777777" w:rsidR="006B066F" w:rsidRDefault="006B066F" w:rsidP="006B066F">
      <w:pPr>
        <w:pStyle w:val="Heading3"/>
      </w:pPr>
      <w:r>
        <w:t>2.1.2</w:t>
      </w:r>
      <w:r>
        <w:tab/>
        <w:t xml:space="preserve">Adverse </w:t>
      </w:r>
      <w:r w:rsidR="00074CA6">
        <w:t xml:space="preserve">effects </w:t>
      </w:r>
      <w:r>
        <w:t xml:space="preserve">of </w:t>
      </w:r>
      <w:r w:rsidR="00074CA6">
        <w:t>other toxic substances</w:t>
      </w:r>
    </w:p>
    <w:p w14:paraId="3D8F422F" w14:textId="77777777" w:rsidR="006B066F" w:rsidRDefault="006B066F" w:rsidP="006B066F">
      <w:pPr>
        <w:pStyle w:val="Sub-list"/>
        <w:tabs>
          <w:tab w:val="clear" w:pos="397"/>
        </w:tabs>
        <w:spacing w:before="0"/>
        <w:ind w:left="0"/>
        <w:rPr>
          <w:lang w:eastAsia="en-NZ"/>
        </w:rPr>
      </w:pPr>
      <w:r>
        <w:rPr>
          <w:lang w:eastAsia="en-NZ"/>
        </w:rPr>
        <w:t>There are a variety of other toxic compounds formed by combustion activities including volatile organic compounds and polycyclic aromatic hydrocarbons.</w:t>
      </w:r>
    </w:p>
    <w:p w14:paraId="3BEAE8A8" w14:textId="77777777" w:rsidR="008448E4" w:rsidRDefault="008448E4" w:rsidP="006B066F">
      <w:pPr>
        <w:pStyle w:val="Sub-list"/>
        <w:tabs>
          <w:tab w:val="clear" w:pos="397"/>
        </w:tabs>
        <w:spacing w:before="0"/>
        <w:ind w:left="0"/>
        <w:rPr>
          <w:lang w:eastAsia="en-NZ"/>
        </w:rPr>
      </w:pPr>
    </w:p>
    <w:p w14:paraId="3DEC37DE" w14:textId="77777777" w:rsidR="006B066F" w:rsidRDefault="006B066F" w:rsidP="006B066F">
      <w:pPr>
        <w:pStyle w:val="Sub-list"/>
        <w:tabs>
          <w:tab w:val="clear" w:pos="397"/>
        </w:tabs>
        <w:spacing w:before="0"/>
        <w:ind w:left="0"/>
        <w:rPr>
          <w:lang w:eastAsia="en-NZ"/>
        </w:rPr>
      </w:pPr>
      <w:r w:rsidRPr="00D249E1">
        <w:rPr>
          <w:bCs/>
        </w:rPr>
        <w:t>Volatile organic compounds</w:t>
      </w:r>
      <w:r>
        <w:t xml:space="preserve"> are organic chemicals (ie</w:t>
      </w:r>
      <w:r w:rsidR="00CB4921">
        <w:t>,</w:t>
      </w:r>
      <w:r>
        <w:t xml:space="preserve"> chemicals</w:t>
      </w:r>
      <w:r w:rsidRPr="00160C41">
        <w:t xml:space="preserve"> </w:t>
      </w:r>
      <w:r>
        <w:t>containing carbon) that volatilise easily and can have long-term human health effects. Possible chronic health effects include cancer, central nervous system disorders, liver and kidney damage, reproductive disorders, and birth defects.</w:t>
      </w:r>
    </w:p>
    <w:p w14:paraId="2A281A63" w14:textId="77777777" w:rsidR="006B066F" w:rsidRDefault="006B066F" w:rsidP="006B066F">
      <w:pPr>
        <w:pStyle w:val="Sub-list"/>
        <w:tabs>
          <w:tab w:val="clear" w:pos="397"/>
        </w:tabs>
        <w:spacing w:before="0"/>
        <w:ind w:left="0"/>
        <w:rPr>
          <w:lang w:eastAsia="en-NZ"/>
        </w:rPr>
      </w:pPr>
    </w:p>
    <w:p w14:paraId="5F892087" w14:textId="77777777" w:rsidR="006B066F" w:rsidRDefault="006B066F" w:rsidP="006B066F">
      <w:pPr>
        <w:pStyle w:val="Sub-list"/>
        <w:tabs>
          <w:tab w:val="clear" w:pos="397"/>
        </w:tabs>
        <w:spacing w:before="0"/>
        <w:ind w:left="0"/>
      </w:pPr>
      <w:r>
        <w:rPr>
          <w:lang w:eastAsia="en-NZ"/>
        </w:rPr>
        <w:t>P</w:t>
      </w:r>
      <w:r w:rsidRPr="006A5D39">
        <w:rPr>
          <w:lang w:eastAsia="en-NZ"/>
        </w:rPr>
        <w:t>olycyclic aromatic hydrocarbons</w:t>
      </w:r>
      <w:r>
        <w:t xml:space="preserve"> are widespread in the environment and of concern because some compounds have been identified as </w:t>
      </w:r>
      <w:r w:rsidRPr="00312E80">
        <w:t>carcinogenic</w:t>
      </w:r>
      <w:r>
        <w:t xml:space="preserve"> (ie</w:t>
      </w:r>
      <w:r w:rsidR="00CB4921">
        <w:t>,</w:t>
      </w:r>
      <w:r>
        <w:t xml:space="preserve"> cancer-causing), </w:t>
      </w:r>
      <w:r w:rsidRPr="00312E80">
        <w:t>mutagenic</w:t>
      </w:r>
      <w:r>
        <w:t xml:space="preserve"> </w:t>
      </w:r>
      <w:r w:rsidR="00321A57">
        <w:br/>
      </w:r>
      <w:r>
        <w:t>(ie</w:t>
      </w:r>
      <w:r w:rsidR="00CB4921">
        <w:t>,</w:t>
      </w:r>
      <w:r>
        <w:t xml:space="preserve"> increases mutations of genetic material) and </w:t>
      </w:r>
      <w:hyperlink r:id="rId30" w:tooltip="Teratogen" w:history="1">
        <w:r w:rsidRPr="00312E80">
          <w:t>teratogenic</w:t>
        </w:r>
      </w:hyperlink>
      <w:r w:rsidR="00CB4921">
        <w:t xml:space="preserve"> (ie,</w:t>
      </w:r>
      <w:r>
        <w:t xml:space="preserve"> causes birth defects).  </w:t>
      </w:r>
    </w:p>
    <w:p w14:paraId="2AB1CFB5" w14:textId="77777777" w:rsidR="006B066F" w:rsidRDefault="006B066F" w:rsidP="006B066F">
      <w:pPr>
        <w:pStyle w:val="Sub-list"/>
        <w:tabs>
          <w:tab w:val="clear" w:pos="397"/>
        </w:tabs>
        <w:spacing w:before="0"/>
        <w:ind w:left="0"/>
      </w:pPr>
    </w:p>
    <w:p w14:paraId="027A257B" w14:textId="77777777" w:rsidR="006B066F" w:rsidRDefault="006B066F" w:rsidP="006B066F">
      <w:pPr>
        <w:pStyle w:val="Sub-list"/>
        <w:tabs>
          <w:tab w:val="clear" w:pos="397"/>
        </w:tabs>
        <w:spacing w:before="0"/>
        <w:ind w:left="0"/>
      </w:pPr>
      <w:r w:rsidRPr="00071167">
        <w:t xml:space="preserve">Research </w:t>
      </w:r>
      <w:r w:rsidRPr="00071167">
        <w:rPr>
          <w:rFonts w:cs="Calibri"/>
          <w:lang w:eastAsia="en-NZ"/>
        </w:rPr>
        <w:t xml:space="preserve">suggests that carcinogenic </w:t>
      </w:r>
      <w:r w:rsidRPr="00071167">
        <w:rPr>
          <w:lang w:eastAsia="en-NZ"/>
        </w:rPr>
        <w:t>polycyclic aromatic hydrocarbons</w:t>
      </w:r>
      <w:r w:rsidRPr="00071167">
        <w:rPr>
          <w:rFonts w:cs="Calibri"/>
          <w:lang w:eastAsia="en-NZ"/>
        </w:rPr>
        <w:t xml:space="preserve"> can result in</w:t>
      </w:r>
      <w:r w:rsidR="00071167" w:rsidRPr="00071167">
        <w:rPr>
          <w:rFonts w:cs="Calibri"/>
          <w:lang w:eastAsia="en-NZ"/>
        </w:rPr>
        <w:t xml:space="preserve"> </w:t>
      </w:r>
      <w:r w:rsidRPr="00071167">
        <w:rPr>
          <w:rFonts w:cs="Calibri"/>
          <w:lang w:eastAsia="en-NZ"/>
        </w:rPr>
        <w:t>low birth weight</w:t>
      </w:r>
      <w:r w:rsidR="00CB4921">
        <w:rPr>
          <w:rFonts w:cs="Calibri"/>
          <w:lang w:eastAsia="en-NZ"/>
        </w:rPr>
        <w:t>s</w:t>
      </w:r>
      <w:r w:rsidRPr="00071167">
        <w:rPr>
          <w:rFonts w:cs="Calibri"/>
          <w:lang w:eastAsia="en-NZ"/>
        </w:rPr>
        <w:t xml:space="preserve"> for babies </w:t>
      </w:r>
      <w:r w:rsidRPr="00CB4921">
        <w:rPr>
          <w:rFonts w:cs="Calibri"/>
          <w:lang w:eastAsia="en-NZ"/>
        </w:rPr>
        <w:t>(</w:t>
      </w:r>
      <w:r w:rsidRPr="00CB4921">
        <w:t xml:space="preserve">Šrám, </w:t>
      </w:r>
      <w:r w:rsidR="00CB4921" w:rsidRPr="00CB4921">
        <w:t>1999</w:t>
      </w:r>
      <w:r w:rsidRPr="00CB4921">
        <w:t>)</w:t>
      </w:r>
      <w:r w:rsidRPr="00071167">
        <w:t>.</w:t>
      </w:r>
    </w:p>
    <w:p w14:paraId="22FC812E" w14:textId="77777777" w:rsidR="00006C58" w:rsidRDefault="00006C58" w:rsidP="006B066F">
      <w:pPr>
        <w:pStyle w:val="Sub-list"/>
        <w:tabs>
          <w:tab w:val="clear" w:pos="397"/>
        </w:tabs>
        <w:spacing w:before="0"/>
        <w:ind w:left="0"/>
      </w:pPr>
    </w:p>
    <w:p w14:paraId="4BF47C9B" w14:textId="77777777" w:rsidR="006201AD" w:rsidRDefault="006201AD" w:rsidP="006201AD">
      <w:pPr>
        <w:pStyle w:val="Heading2"/>
      </w:pPr>
      <w:bookmarkStart w:id="24" w:name="_Toc300856590"/>
      <w:r>
        <w:t>2.2</w:t>
      </w:r>
      <w:r>
        <w:tab/>
      </w:r>
      <w:r w:rsidR="00926882">
        <w:t xml:space="preserve">What </w:t>
      </w:r>
      <w:r w:rsidR="00CE22C6">
        <w:t xml:space="preserve">activities do the </w:t>
      </w:r>
      <w:r w:rsidR="00926882">
        <w:t>standards</w:t>
      </w:r>
      <w:r w:rsidR="00CE22C6">
        <w:t xml:space="preserve"> prohibit</w:t>
      </w:r>
      <w:r w:rsidR="00926882">
        <w:t>?</w:t>
      </w:r>
      <w:bookmarkEnd w:id="24"/>
    </w:p>
    <w:p w14:paraId="7D5D2E4E" w14:textId="77777777" w:rsidR="00A94C68" w:rsidRPr="00A94C68" w:rsidRDefault="00A94C68" w:rsidP="006201AD">
      <w:r w:rsidRPr="00A94C68">
        <w:t>The Regulations prohibit:</w:t>
      </w:r>
    </w:p>
    <w:p w14:paraId="7AC66B08" w14:textId="77777777" w:rsidR="00A94C68" w:rsidRPr="00A94C68" w:rsidRDefault="00A94C68" w:rsidP="00726A4C">
      <w:pPr>
        <w:pStyle w:val="Bullet"/>
        <w:numPr>
          <w:ilvl w:val="0"/>
          <w:numId w:val="15"/>
        </w:numPr>
      </w:pPr>
      <w:r w:rsidRPr="00A94C68">
        <w:t>landfill fires (Regulation 6)</w:t>
      </w:r>
    </w:p>
    <w:p w14:paraId="2905061F" w14:textId="77777777" w:rsidR="00A94C68" w:rsidRPr="00A94C68" w:rsidRDefault="00A94C68" w:rsidP="00726A4C">
      <w:pPr>
        <w:pStyle w:val="Bullet"/>
        <w:numPr>
          <w:ilvl w:val="0"/>
          <w:numId w:val="15"/>
        </w:numPr>
      </w:pPr>
      <w:r w:rsidRPr="00A94C68">
        <w:t>burning of tyres in the open (Regulation 7)</w:t>
      </w:r>
    </w:p>
    <w:p w14:paraId="40C8A29C" w14:textId="77777777" w:rsidR="00A94C68" w:rsidRPr="00A94C68" w:rsidRDefault="00A94C68" w:rsidP="00726A4C">
      <w:pPr>
        <w:pStyle w:val="Bullet"/>
        <w:numPr>
          <w:ilvl w:val="0"/>
          <w:numId w:val="15"/>
        </w:numPr>
      </w:pPr>
      <w:r w:rsidRPr="00A94C68">
        <w:t>bitumen burning (Regulation 8)</w:t>
      </w:r>
    </w:p>
    <w:p w14:paraId="6C132238" w14:textId="77777777" w:rsidR="00A94C68" w:rsidRPr="00A94C68" w:rsidRDefault="00A94C68" w:rsidP="00726A4C">
      <w:pPr>
        <w:pStyle w:val="Bullet"/>
        <w:numPr>
          <w:ilvl w:val="0"/>
          <w:numId w:val="15"/>
        </w:numPr>
      </w:pPr>
      <w:r w:rsidRPr="00A94C68">
        <w:t>burning of coated wire in the open (Regulation 9)</w:t>
      </w:r>
    </w:p>
    <w:p w14:paraId="3514BF99" w14:textId="77777777" w:rsidR="00A94C68" w:rsidRPr="00A94C68" w:rsidRDefault="00A94C68" w:rsidP="00726A4C">
      <w:pPr>
        <w:pStyle w:val="Bullet"/>
        <w:numPr>
          <w:ilvl w:val="0"/>
          <w:numId w:val="15"/>
        </w:numPr>
      </w:pPr>
      <w:r w:rsidRPr="00A94C68">
        <w:t>burning of oil in the open (Regulation 10)</w:t>
      </w:r>
    </w:p>
    <w:p w14:paraId="780710CB" w14:textId="77777777" w:rsidR="00A94C68" w:rsidRPr="00A94C68" w:rsidRDefault="00A94C68" w:rsidP="00726A4C">
      <w:pPr>
        <w:pStyle w:val="Bullet"/>
        <w:numPr>
          <w:ilvl w:val="0"/>
          <w:numId w:val="15"/>
        </w:numPr>
      </w:pPr>
      <w:r w:rsidRPr="00A94C68">
        <w:t>school and healthcare incinerators unless a resource consent is obtained (Regulation11)</w:t>
      </w:r>
    </w:p>
    <w:p w14:paraId="421C2F23" w14:textId="77777777" w:rsidR="00A94C68" w:rsidRPr="00A94C68" w:rsidRDefault="00A94C68" w:rsidP="00726A4C">
      <w:pPr>
        <w:pStyle w:val="Bullet"/>
        <w:numPr>
          <w:ilvl w:val="0"/>
          <w:numId w:val="15"/>
        </w:numPr>
      </w:pPr>
      <w:r w:rsidRPr="00A94C68">
        <w:t>high temperature incinerators (Regulation 12).</w:t>
      </w:r>
    </w:p>
    <w:p w14:paraId="4E492110" w14:textId="77777777" w:rsidR="00625A84" w:rsidRDefault="00625A84" w:rsidP="00A94C68"/>
    <w:p w14:paraId="66864A5D" w14:textId="77777777" w:rsidR="00A94C68" w:rsidRDefault="00A94C68" w:rsidP="00A94C68">
      <w:r>
        <w:t xml:space="preserve">The intent </w:t>
      </w:r>
      <w:r w:rsidR="00625A84">
        <w:t xml:space="preserve">of the activity bans </w:t>
      </w:r>
      <w:r>
        <w:t>w</w:t>
      </w:r>
      <w:r w:rsidR="00071167">
        <w:t>as</w:t>
      </w:r>
      <w:r>
        <w:t xml:space="preserve"> to prohibit activities that produce dioxins and other toxics</w:t>
      </w:r>
      <w:r w:rsidR="00FD2FE9">
        <w:t xml:space="preserve"> and were bad practice anyway.</w:t>
      </w:r>
      <w:r>
        <w:t xml:space="preserve"> Burning of rubber, plastic, rubbish, tyres and oils also causes nuisance </w:t>
      </w:r>
      <w:r w:rsidR="00625A84">
        <w:t>due to</w:t>
      </w:r>
      <w:r>
        <w:t xml:space="preserve"> the dense smoke that is produced </w:t>
      </w:r>
      <w:r w:rsidR="00625A84">
        <w:t>so it was also anticipated that there would be a flow on effect from the ban of reducing complaints due to these types of open burning nationally.</w:t>
      </w:r>
    </w:p>
    <w:p w14:paraId="48DFACAC" w14:textId="77777777" w:rsidR="00A94C68" w:rsidRDefault="00A94C68" w:rsidP="00A94C68"/>
    <w:p w14:paraId="47F028FC" w14:textId="77777777" w:rsidR="00FD2FE9" w:rsidRDefault="00625A84" w:rsidP="00A94C68">
      <w:r>
        <w:t xml:space="preserve">The prohibited activity standards and their start dates are summarised in </w:t>
      </w:r>
      <w:r w:rsidR="00FD2FE9">
        <w:t xml:space="preserve">table </w:t>
      </w:r>
      <w:r w:rsidRPr="00CB4921">
        <w:t>2</w:t>
      </w:r>
      <w:r>
        <w:t xml:space="preserve"> and discussed individually in the following sections of this chapter. </w:t>
      </w:r>
    </w:p>
    <w:p w14:paraId="636137F7" w14:textId="77777777" w:rsidR="00D60116" w:rsidRDefault="00D60116" w:rsidP="00A94C68"/>
    <w:p w14:paraId="23ACF891" w14:textId="77777777" w:rsidR="00071167" w:rsidRDefault="00071167" w:rsidP="00407749">
      <w:pPr>
        <w:pStyle w:val="Tableheading"/>
      </w:pPr>
      <w:bookmarkStart w:id="25" w:name="_Toc377645808"/>
      <w:r>
        <w:t xml:space="preserve">Table </w:t>
      </w:r>
      <w:r w:rsidRPr="00CB4921">
        <w:t>2</w:t>
      </w:r>
      <w:r>
        <w:t>:</w:t>
      </w:r>
      <w:r>
        <w:tab/>
        <w:t>Start dates for prohibited activity standards for dioxin and other toxics</w:t>
      </w:r>
      <w:bookmarkEnd w:id="25"/>
    </w:p>
    <w:tbl>
      <w:tblPr>
        <w:tblW w:w="8755" w:type="dxa"/>
        <w:tblLook w:val="04A0" w:firstRow="1" w:lastRow="0" w:firstColumn="1" w:lastColumn="0" w:noHBand="0" w:noVBand="1"/>
      </w:tblPr>
      <w:tblGrid>
        <w:gridCol w:w="6204"/>
        <w:gridCol w:w="2551"/>
      </w:tblGrid>
      <w:tr w:rsidR="00071167" w14:paraId="6A5F4D08" w14:textId="77777777" w:rsidTr="00071167">
        <w:tc>
          <w:tcPr>
            <w:tcW w:w="6204" w:type="dxa"/>
            <w:tcBorders>
              <w:top w:val="single" w:sz="8" w:space="0" w:color="auto"/>
              <w:left w:val="nil"/>
              <w:bottom w:val="single" w:sz="8" w:space="0" w:color="auto"/>
              <w:right w:val="nil"/>
            </w:tcBorders>
          </w:tcPr>
          <w:p w14:paraId="3DC8937D" w14:textId="77777777" w:rsidR="00071167" w:rsidRDefault="00071167" w:rsidP="00071167">
            <w:pPr>
              <w:pStyle w:val="TableTextbold"/>
              <w:keepNext/>
            </w:pPr>
            <w:r>
              <w:t>Prohibited Activity</w:t>
            </w:r>
          </w:p>
        </w:tc>
        <w:tc>
          <w:tcPr>
            <w:tcW w:w="2551" w:type="dxa"/>
            <w:tcBorders>
              <w:top w:val="single" w:sz="8" w:space="0" w:color="auto"/>
              <w:left w:val="nil"/>
              <w:bottom w:val="single" w:sz="8" w:space="0" w:color="auto"/>
              <w:right w:val="nil"/>
            </w:tcBorders>
          </w:tcPr>
          <w:p w14:paraId="52CF00D2" w14:textId="77777777" w:rsidR="00071167" w:rsidRDefault="00071167" w:rsidP="00071167">
            <w:pPr>
              <w:pStyle w:val="TableTextbold"/>
              <w:keepNext/>
            </w:pPr>
            <w:r>
              <w:t>Start date</w:t>
            </w:r>
          </w:p>
        </w:tc>
      </w:tr>
      <w:tr w:rsidR="00071167" w14:paraId="3F215075" w14:textId="77777777" w:rsidTr="00071167">
        <w:tc>
          <w:tcPr>
            <w:tcW w:w="6204" w:type="dxa"/>
            <w:tcBorders>
              <w:top w:val="single" w:sz="8" w:space="0" w:color="auto"/>
              <w:left w:val="nil"/>
              <w:bottom w:val="nil"/>
              <w:right w:val="nil"/>
            </w:tcBorders>
          </w:tcPr>
          <w:p w14:paraId="651B1674" w14:textId="77777777" w:rsidR="00071167" w:rsidRDefault="00071167" w:rsidP="00071167">
            <w:pPr>
              <w:pStyle w:val="TableText"/>
              <w:keepNext/>
            </w:pPr>
            <w:r>
              <w:t>Landfill fires</w:t>
            </w:r>
          </w:p>
        </w:tc>
        <w:tc>
          <w:tcPr>
            <w:tcW w:w="2551" w:type="dxa"/>
            <w:tcBorders>
              <w:top w:val="single" w:sz="8" w:space="0" w:color="auto"/>
              <w:left w:val="nil"/>
              <w:bottom w:val="nil"/>
              <w:right w:val="nil"/>
            </w:tcBorders>
          </w:tcPr>
          <w:p w14:paraId="5B394538" w14:textId="77777777" w:rsidR="00071167" w:rsidRDefault="00071167" w:rsidP="00071167">
            <w:pPr>
              <w:pStyle w:val="TableText"/>
              <w:keepNext/>
            </w:pPr>
            <w:r>
              <w:t>8 October 2004</w:t>
            </w:r>
          </w:p>
        </w:tc>
      </w:tr>
      <w:tr w:rsidR="00071167" w14:paraId="477ED31D" w14:textId="77777777" w:rsidTr="00071167">
        <w:tc>
          <w:tcPr>
            <w:tcW w:w="6204" w:type="dxa"/>
            <w:tcBorders>
              <w:top w:val="nil"/>
              <w:left w:val="nil"/>
              <w:bottom w:val="nil"/>
              <w:right w:val="nil"/>
            </w:tcBorders>
          </w:tcPr>
          <w:p w14:paraId="7C186D8B" w14:textId="77777777" w:rsidR="00071167" w:rsidRDefault="00071167" w:rsidP="00071167">
            <w:pPr>
              <w:pStyle w:val="TableText"/>
              <w:keepNext/>
            </w:pPr>
            <w:r>
              <w:t>Burning of tyres in the open</w:t>
            </w:r>
          </w:p>
        </w:tc>
        <w:tc>
          <w:tcPr>
            <w:tcW w:w="2551" w:type="dxa"/>
            <w:tcBorders>
              <w:top w:val="nil"/>
              <w:left w:val="nil"/>
              <w:bottom w:val="nil"/>
              <w:right w:val="nil"/>
            </w:tcBorders>
          </w:tcPr>
          <w:p w14:paraId="502F73EB" w14:textId="77777777" w:rsidR="00071167" w:rsidRDefault="00071167" w:rsidP="00071167">
            <w:pPr>
              <w:pStyle w:val="TableText"/>
              <w:keepNext/>
            </w:pPr>
            <w:r>
              <w:t>8 October 2004</w:t>
            </w:r>
          </w:p>
        </w:tc>
      </w:tr>
      <w:tr w:rsidR="00071167" w14:paraId="30CE56DE" w14:textId="77777777" w:rsidTr="00071167">
        <w:tc>
          <w:tcPr>
            <w:tcW w:w="6204" w:type="dxa"/>
            <w:tcBorders>
              <w:top w:val="nil"/>
              <w:left w:val="nil"/>
              <w:bottom w:val="nil"/>
              <w:right w:val="nil"/>
            </w:tcBorders>
          </w:tcPr>
          <w:p w14:paraId="6775EA15" w14:textId="77777777" w:rsidR="00071167" w:rsidRDefault="00071167" w:rsidP="00071167">
            <w:pPr>
              <w:pStyle w:val="TableText"/>
              <w:keepNext/>
            </w:pPr>
            <w:r>
              <w:t>Bitumen burning for road maintenance</w:t>
            </w:r>
          </w:p>
        </w:tc>
        <w:tc>
          <w:tcPr>
            <w:tcW w:w="2551" w:type="dxa"/>
            <w:tcBorders>
              <w:top w:val="nil"/>
              <w:left w:val="nil"/>
              <w:bottom w:val="nil"/>
              <w:right w:val="nil"/>
            </w:tcBorders>
          </w:tcPr>
          <w:p w14:paraId="31A20CB5" w14:textId="77777777" w:rsidR="00071167" w:rsidRDefault="00071167" w:rsidP="00071167">
            <w:pPr>
              <w:pStyle w:val="TableText"/>
              <w:keepNext/>
            </w:pPr>
            <w:r>
              <w:t>8 October 2004</w:t>
            </w:r>
          </w:p>
        </w:tc>
      </w:tr>
      <w:tr w:rsidR="00071167" w14:paraId="616CFB2A" w14:textId="77777777" w:rsidTr="00071167">
        <w:tc>
          <w:tcPr>
            <w:tcW w:w="6204" w:type="dxa"/>
            <w:tcBorders>
              <w:top w:val="nil"/>
              <w:left w:val="nil"/>
              <w:bottom w:val="nil"/>
              <w:right w:val="nil"/>
            </w:tcBorders>
          </w:tcPr>
          <w:p w14:paraId="76E757B0" w14:textId="77777777" w:rsidR="00071167" w:rsidRDefault="00071167" w:rsidP="00071167">
            <w:pPr>
              <w:pStyle w:val="TableText"/>
              <w:keepNext/>
            </w:pPr>
            <w:r>
              <w:t>Burning of coated wire in the open</w:t>
            </w:r>
          </w:p>
        </w:tc>
        <w:tc>
          <w:tcPr>
            <w:tcW w:w="2551" w:type="dxa"/>
            <w:tcBorders>
              <w:top w:val="nil"/>
              <w:left w:val="nil"/>
              <w:bottom w:val="nil"/>
              <w:right w:val="nil"/>
            </w:tcBorders>
          </w:tcPr>
          <w:p w14:paraId="241C015C" w14:textId="77777777" w:rsidR="00071167" w:rsidRDefault="00071167" w:rsidP="00071167">
            <w:pPr>
              <w:pStyle w:val="TableText"/>
              <w:keepNext/>
            </w:pPr>
            <w:r>
              <w:t>8 October 2004</w:t>
            </w:r>
          </w:p>
        </w:tc>
      </w:tr>
      <w:tr w:rsidR="00071167" w14:paraId="6076471E" w14:textId="77777777" w:rsidTr="00071167">
        <w:tc>
          <w:tcPr>
            <w:tcW w:w="6204" w:type="dxa"/>
            <w:tcBorders>
              <w:top w:val="nil"/>
              <w:left w:val="nil"/>
              <w:bottom w:val="nil"/>
              <w:right w:val="nil"/>
            </w:tcBorders>
          </w:tcPr>
          <w:p w14:paraId="2CEC64CF" w14:textId="77777777" w:rsidR="00071167" w:rsidRDefault="00071167" w:rsidP="00071167">
            <w:pPr>
              <w:pStyle w:val="TableText"/>
              <w:keepNext/>
            </w:pPr>
            <w:r>
              <w:t>Burning of oil in the open</w:t>
            </w:r>
          </w:p>
        </w:tc>
        <w:tc>
          <w:tcPr>
            <w:tcW w:w="2551" w:type="dxa"/>
            <w:tcBorders>
              <w:top w:val="nil"/>
              <w:left w:val="nil"/>
              <w:bottom w:val="nil"/>
              <w:right w:val="nil"/>
            </w:tcBorders>
          </w:tcPr>
          <w:p w14:paraId="03E417EB" w14:textId="77777777" w:rsidR="00071167" w:rsidRDefault="00071167" w:rsidP="00071167">
            <w:pPr>
              <w:pStyle w:val="TableText"/>
              <w:keepNext/>
            </w:pPr>
            <w:r>
              <w:t>8 October 2004</w:t>
            </w:r>
          </w:p>
        </w:tc>
      </w:tr>
      <w:tr w:rsidR="00071167" w14:paraId="14FA744A" w14:textId="77777777" w:rsidTr="00071167">
        <w:tc>
          <w:tcPr>
            <w:tcW w:w="6204" w:type="dxa"/>
            <w:tcBorders>
              <w:top w:val="nil"/>
              <w:left w:val="nil"/>
              <w:bottom w:val="nil"/>
              <w:right w:val="nil"/>
            </w:tcBorders>
          </w:tcPr>
          <w:p w14:paraId="3493454E" w14:textId="77777777" w:rsidR="00071167" w:rsidRDefault="00071167" w:rsidP="00071167">
            <w:pPr>
              <w:pStyle w:val="TableText"/>
              <w:keepNext/>
            </w:pPr>
            <w:r>
              <w:t>New high temperature hazardous waste incinerators</w:t>
            </w:r>
          </w:p>
        </w:tc>
        <w:tc>
          <w:tcPr>
            <w:tcW w:w="2551" w:type="dxa"/>
            <w:tcBorders>
              <w:top w:val="nil"/>
              <w:left w:val="nil"/>
              <w:bottom w:val="nil"/>
              <w:right w:val="nil"/>
            </w:tcBorders>
          </w:tcPr>
          <w:p w14:paraId="10D6A166" w14:textId="77777777" w:rsidR="00071167" w:rsidRDefault="00071167" w:rsidP="00071167">
            <w:pPr>
              <w:pStyle w:val="TableText"/>
              <w:keepNext/>
            </w:pPr>
            <w:r>
              <w:t>8 October 2004</w:t>
            </w:r>
          </w:p>
        </w:tc>
      </w:tr>
      <w:tr w:rsidR="00071167" w14:paraId="123DED11" w14:textId="77777777" w:rsidTr="00071167">
        <w:tc>
          <w:tcPr>
            <w:tcW w:w="6204" w:type="dxa"/>
            <w:tcBorders>
              <w:top w:val="nil"/>
              <w:left w:val="nil"/>
              <w:bottom w:val="single" w:sz="8" w:space="0" w:color="auto"/>
              <w:right w:val="nil"/>
            </w:tcBorders>
          </w:tcPr>
          <w:p w14:paraId="674BF121" w14:textId="77777777" w:rsidR="00071167" w:rsidRDefault="00071167" w:rsidP="00071167">
            <w:pPr>
              <w:pStyle w:val="TableText"/>
              <w:keepNext/>
            </w:pPr>
            <w:r>
              <w:t>School/healthcare incinerators unless resource consent obtained</w:t>
            </w:r>
          </w:p>
        </w:tc>
        <w:tc>
          <w:tcPr>
            <w:tcW w:w="2551" w:type="dxa"/>
            <w:tcBorders>
              <w:top w:val="nil"/>
              <w:left w:val="nil"/>
              <w:bottom w:val="single" w:sz="8" w:space="0" w:color="auto"/>
              <w:right w:val="nil"/>
            </w:tcBorders>
          </w:tcPr>
          <w:p w14:paraId="676E6C4E" w14:textId="77777777" w:rsidR="00071167" w:rsidRDefault="00071167" w:rsidP="00071167">
            <w:pPr>
              <w:pStyle w:val="TableText"/>
              <w:keepNext/>
            </w:pPr>
            <w:r>
              <w:t>1 October 2006</w:t>
            </w:r>
          </w:p>
        </w:tc>
      </w:tr>
    </w:tbl>
    <w:p w14:paraId="6CBC5AE6" w14:textId="77777777" w:rsidR="00071167" w:rsidRDefault="00071167" w:rsidP="00D60116"/>
    <w:p w14:paraId="10F80C77" w14:textId="77777777" w:rsidR="00D60116" w:rsidRDefault="00D60116" w:rsidP="00D60116">
      <w:r>
        <w:t xml:space="preserve">The activity bans have been in force for several years now and should be complied with.  A transitional phase in period was given for school and healthcare incinerators. This was to provide time for organisations that wished to continue to operate these facilities to obtain resource consent from their local councils. Enforcement action available to councils for non-compliance with the bans is discussed in </w:t>
      </w:r>
      <w:r w:rsidRPr="00CB4921">
        <w:t>section 2.</w:t>
      </w:r>
      <w:r w:rsidR="00CB4921" w:rsidRPr="00CB4921">
        <w:t>4</w:t>
      </w:r>
      <w:r w:rsidRPr="00CB4921">
        <w:t>.</w:t>
      </w:r>
    </w:p>
    <w:p w14:paraId="1702DBB8" w14:textId="77777777" w:rsidR="00625A84" w:rsidRPr="00625A84" w:rsidRDefault="00625A84" w:rsidP="00625A84">
      <w:pPr>
        <w:pStyle w:val="Heading5"/>
      </w:pPr>
      <w:r w:rsidRPr="00625A84">
        <w:t>Backyard (open) burning</w:t>
      </w:r>
    </w:p>
    <w:p w14:paraId="63B3D4F1" w14:textId="77777777" w:rsidR="00880EC5" w:rsidRDefault="00625A84" w:rsidP="00065BC2">
      <w:pPr>
        <w:pStyle w:val="Sub-list"/>
        <w:tabs>
          <w:tab w:val="clear" w:pos="397"/>
        </w:tabs>
        <w:ind w:left="0"/>
      </w:pPr>
      <w:r w:rsidRPr="00625A84">
        <w:t xml:space="preserve">The Regulations and the activity standards banning types of burning (Regulations 6 to 12) do not deal with </w:t>
      </w:r>
      <w:r w:rsidR="00880EC5" w:rsidRPr="00625A84">
        <w:t xml:space="preserve">backyard (open) burning.  </w:t>
      </w:r>
      <w:r w:rsidRPr="00625A84">
        <w:t>Backyard (open) burning is covered by rules in regional plans</w:t>
      </w:r>
      <w:r>
        <w:t xml:space="preserve"> or local bylaws</w:t>
      </w:r>
      <w:r w:rsidR="00880EC5">
        <w:t>.</w:t>
      </w:r>
    </w:p>
    <w:p w14:paraId="04FD1D1D" w14:textId="77777777" w:rsidR="00926882" w:rsidRDefault="006201AD" w:rsidP="00926882">
      <w:pPr>
        <w:pStyle w:val="Heading4"/>
      </w:pPr>
      <w:r>
        <w:t>2.2.1</w:t>
      </w:r>
      <w:r>
        <w:tab/>
      </w:r>
      <w:r w:rsidR="00926882" w:rsidRPr="00926882">
        <w:t>Landfill fires</w:t>
      </w:r>
    </w:p>
    <w:p w14:paraId="7D5282CD" w14:textId="77777777" w:rsidR="00087BF8" w:rsidRDefault="00087BF8" w:rsidP="006201AD">
      <w:pPr>
        <w:pStyle w:val="BodyText"/>
      </w:pPr>
      <w:r>
        <w:t>Regulation 6 specifies:</w:t>
      </w:r>
    </w:p>
    <w:p w14:paraId="6170E530" w14:textId="77777777" w:rsidR="00087BF8" w:rsidRDefault="00087BF8" w:rsidP="006201AD">
      <w:pPr>
        <w:pStyle w:val="BodyText"/>
      </w:pPr>
    </w:p>
    <w:p w14:paraId="43153FE0" w14:textId="77777777" w:rsidR="00087BF8" w:rsidRPr="00BA7317" w:rsidRDefault="00087BF8" w:rsidP="00EF4BDD">
      <w:pPr>
        <w:pStyle w:val="BodyText"/>
        <w:ind w:left="1134" w:hanging="567"/>
        <w:rPr>
          <w:b/>
          <w:i/>
          <w:sz w:val="20"/>
        </w:rPr>
      </w:pPr>
      <w:r w:rsidRPr="00BA7317">
        <w:rPr>
          <w:b/>
          <w:i/>
          <w:sz w:val="20"/>
        </w:rPr>
        <w:t>6</w:t>
      </w:r>
      <w:r w:rsidR="00BA7317" w:rsidRPr="00BA7317">
        <w:rPr>
          <w:b/>
          <w:i/>
          <w:sz w:val="20"/>
        </w:rPr>
        <w:tab/>
        <w:t>Lighting of fires and burning of waste at landfill</w:t>
      </w:r>
    </w:p>
    <w:p w14:paraId="21403B42" w14:textId="77777777" w:rsidR="00BA7317" w:rsidRPr="00BA7317" w:rsidRDefault="00BA7317" w:rsidP="00EF4BDD">
      <w:pPr>
        <w:pStyle w:val="BodyText"/>
        <w:ind w:left="1134" w:hanging="567"/>
        <w:rPr>
          <w:i/>
          <w:sz w:val="20"/>
        </w:rPr>
      </w:pPr>
      <w:r w:rsidRPr="00BA7317">
        <w:rPr>
          <w:i/>
          <w:sz w:val="20"/>
        </w:rPr>
        <w:t>(1)</w:t>
      </w:r>
      <w:r w:rsidRPr="00BA7317">
        <w:rPr>
          <w:i/>
          <w:sz w:val="20"/>
        </w:rPr>
        <w:tab/>
        <w:t>The lighting of fires and the burning of waste at a landfill are prohibited.</w:t>
      </w:r>
    </w:p>
    <w:p w14:paraId="382E265F" w14:textId="77777777" w:rsidR="00BA7317" w:rsidRPr="00BA7317" w:rsidRDefault="00BA7317" w:rsidP="00EF4BDD">
      <w:pPr>
        <w:pStyle w:val="BodyText"/>
        <w:ind w:left="1134" w:hanging="567"/>
        <w:rPr>
          <w:i/>
          <w:sz w:val="20"/>
        </w:rPr>
      </w:pPr>
      <w:r w:rsidRPr="00BA7317">
        <w:rPr>
          <w:i/>
          <w:sz w:val="20"/>
        </w:rPr>
        <w:t>(2)</w:t>
      </w:r>
      <w:r w:rsidRPr="00BA7317">
        <w:rPr>
          <w:i/>
          <w:sz w:val="20"/>
        </w:rPr>
        <w:tab/>
        <w:t xml:space="preserve">Subclause (1) does not apply if – </w:t>
      </w:r>
    </w:p>
    <w:p w14:paraId="5D82EAB8" w14:textId="77777777" w:rsidR="00BA7317" w:rsidRPr="00BA7317" w:rsidRDefault="00BA7317" w:rsidP="00EF4BDD">
      <w:pPr>
        <w:pStyle w:val="BodyText"/>
        <w:ind w:left="1701" w:hanging="567"/>
        <w:rPr>
          <w:i/>
          <w:sz w:val="20"/>
        </w:rPr>
      </w:pPr>
      <w:r w:rsidRPr="00BA7317">
        <w:rPr>
          <w:i/>
          <w:sz w:val="20"/>
        </w:rPr>
        <w:t>(a)</w:t>
      </w:r>
      <w:r w:rsidRPr="00BA7317">
        <w:rPr>
          <w:i/>
          <w:sz w:val="20"/>
        </w:rPr>
        <w:tab/>
        <w:t>the lighting of a fire is to control gas formed at the landfill; and</w:t>
      </w:r>
    </w:p>
    <w:p w14:paraId="02737761" w14:textId="77777777" w:rsidR="00BA7317" w:rsidRDefault="00BA7317" w:rsidP="00EF4BDD">
      <w:pPr>
        <w:pStyle w:val="BodyText"/>
        <w:ind w:left="1701" w:hanging="567"/>
      </w:pPr>
      <w:r w:rsidRPr="00BA7317">
        <w:rPr>
          <w:i/>
          <w:sz w:val="20"/>
        </w:rPr>
        <w:t>(b)</w:t>
      </w:r>
      <w:r w:rsidRPr="00BA7317">
        <w:rPr>
          <w:i/>
          <w:sz w:val="20"/>
        </w:rPr>
        <w:tab/>
        <w:t>the landfill complies with the requirements of regulations 25 to 27</w:t>
      </w:r>
      <w:r>
        <w:rPr>
          <w:rStyle w:val="FootnoteReference"/>
        </w:rPr>
        <w:footnoteReference w:id="4"/>
      </w:r>
      <w:r>
        <w:t>.</w:t>
      </w:r>
    </w:p>
    <w:p w14:paraId="22B7723F" w14:textId="77777777" w:rsidR="00975172" w:rsidRDefault="00975172" w:rsidP="00975172">
      <w:pPr>
        <w:pStyle w:val="Sub-list"/>
        <w:tabs>
          <w:tab w:val="clear" w:pos="397"/>
        </w:tabs>
        <w:ind w:left="0"/>
      </w:pPr>
    </w:p>
    <w:p w14:paraId="72A6A298" w14:textId="77777777" w:rsidR="00975172" w:rsidRDefault="00975172" w:rsidP="009C233A">
      <w:pPr>
        <w:pStyle w:val="Sub-list"/>
        <w:tabs>
          <w:tab w:val="clear" w:pos="397"/>
        </w:tabs>
        <w:spacing w:before="0"/>
        <w:ind w:left="0"/>
      </w:pPr>
      <w:r>
        <w:t>The definition of a landfill is given in Regulation 3 which states:</w:t>
      </w:r>
    </w:p>
    <w:p w14:paraId="7DB88B8A" w14:textId="77777777" w:rsidR="00975172" w:rsidRDefault="00975172" w:rsidP="009C233A">
      <w:pPr>
        <w:pStyle w:val="Sub-list"/>
        <w:tabs>
          <w:tab w:val="clear" w:pos="397"/>
        </w:tabs>
        <w:spacing w:before="0"/>
      </w:pPr>
    </w:p>
    <w:p w14:paraId="2BCE23BF" w14:textId="77777777" w:rsidR="00975172" w:rsidRDefault="00975172" w:rsidP="009C233A">
      <w:pPr>
        <w:pStyle w:val="Sub-list"/>
        <w:tabs>
          <w:tab w:val="clear" w:pos="397"/>
        </w:tabs>
        <w:spacing w:before="0"/>
        <w:rPr>
          <w:sz w:val="20"/>
        </w:rPr>
      </w:pPr>
      <w:r>
        <w:rPr>
          <w:b/>
          <w:i/>
          <w:sz w:val="20"/>
        </w:rPr>
        <w:t>Landfill</w:t>
      </w:r>
      <w:r w:rsidRPr="00AE268F">
        <w:rPr>
          <w:i/>
          <w:sz w:val="20"/>
        </w:rPr>
        <w:t xml:space="preserve"> means a </w:t>
      </w:r>
      <w:r>
        <w:rPr>
          <w:i/>
          <w:sz w:val="20"/>
        </w:rPr>
        <w:t>site where waste is disposed of by burying it, or placing it upon land or other waste</w:t>
      </w:r>
      <w:r w:rsidRPr="00AE268F">
        <w:rPr>
          <w:sz w:val="20"/>
        </w:rPr>
        <w:t>.</w:t>
      </w:r>
    </w:p>
    <w:p w14:paraId="1E3E1E8C" w14:textId="77777777" w:rsidR="006201AD" w:rsidRPr="009C233A" w:rsidRDefault="006201AD" w:rsidP="009C233A">
      <w:pPr>
        <w:pStyle w:val="Heading5"/>
      </w:pPr>
      <w:r w:rsidRPr="009C233A">
        <w:t>Implementation</w:t>
      </w:r>
    </w:p>
    <w:p w14:paraId="50269143" w14:textId="77777777" w:rsidR="006201AD" w:rsidRDefault="00BA7317" w:rsidP="009C233A">
      <w:pPr>
        <w:pStyle w:val="BodyText"/>
      </w:pPr>
      <w:r>
        <w:t xml:space="preserve">This </w:t>
      </w:r>
      <w:r w:rsidR="00D752E1">
        <w:t xml:space="preserve">Regulation </w:t>
      </w:r>
      <w:r>
        <w:t xml:space="preserve">bans the burning of any refuse at a landfill and </w:t>
      </w:r>
      <w:r w:rsidR="00476AA1">
        <w:t xml:space="preserve">has </w:t>
      </w:r>
      <w:r w:rsidR="00FD2FE9">
        <w:t>applied since</w:t>
      </w:r>
      <w:r>
        <w:t xml:space="preserve"> 8 October 2004.  The ban does not apply t</w:t>
      </w:r>
      <w:r w:rsidR="008D5A99">
        <w:t>o the flaring of landfill gas.</w:t>
      </w:r>
    </w:p>
    <w:p w14:paraId="729F9E37" w14:textId="77777777" w:rsidR="00BA7317" w:rsidRDefault="00BA7317" w:rsidP="009C233A">
      <w:pPr>
        <w:pStyle w:val="BodyText"/>
      </w:pPr>
    </w:p>
    <w:p w14:paraId="70858CE1" w14:textId="77777777" w:rsidR="00385A2B" w:rsidRDefault="008755EF" w:rsidP="009C233A">
      <w:pPr>
        <w:pStyle w:val="BodyText"/>
      </w:pPr>
      <w:r>
        <w:t xml:space="preserve">If a fire is discovered immediate steps should be undertaken to extinguish the fire. </w:t>
      </w:r>
      <w:r w:rsidR="00385A2B">
        <w:t xml:space="preserve">Because of the low burning temperature and incomplete combustion of burning refuse, landfill fires emit a variety of pollutants that have the potential to affect the health </w:t>
      </w:r>
      <w:r w:rsidR="008D5A99">
        <w:t>of people exposed to the smoke.</w:t>
      </w:r>
      <w:r w:rsidR="00385A2B">
        <w:t xml:space="preserve"> The main pollutants of concern are:</w:t>
      </w:r>
    </w:p>
    <w:p w14:paraId="4E7A78F7" w14:textId="77777777" w:rsidR="00FD2FE9" w:rsidRDefault="00FD2FE9" w:rsidP="00152DF6">
      <w:pPr>
        <w:pStyle w:val="Bullet"/>
        <w:numPr>
          <w:ilvl w:val="0"/>
          <w:numId w:val="9"/>
        </w:numPr>
      </w:pPr>
      <w:r>
        <w:t>smoke and odour</w:t>
      </w:r>
    </w:p>
    <w:p w14:paraId="4B7F84DB" w14:textId="77777777" w:rsidR="00385A2B" w:rsidRDefault="00FD2FE9" w:rsidP="00152DF6">
      <w:pPr>
        <w:pStyle w:val="Bullet"/>
        <w:numPr>
          <w:ilvl w:val="0"/>
          <w:numId w:val="9"/>
        </w:numPr>
      </w:pPr>
      <w:r>
        <w:t>oxides of nitrogen</w:t>
      </w:r>
    </w:p>
    <w:p w14:paraId="76189953" w14:textId="77777777" w:rsidR="00385A2B" w:rsidRDefault="00385A2B" w:rsidP="00152DF6">
      <w:pPr>
        <w:pStyle w:val="Bullet"/>
        <w:numPr>
          <w:ilvl w:val="0"/>
          <w:numId w:val="9"/>
        </w:numPr>
      </w:pPr>
      <w:r>
        <w:t>carbon monoxide</w:t>
      </w:r>
    </w:p>
    <w:p w14:paraId="28BF0834" w14:textId="77777777" w:rsidR="00FD2FE9" w:rsidRDefault="00FD2FE9" w:rsidP="00152DF6">
      <w:pPr>
        <w:pStyle w:val="Bullet"/>
        <w:numPr>
          <w:ilvl w:val="0"/>
          <w:numId w:val="9"/>
        </w:numPr>
      </w:pPr>
      <w:r>
        <w:t>sulphur dioxide (if tyres are being burned)</w:t>
      </w:r>
    </w:p>
    <w:p w14:paraId="43AA80E4" w14:textId="77777777" w:rsidR="00FD2FE9" w:rsidRDefault="00FD2FE9" w:rsidP="00152DF6">
      <w:pPr>
        <w:pStyle w:val="Bullet"/>
        <w:numPr>
          <w:ilvl w:val="0"/>
          <w:numId w:val="9"/>
        </w:numPr>
      </w:pPr>
      <w:r>
        <w:t>particulate matter (PM</w:t>
      </w:r>
      <w:r w:rsidRPr="00FD2FE9">
        <w:rPr>
          <w:vertAlign w:val="subscript"/>
        </w:rPr>
        <w:t>10</w:t>
      </w:r>
      <w:r>
        <w:t xml:space="preserve"> and PM</w:t>
      </w:r>
      <w:r w:rsidRPr="00FD2FE9">
        <w:rPr>
          <w:vertAlign w:val="subscript"/>
        </w:rPr>
        <w:t>2.5</w:t>
      </w:r>
      <w:r>
        <w:t>)</w:t>
      </w:r>
    </w:p>
    <w:p w14:paraId="7F1F8809" w14:textId="77777777" w:rsidR="00FD2FE9" w:rsidRDefault="00FD2FE9" w:rsidP="00152DF6">
      <w:pPr>
        <w:pStyle w:val="Bullet"/>
        <w:numPr>
          <w:ilvl w:val="0"/>
          <w:numId w:val="9"/>
        </w:numPr>
      </w:pPr>
      <w:r>
        <w:t>dioxins</w:t>
      </w:r>
    </w:p>
    <w:p w14:paraId="77B2BFF8" w14:textId="77777777" w:rsidR="00FD2FE9" w:rsidRDefault="00FD2FE9" w:rsidP="00152DF6">
      <w:pPr>
        <w:pStyle w:val="Bullet"/>
        <w:numPr>
          <w:ilvl w:val="0"/>
          <w:numId w:val="9"/>
        </w:numPr>
      </w:pPr>
      <w:r>
        <w:t>heavy metals</w:t>
      </w:r>
    </w:p>
    <w:p w14:paraId="1F7B934B" w14:textId="77777777" w:rsidR="00385A2B" w:rsidRDefault="00FD2FE9" w:rsidP="00152DF6">
      <w:pPr>
        <w:pStyle w:val="Bullet"/>
        <w:numPr>
          <w:ilvl w:val="0"/>
          <w:numId w:val="9"/>
        </w:numPr>
      </w:pPr>
      <w:r>
        <w:t>volatile organic compounds (VOCs)</w:t>
      </w:r>
      <w:r w:rsidR="00385A2B">
        <w:t>.</w:t>
      </w:r>
    </w:p>
    <w:p w14:paraId="62CE6402" w14:textId="77777777" w:rsidR="00385A2B" w:rsidRDefault="00385A2B" w:rsidP="00385A2B">
      <w:pPr>
        <w:pStyle w:val="BodyText"/>
      </w:pPr>
    </w:p>
    <w:p w14:paraId="22DF90AC" w14:textId="77777777" w:rsidR="00FE449A" w:rsidRDefault="00385A2B" w:rsidP="00385A2B">
      <w:pPr>
        <w:pStyle w:val="BodyText"/>
      </w:pPr>
      <w:r>
        <w:t xml:space="preserve">Historically refuse at landfills was set alight to reduce waste volume and hence increase the life and capacity of the landfill. </w:t>
      </w:r>
      <w:r w:rsidR="00FE449A">
        <w:t xml:space="preserve">This practice has ceased since the introduction </w:t>
      </w:r>
      <w:r w:rsidR="00FD2FE9">
        <w:t xml:space="preserve">of Regulation 6. The most recent census at </w:t>
      </w:r>
      <w:r w:rsidR="00B072E7">
        <w:t xml:space="preserve">the </w:t>
      </w:r>
      <w:r w:rsidR="00FD2FE9">
        <w:t>time of writing</w:t>
      </w:r>
      <w:r w:rsidR="009C233A">
        <w:t xml:space="preserve"> </w:t>
      </w:r>
      <w:r w:rsidR="00FE449A">
        <w:t>reported no landfill fire</w:t>
      </w:r>
      <w:r w:rsidR="00EF4BDD">
        <w:t>s in New Zealand</w:t>
      </w:r>
      <w:r w:rsidR="0087754E">
        <w:t xml:space="preserve"> for 2006/07</w:t>
      </w:r>
      <w:r w:rsidR="0010779B">
        <w:t xml:space="preserve"> (MfE, 2007b)</w:t>
      </w:r>
      <w:r w:rsidR="0087754E">
        <w:t>.</w:t>
      </w:r>
      <w:r w:rsidR="00FE449A">
        <w:t xml:space="preserve"> </w:t>
      </w:r>
    </w:p>
    <w:p w14:paraId="75BDD832" w14:textId="77777777" w:rsidR="00FE449A" w:rsidRDefault="00FE449A" w:rsidP="00385A2B">
      <w:pPr>
        <w:pStyle w:val="BodyText"/>
      </w:pPr>
    </w:p>
    <w:p w14:paraId="0F1BDB78" w14:textId="77777777" w:rsidR="00BA7317" w:rsidRDefault="00385A2B" w:rsidP="00385A2B">
      <w:pPr>
        <w:pStyle w:val="BodyText"/>
      </w:pPr>
      <w:r>
        <w:t>Accidental fires have been caused by sparks from the exhaust systems of site plant or vehicles, smoking on the landfill by staff or users, and uncontrolled dumping of waste materials such as ashes or hazardous substances that can ignite when mixed.</w:t>
      </w:r>
      <w:r w:rsidR="00992798">
        <w:t xml:space="preserve"> </w:t>
      </w:r>
      <w:r w:rsidR="00FD2FE9">
        <w:t xml:space="preserve">The risk of accidental fires around landfills can, therefore, be minimised through good practice landfill management. </w:t>
      </w:r>
      <w:r w:rsidR="00992798">
        <w:t xml:space="preserve">Good </w:t>
      </w:r>
      <w:r w:rsidR="00FD2FE9">
        <w:t xml:space="preserve">practice </w:t>
      </w:r>
      <w:r w:rsidR="00992798">
        <w:t>management procedures should be specified in resource consent conditions</w:t>
      </w:r>
      <w:r w:rsidR="00FD2FE9">
        <w:t>. Further</w:t>
      </w:r>
      <w:r w:rsidR="00992798">
        <w:t xml:space="preserve"> guidance is available in the </w:t>
      </w:r>
      <w:r w:rsidR="00992798" w:rsidRPr="0010779B">
        <w:t>Guide to Landfill Consent Conditions</w:t>
      </w:r>
      <w:r w:rsidR="00992798">
        <w:t xml:space="preserve"> (</w:t>
      </w:r>
      <w:r w:rsidR="00EF4BDD">
        <w:t>MfE</w:t>
      </w:r>
      <w:r w:rsidR="00992798">
        <w:t>, 2001</w:t>
      </w:r>
      <w:r w:rsidR="00992798" w:rsidRPr="0010779B">
        <w:t>b</w:t>
      </w:r>
      <w:r w:rsidR="00992798">
        <w:t>).</w:t>
      </w:r>
    </w:p>
    <w:p w14:paraId="3ABF5440" w14:textId="77777777" w:rsidR="006201AD" w:rsidRDefault="00CC6F70" w:rsidP="006201AD">
      <w:pPr>
        <w:pStyle w:val="Heading4"/>
      </w:pPr>
      <w:r>
        <w:t>2.2.2</w:t>
      </w:r>
      <w:r>
        <w:tab/>
        <w:t>Burning of tyres</w:t>
      </w:r>
    </w:p>
    <w:p w14:paraId="590FE3EE" w14:textId="77777777" w:rsidR="000D41A3" w:rsidRDefault="000D41A3" w:rsidP="000D41A3">
      <w:pPr>
        <w:pStyle w:val="BodyText"/>
      </w:pPr>
      <w:r>
        <w:t>Regulation 7 specifies:</w:t>
      </w:r>
    </w:p>
    <w:p w14:paraId="51A802A4" w14:textId="77777777" w:rsidR="000D41A3" w:rsidRDefault="000D41A3" w:rsidP="000D41A3">
      <w:pPr>
        <w:pStyle w:val="BodyText"/>
      </w:pPr>
    </w:p>
    <w:p w14:paraId="357A3DF9" w14:textId="77777777" w:rsidR="000D41A3" w:rsidRPr="00BA7317" w:rsidRDefault="00D90F49" w:rsidP="00EF4BDD">
      <w:pPr>
        <w:pStyle w:val="BodyText"/>
        <w:ind w:left="1134" w:hanging="567"/>
        <w:rPr>
          <w:b/>
          <w:i/>
          <w:sz w:val="20"/>
        </w:rPr>
      </w:pPr>
      <w:r>
        <w:rPr>
          <w:b/>
          <w:i/>
          <w:sz w:val="20"/>
        </w:rPr>
        <w:t>7</w:t>
      </w:r>
      <w:r w:rsidR="000D41A3" w:rsidRPr="00BA7317">
        <w:rPr>
          <w:b/>
          <w:i/>
          <w:sz w:val="20"/>
        </w:rPr>
        <w:tab/>
      </w:r>
      <w:r w:rsidR="000D41A3">
        <w:rPr>
          <w:b/>
          <w:i/>
          <w:sz w:val="20"/>
        </w:rPr>
        <w:t>Burning of tyres</w:t>
      </w:r>
    </w:p>
    <w:p w14:paraId="2DA83E9E" w14:textId="77777777" w:rsidR="000D41A3" w:rsidRPr="00BA7317" w:rsidRDefault="000D41A3" w:rsidP="00EF4BDD">
      <w:pPr>
        <w:pStyle w:val="BodyText"/>
        <w:ind w:left="1134" w:hanging="567"/>
        <w:rPr>
          <w:i/>
          <w:sz w:val="20"/>
        </w:rPr>
      </w:pPr>
      <w:r w:rsidRPr="00BA7317">
        <w:rPr>
          <w:i/>
          <w:sz w:val="20"/>
        </w:rPr>
        <w:t>(1)</w:t>
      </w:r>
      <w:r w:rsidRPr="00BA7317">
        <w:rPr>
          <w:i/>
          <w:sz w:val="20"/>
        </w:rPr>
        <w:tab/>
        <w:t xml:space="preserve">The </w:t>
      </w:r>
      <w:r>
        <w:rPr>
          <w:i/>
          <w:sz w:val="20"/>
        </w:rPr>
        <w:t>burning of tyres is</w:t>
      </w:r>
      <w:r w:rsidRPr="00BA7317">
        <w:rPr>
          <w:i/>
          <w:sz w:val="20"/>
        </w:rPr>
        <w:t xml:space="preserve"> prohibited.</w:t>
      </w:r>
    </w:p>
    <w:p w14:paraId="2A76FFFA" w14:textId="77777777" w:rsidR="000D41A3" w:rsidRPr="00BA7317" w:rsidRDefault="000D41A3" w:rsidP="00EF4BDD">
      <w:pPr>
        <w:pStyle w:val="BodyText"/>
        <w:ind w:left="1134" w:hanging="567"/>
        <w:rPr>
          <w:i/>
          <w:sz w:val="20"/>
        </w:rPr>
      </w:pPr>
      <w:r w:rsidRPr="00BA7317">
        <w:rPr>
          <w:i/>
          <w:sz w:val="20"/>
        </w:rPr>
        <w:t>(2)</w:t>
      </w:r>
      <w:r w:rsidRPr="00BA7317">
        <w:rPr>
          <w:i/>
          <w:sz w:val="20"/>
        </w:rPr>
        <w:tab/>
        <w:t>Subclause (1) does not apply if</w:t>
      </w:r>
      <w:r w:rsidR="008755EF">
        <w:rPr>
          <w:i/>
          <w:sz w:val="20"/>
        </w:rPr>
        <w:t xml:space="preserve"> the tyres are burnt at industrial and trade premises that have</w:t>
      </w:r>
      <w:r w:rsidRPr="00BA7317">
        <w:rPr>
          <w:i/>
          <w:sz w:val="20"/>
        </w:rPr>
        <w:t xml:space="preserve"> – </w:t>
      </w:r>
    </w:p>
    <w:p w14:paraId="3246E5B9" w14:textId="77777777" w:rsidR="000D41A3" w:rsidRPr="00BA7317" w:rsidRDefault="000D41A3" w:rsidP="00EF4BDD">
      <w:pPr>
        <w:pStyle w:val="BodyText"/>
        <w:ind w:left="1701" w:hanging="567"/>
        <w:rPr>
          <w:i/>
          <w:sz w:val="20"/>
        </w:rPr>
      </w:pPr>
      <w:r w:rsidRPr="00BA7317">
        <w:rPr>
          <w:i/>
          <w:sz w:val="20"/>
        </w:rPr>
        <w:t>(a)</w:t>
      </w:r>
      <w:r w:rsidRPr="00BA7317">
        <w:rPr>
          <w:i/>
          <w:sz w:val="20"/>
        </w:rPr>
        <w:tab/>
      </w:r>
      <w:r w:rsidR="008755EF">
        <w:rPr>
          <w:i/>
          <w:sz w:val="20"/>
        </w:rPr>
        <w:t>a resource consent for the discharge produced; and</w:t>
      </w:r>
    </w:p>
    <w:p w14:paraId="64E7C41E" w14:textId="77777777" w:rsidR="006201AD" w:rsidRDefault="000D41A3" w:rsidP="00EF4BDD">
      <w:pPr>
        <w:pStyle w:val="BodyText"/>
        <w:ind w:left="1701" w:hanging="567"/>
      </w:pPr>
      <w:r w:rsidRPr="00BA7317">
        <w:rPr>
          <w:i/>
          <w:sz w:val="20"/>
        </w:rPr>
        <w:t>(b)</w:t>
      </w:r>
      <w:r w:rsidRPr="00BA7317">
        <w:rPr>
          <w:i/>
          <w:sz w:val="20"/>
        </w:rPr>
        <w:tab/>
      </w:r>
      <w:r w:rsidR="008755EF">
        <w:rPr>
          <w:i/>
          <w:sz w:val="20"/>
        </w:rPr>
        <w:t>emission control equipment that is designed and operated to minimise emissions of dioxins and other toxics from the process.</w:t>
      </w:r>
    </w:p>
    <w:p w14:paraId="2A5BB1E7" w14:textId="77777777" w:rsidR="006201AD" w:rsidRDefault="006201AD" w:rsidP="00317933">
      <w:pPr>
        <w:pStyle w:val="Heading5"/>
        <w:keepNext/>
      </w:pPr>
      <w:r>
        <w:t>Implementation</w:t>
      </w:r>
    </w:p>
    <w:p w14:paraId="1AC4C030" w14:textId="77777777" w:rsidR="00CC6F70" w:rsidRDefault="00476AA1" w:rsidP="00317933">
      <w:pPr>
        <w:pStyle w:val="BodyText"/>
        <w:keepNext/>
      </w:pPr>
      <w:r>
        <w:t xml:space="preserve">This </w:t>
      </w:r>
      <w:r w:rsidR="00D752E1">
        <w:t xml:space="preserve">Regulation </w:t>
      </w:r>
      <w:r>
        <w:t xml:space="preserve">prohibits the burning of tyres </w:t>
      </w:r>
      <w:r w:rsidR="00CD484D">
        <w:t xml:space="preserve">and </w:t>
      </w:r>
      <w:r>
        <w:t xml:space="preserve">has </w:t>
      </w:r>
      <w:r w:rsidR="00CD484D">
        <w:t xml:space="preserve">applied </w:t>
      </w:r>
      <w:r w:rsidR="00B11429">
        <w:t>since</w:t>
      </w:r>
      <w:r w:rsidR="008D5A99">
        <w:t xml:space="preserve"> 8 October 2004.</w:t>
      </w:r>
      <w:r w:rsidR="00CD484D">
        <w:t xml:space="preserve"> The </w:t>
      </w:r>
      <w:r w:rsidR="00B03CA8">
        <w:t>burning</w:t>
      </w:r>
      <w:r w:rsidR="00CD484D">
        <w:t xml:space="preserve"> of tyres as a fuel source under appropriate conditions, such as in a cement kiln with appropriate </w:t>
      </w:r>
      <w:r w:rsidR="00B03CA8">
        <w:t>emissions control</w:t>
      </w:r>
      <w:r w:rsidR="00CD484D">
        <w:t xml:space="preserve"> equipment, is not prevented by this </w:t>
      </w:r>
      <w:r w:rsidR="00D752E1">
        <w:t>Regulation</w:t>
      </w:r>
      <w:r w:rsidR="008D5A99">
        <w:t>.</w:t>
      </w:r>
      <w:r w:rsidR="00CD484D">
        <w:t xml:space="preserve"> </w:t>
      </w:r>
      <w:r w:rsidR="00CC6F70">
        <w:t xml:space="preserve">For the avoidance of doubt, tyre burn-outs are not intended to be captured by </w:t>
      </w:r>
      <w:r w:rsidR="00EF4BDD">
        <w:t xml:space="preserve">Regulation </w:t>
      </w:r>
      <w:r w:rsidR="00CC6F70">
        <w:t>7.</w:t>
      </w:r>
    </w:p>
    <w:p w14:paraId="090DC00A" w14:textId="77777777" w:rsidR="00CD484D" w:rsidRDefault="00CD484D" w:rsidP="00CD484D">
      <w:pPr>
        <w:pStyle w:val="BodyText"/>
      </w:pPr>
    </w:p>
    <w:p w14:paraId="6F8D07DC" w14:textId="77777777" w:rsidR="00B03CA8" w:rsidRDefault="00B11429" w:rsidP="00B03CA8">
      <w:pPr>
        <w:pStyle w:val="BodyText"/>
      </w:pPr>
      <w:r>
        <w:t>Burning of tyres in the open is low temperature</w:t>
      </w:r>
      <w:r w:rsidR="00B03CA8">
        <w:t xml:space="preserve"> combustion</w:t>
      </w:r>
      <w:r>
        <w:t>. The resulting incomplete combustion produces</w:t>
      </w:r>
      <w:r w:rsidR="00B03CA8">
        <w:t xml:space="preserve"> a variety of pollutants that have the potential to affect the health o</w:t>
      </w:r>
      <w:r w:rsidR="008D5A99">
        <w:t xml:space="preserve">f people exposed to the smoke. </w:t>
      </w:r>
      <w:r w:rsidR="00B03CA8">
        <w:t>The main pollutants of concern are:</w:t>
      </w:r>
    </w:p>
    <w:p w14:paraId="10738706" w14:textId="77777777" w:rsidR="00B11429" w:rsidRDefault="00B11429" w:rsidP="00152DF6">
      <w:pPr>
        <w:pStyle w:val="Bullet"/>
        <w:numPr>
          <w:ilvl w:val="0"/>
          <w:numId w:val="9"/>
        </w:numPr>
      </w:pPr>
      <w:r>
        <w:t>smoke and odour</w:t>
      </w:r>
    </w:p>
    <w:p w14:paraId="3B0FADA6" w14:textId="77777777" w:rsidR="00B11429" w:rsidRDefault="00B11429" w:rsidP="00152DF6">
      <w:pPr>
        <w:pStyle w:val="Bullet"/>
        <w:numPr>
          <w:ilvl w:val="0"/>
          <w:numId w:val="9"/>
        </w:numPr>
      </w:pPr>
      <w:r>
        <w:t>oxides of nitrogen</w:t>
      </w:r>
    </w:p>
    <w:p w14:paraId="6385832F" w14:textId="77777777" w:rsidR="00B11429" w:rsidRDefault="00B11429" w:rsidP="00152DF6">
      <w:pPr>
        <w:pStyle w:val="Bullet"/>
        <w:numPr>
          <w:ilvl w:val="0"/>
          <w:numId w:val="9"/>
        </w:numPr>
      </w:pPr>
      <w:r>
        <w:t>carbon monoxide</w:t>
      </w:r>
    </w:p>
    <w:p w14:paraId="14067FAA" w14:textId="77777777" w:rsidR="00B11429" w:rsidRDefault="00B11429" w:rsidP="00152DF6">
      <w:pPr>
        <w:pStyle w:val="Bullet"/>
        <w:numPr>
          <w:ilvl w:val="0"/>
          <w:numId w:val="9"/>
        </w:numPr>
      </w:pPr>
      <w:r>
        <w:t xml:space="preserve">sulphur dioxide </w:t>
      </w:r>
    </w:p>
    <w:p w14:paraId="585C4B36" w14:textId="77777777" w:rsidR="00B11429" w:rsidRDefault="00B11429" w:rsidP="00152DF6">
      <w:pPr>
        <w:pStyle w:val="Bullet"/>
        <w:numPr>
          <w:ilvl w:val="0"/>
          <w:numId w:val="9"/>
        </w:numPr>
      </w:pPr>
      <w:r>
        <w:t>particulate matter (PM</w:t>
      </w:r>
      <w:r w:rsidRPr="00FD2FE9">
        <w:rPr>
          <w:vertAlign w:val="subscript"/>
        </w:rPr>
        <w:t>10</w:t>
      </w:r>
      <w:r>
        <w:t xml:space="preserve"> and PM</w:t>
      </w:r>
      <w:r w:rsidRPr="00FD2FE9">
        <w:rPr>
          <w:vertAlign w:val="subscript"/>
        </w:rPr>
        <w:t>2.5</w:t>
      </w:r>
      <w:r>
        <w:t>)</w:t>
      </w:r>
    </w:p>
    <w:p w14:paraId="67BE4822" w14:textId="77777777" w:rsidR="00B11429" w:rsidRDefault="00B11429" w:rsidP="00152DF6">
      <w:pPr>
        <w:pStyle w:val="Bullet"/>
        <w:numPr>
          <w:ilvl w:val="0"/>
          <w:numId w:val="9"/>
        </w:numPr>
      </w:pPr>
      <w:r>
        <w:t>dioxins</w:t>
      </w:r>
    </w:p>
    <w:p w14:paraId="09E22150" w14:textId="77777777" w:rsidR="00B11429" w:rsidRDefault="00B11429" w:rsidP="00152DF6">
      <w:pPr>
        <w:pStyle w:val="Bullet"/>
        <w:numPr>
          <w:ilvl w:val="0"/>
          <w:numId w:val="9"/>
        </w:numPr>
      </w:pPr>
      <w:r>
        <w:t>heavy metals</w:t>
      </w:r>
    </w:p>
    <w:p w14:paraId="4324AF30" w14:textId="77777777" w:rsidR="00B11429" w:rsidRDefault="00B11429" w:rsidP="00152DF6">
      <w:pPr>
        <w:pStyle w:val="Bullet"/>
        <w:numPr>
          <w:ilvl w:val="0"/>
          <w:numId w:val="9"/>
        </w:numPr>
      </w:pPr>
      <w:r>
        <w:t>volatile organic compounds (VOCs).</w:t>
      </w:r>
    </w:p>
    <w:p w14:paraId="716195F5" w14:textId="77777777" w:rsidR="00B11429" w:rsidRDefault="00B11429" w:rsidP="00CD484D">
      <w:pPr>
        <w:pStyle w:val="BodyText"/>
      </w:pPr>
    </w:p>
    <w:p w14:paraId="47C2C9D2" w14:textId="77777777" w:rsidR="00B11429" w:rsidRDefault="00CD484D" w:rsidP="00CD484D">
      <w:pPr>
        <w:pStyle w:val="BodyText"/>
      </w:pPr>
      <w:r>
        <w:t xml:space="preserve">Councils can still </w:t>
      </w:r>
      <w:r w:rsidR="00E00424">
        <w:t xml:space="preserve">consider whether to grant consents for discharges into air from tyre burning at an industrial and trade premise provided it has appropriately designed </w:t>
      </w:r>
      <w:r w:rsidR="00D95FDC">
        <w:t>process and emissions control equipment.</w:t>
      </w:r>
      <w:r w:rsidR="00E00424">
        <w:t xml:space="preserve"> </w:t>
      </w:r>
      <w:r w:rsidR="00C22865">
        <w:t>Regulation 5(2)</w:t>
      </w:r>
      <w:r w:rsidR="00546F02">
        <w:t xml:space="preserve"> state</w:t>
      </w:r>
      <w:r w:rsidR="006E6C55">
        <w:t>s</w:t>
      </w:r>
      <w:r w:rsidR="00546F02">
        <w:t xml:space="preserve"> that </w:t>
      </w:r>
      <w:r w:rsidR="003C3C5F">
        <w:t>this activity would require a discretionary consent</w:t>
      </w:r>
      <w:r w:rsidR="003C3C5F">
        <w:rPr>
          <w:rStyle w:val="FootnoteReference"/>
        </w:rPr>
        <w:footnoteReference w:id="5"/>
      </w:r>
      <w:r w:rsidR="00B11429">
        <w:t xml:space="preserve">. </w:t>
      </w:r>
    </w:p>
    <w:p w14:paraId="16C553D6" w14:textId="77777777" w:rsidR="00B11429" w:rsidRDefault="00B11429" w:rsidP="00CD484D">
      <w:pPr>
        <w:pStyle w:val="BodyText"/>
      </w:pPr>
    </w:p>
    <w:p w14:paraId="2B2DE45A" w14:textId="77777777" w:rsidR="00CD484D" w:rsidRDefault="00C22865" w:rsidP="00CD484D">
      <w:pPr>
        <w:pStyle w:val="BodyText"/>
      </w:pPr>
      <w:r>
        <w:t xml:space="preserve">Regulation 28 also allows for a regional plan that has a more stringent activity status than the </w:t>
      </w:r>
      <w:r w:rsidR="00D752E1">
        <w:t xml:space="preserve">Regulations </w:t>
      </w:r>
      <w:r>
        <w:t>(ie, non-complying or prohibited) to prevail.</w:t>
      </w:r>
      <w:r w:rsidR="00CD484D">
        <w:t xml:space="preserve"> </w:t>
      </w:r>
    </w:p>
    <w:p w14:paraId="1A9E1F99" w14:textId="77777777" w:rsidR="00B03CA8" w:rsidRDefault="00B03CA8" w:rsidP="00CD484D">
      <w:pPr>
        <w:pStyle w:val="BodyText"/>
      </w:pPr>
    </w:p>
    <w:p w14:paraId="3F2EEE53" w14:textId="77777777" w:rsidR="008C485A" w:rsidRDefault="008C485A">
      <w:pPr>
        <w:jc w:val="left"/>
        <w:rPr>
          <w:rFonts w:ascii="Arial" w:hAnsi="Arial"/>
          <w:b/>
          <w:sz w:val="24"/>
        </w:rPr>
      </w:pPr>
      <w:r>
        <w:br w:type="page"/>
      </w:r>
    </w:p>
    <w:p w14:paraId="0679B368" w14:textId="77777777" w:rsidR="006201AD" w:rsidRDefault="006201AD" w:rsidP="006201AD">
      <w:pPr>
        <w:pStyle w:val="Heading4"/>
      </w:pPr>
      <w:r>
        <w:t>2.2.3</w:t>
      </w:r>
      <w:r>
        <w:tab/>
        <w:t>Bitumen burning for road maintenance</w:t>
      </w:r>
    </w:p>
    <w:p w14:paraId="05E45AAD" w14:textId="77777777" w:rsidR="00D90F49" w:rsidRDefault="00D90F49" w:rsidP="00D90F49">
      <w:pPr>
        <w:pStyle w:val="BodyText"/>
      </w:pPr>
      <w:r>
        <w:t>Regulation 8 specifies:</w:t>
      </w:r>
    </w:p>
    <w:p w14:paraId="247753AD" w14:textId="77777777" w:rsidR="00D90F49" w:rsidRDefault="00D90F49" w:rsidP="00D90F49">
      <w:pPr>
        <w:pStyle w:val="BodyText"/>
      </w:pPr>
    </w:p>
    <w:p w14:paraId="10D1C980" w14:textId="77777777" w:rsidR="00D90F49" w:rsidRPr="00BA7317" w:rsidRDefault="00D90F49" w:rsidP="00EF4BDD">
      <w:pPr>
        <w:pStyle w:val="BodyText"/>
        <w:ind w:left="1134" w:hanging="567"/>
        <w:rPr>
          <w:b/>
          <w:i/>
          <w:sz w:val="20"/>
        </w:rPr>
      </w:pPr>
      <w:r>
        <w:rPr>
          <w:b/>
          <w:i/>
          <w:sz w:val="20"/>
        </w:rPr>
        <w:t>8</w:t>
      </w:r>
      <w:r w:rsidRPr="00BA7317">
        <w:rPr>
          <w:b/>
          <w:i/>
          <w:sz w:val="20"/>
        </w:rPr>
        <w:tab/>
      </w:r>
      <w:r>
        <w:rPr>
          <w:b/>
          <w:i/>
          <w:sz w:val="20"/>
        </w:rPr>
        <w:t>Burning of</w:t>
      </w:r>
      <w:r w:rsidR="00B02320">
        <w:rPr>
          <w:b/>
          <w:i/>
          <w:sz w:val="20"/>
        </w:rPr>
        <w:t xml:space="preserve"> bitumen</w:t>
      </w:r>
    </w:p>
    <w:p w14:paraId="5B2BE913" w14:textId="77777777" w:rsidR="00D90F49" w:rsidRPr="00BA7317" w:rsidRDefault="00D90F49" w:rsidP="00EF4BDD">
      <w:pPr>
        <w:pStyle w:val="BodyText"/>
        <w:ind w:left="1134" w:hanging="567"/>
        <w:rPr>
          <w:i/>
          <w:sz w:val="20"/>
        </w:rPr>
      </w:pPr>
      <w:r w:rsidRPr="00BA7317">
        <w:rPr>
          <w:i/>
          <w:sz w:val="20"/>
        </w:rPr>
        <w:t>(1)</w:t>
      </w:r>
      <w:r w:rsidRPr="00BA7317">
        <w:rPr>
          <w:i/>
          <w:sz w:val="20"/>
        </w:rPr>
        <w:tab/>
        <w:t xml:space="preserve">The </w:t>
      </w:r>
      <w:r>
        <w:rPr>
          <w:i/>
          <w:sz w:val="20"/>
        </w:rPr>
        <w:t>burning of bitumen on a road is prohibited</w:t>
      </w:r>
      <w:r w:rsidRPr="00BA7317">
        <w:rPr>
          <w:i/>
          <w:sz w:val="20"/>
        </w:rPr>
        <w:t>.</w:t>
      </w:r>
    </w:p>
    <w:p w14:paraId="3E9952DF" w14:textId="77777777" w:rsidR="006201AD" w:rsidRDefault="006201AD" w:rsidP="006201AD">
      <w:pPr>
        <w:pStyle w:val="Heading5"/>
      </w:pPr>
      <w:r>
        <w:t>Implementation</w:t>
      </w:r>
    </w:p>
    <w:p w14:paraId="1B0D0E1B" w14:textId="77777777" w:rsidR="00B02320" w:rsidRDefault="00D90F49" w:rsidP="006201AD">
      <w:pPr>
        <w:pStyle w:val="BodyText"/>
      </w:pPr>
      <w:r>
        <w:t xml:space="preserve">This </w:t>
      </w:r>
      <w:r w:rsidR="00D752E1">
        <w:t xml:space="preserve">Regulation </w:t>
      </w:r>
      <w:r>
        <w:t>prohibits the burning of bitumen on a road a</w:t>
      </w:r>
      <w:r w:rsidR="00B02320">
        <w:t xml:space="preserve">nd </w:t>
      </w:r>
      <w:r w:rsidR="00476AA1">
        <w:t xml:space="preserve">has </w:t>
      </w:r>
      <w:r w:rsidR="00B02320">
        <w:t>applied from 8 October 2004.</w:t>
      </w:r>
      <w:r>
        <w:t xml:space="preserve"> </w:t>
      </w:r>
      <w:r w:rsidR="00B02320">
        <w:t xml:space="preserve"> Consents cannot be issue</w:t>
      </w:r>
      <w:r w:rsidR="008D5A99">
        <w:t>d for road burning of bitumen.</w:t>
      </w:r>
    </w:p>
    <w:p w14:paraId="5EE2D429" w14:textId="77777777" w:rsidR="00B02320" w:rsidRDefault="00B02320" w:rsidP="006201AD">
      <w:pPr>
        <w:pStyle w:val="BodyText"/>
      </w:pPr>
    </w:p>
    <w:p w14:paraId="3EF20522" w14:textId="77777777" w:rsidR="006201AD" w:rsidRPr="006201AD" w:rsidRDefault="00D90F49" w:rsidP="006201AD">
      <w:pPr>
        <w:pStyle w:val="BodyText"/>
      </w:pPr>
      <w:r>
        <w:t>This ban overrides any ‘exemptions’</w:t>
      </w:r>
      <w:r w:rsidR="00B02320">
        <w:t xml:space="preserve"> that may have been agreed between road controlling aut</w:t>
      </w:r>
      <w:r w:rsidR="008D5A99">
        <w:t xml:space="preserve">horities and local government. </w:t>
      </w:r>
      <w:r w:rsidR="00B02320">
        <w:t>Road controlling authorities now remove bitumen by other methods such as high-pressure water</w:t>
      </w:r>
      <w:r w:rsidR="00D3498E">
        <w:t xml:space="preserve"> </w:t>
      </w:r>
      <w:r w:rsidR="00B02320">
        <w:t>blasting or mechanical scraping. When removing bitumen</w:t>
      </w:r>
      <w:r w:rsidR="004E536F">
        <w:t xml:space="preserve"> care should be taken to collect and dispose of any debris and wastewater</w:t>
      </w:r>
      <w:r w:rsidR="00B11429">
        <w:t xml:space="preserve"> appropriately</w:t>
      </w:r>
      <w:r w:rsidR="004E536F">
        <w:t>.</w:t>
      </w:r>
      <w:r>
        <w:t xml:space="preserve"> </w:t>
      </w:r>
    </w:p>
    <w:p w14:paraId="65BBB3D4" w14:textId="77777777" w:rsidR="00926882" w:rsidRDefault="006201AD" w:rsidP="006201AD">
      <w:pPr>
        <w:pStyle w:val="Heading4"/>
      </w:pPr>
      <w:r>
        <w:t>2.2.4</w:t>
      </w:r>
      <w:r>
        <w:tab/>
        <w:t>Burning of coated wire in the open</w:t>
      </w:r>
    </w:p>
    <w:p w14:paraId="6CEEBAFB" w14:textId="77777777" w:rsidR="00466847" w:rsidRDefault="00466847" w:rsidP="00466847">
      <w:pPr>
        <w:pStyle w:val="BodyText"/>
      </w:pPr>
      <w:r>
        <w:t>Regulation 9 specifies:</w:t>
      </w:r>
    </w:p>
    <w:p w14:paraId="1D882FC3" w14:textId="77777777" w:rsidR="00466847" w:rsidRDefault="00466847" w:rsidP="00466847">
      <w:pPr>
        <w:pStyle w:val="BodyText"/>
      </w:pPr>
    </w:p>
    <w:p w14:paraId="0C9D19FE" w14:textId="77777777" w:rsidR="00466847" w:rsidRPr="00BA7317" w:rsidRDefault="00466847" w:rsidP="00C22865">
      <w:pPr>
        <w:pStyle w:val="BodyText"/>
        <w:ind w:left="1134" w:hanging="567"/>
        <w:rPr>
          <w:b/>
          <w:i/>
          <w:sz w:val="20"/>
        </w:rPr>
      </w:pPr>
      <w:r>
        <w:rPr>
          <w:b/>
          <w:i/>
          <w:sz w:val="20"/>
        </w:rPr>
        <w:t>9</w:t>
      </w:r>
      <w:r w:rsidRPr="00BA7317">
        <w:rPr>
          <w:b/>
          <w:i/>
          <w:sz w:val="20"/>
        </w:rPr>
        <w:tab/>
      </w:r>
      <w:r>
        <w:rPr>
          <w:b/>
          <w:i/>
          <w:sz w:val="20"/>
        </w:rPr>
        <w:t>Burning of coated wire</w:t>
      </w:r>
    </w:p>
    <w:p w14:paraId="01FAEA10" w14:textId="77777777" w:rsidR="00466847" w:rsidRPr="00BA7317" w:rsidRDefault="00466847" w:rsidP="00C22865">
      <w:pPr>
        <w:pStyle w:val="BodyText"/>
        <w:ind w:left="1134" w:hanging="567"/>
        <w:rPr>
          <w:i/>
          <w:sz w:val="20"/>
        </w:rPr>
      </w:pPr>
      <w:r w:rsidRPr="00BA7317">
        <w:rPr>
          <w:i/>
          <w:sz w:val="20"/>
        </w:rPr>
        <w:t>(1)</w:t>
      </w:r>
      <w:r w:rsidRPr="00BA7317">
        <w:rPr>
          <w:i/>
          <w:sz w:val="20"/>
        </w:rPr>
        <w:tab/>
        <w:t xml:space="preserve">The </w:t>
      </w:r>
      <w:r>
        <w:rPr>
          <w:i/>
          <w:sz w:val="20"/>
        </w:rPr>
        <w:t>burning of wire coated with any material is</w:t>
      </w:r>
      <w:r w:rsidRPr="00BA7317">
        <w:rPr>
          <w:i/>
          <w:sz w:val="20"/>
        </w:rPr>
        <w:t xml:space="preserve"> prohibited.</w:t>
      </w:r>
    </w:p>
    <w:p w14:paraId="11F2118D" w14:textId="77777777" w:rsidR="00466847" w:rsidRPr="00BA7317" w:rsidRDefault="00466847" w:rsidP="00C22865">
      <w:pPr>
        <w:pStyle w:val="BodyText"/>
        <w:ind w:left="1134" w:hanging="567"/>
        <w:rPr>
          <w:i/>
          <w:sz w:val="20"/>
        </w:rPr>
      </w:pPr>
      <w:r w:rsidRPr="00BA7317">
        <w:rPr>
          <w:i/>
          <w:sz w:val="20"/>
        </w:rPr>
        <w:t>(2)</w:t>
      </w:r>
      <w:r w:rsidRPr="00BA7317">
        <w:rPr>
          <w:i/>
          <w:sz w:val="20"/>
        </w:rPr>
        <w:tab/>
        <w:t>Subclause (1) does not apply if</w:t>
      </w:r>
      <w:r>
        <w:rPr>
          <w:i/>
          <w:sz w:val="20"/>
        </w:rPr>
        <w:t xml:space="preserve"> the wire is</w:t>
      </w:r>
      <w:r w:rsidRPr="00BA7317">
        <w:rPr>
          <w:i/>
          <w:sz w:val="20"/>
        </w:rPr>
        <w:t xml:space="preserve"> – </w:t>
      </w:r>
    </w:p>
    <w:p w14:paraId="0E98085F" w14:textId="77777777" w:rsidR="00466847" w:rsidRDefault="00466847" w:rsidP="00C22865">
      <w:pPr>
        <w:pStyle w:val="BodyText"/>
        <w:ind w:left="1701" w:hanging="567"/>
        <w:rPr>
          <w:i/>
          <w:sz w:val="20"/>
        </w:rPr>
      </w:pPr>
      <w:r w:rsidRPr="00BA7317">
        <w:rPr>
          <w:i/>
          <w:sz w:val="20"/>
        </w:rPr>
        <w:t>(a)</w:t>
      </w:r>
      <w:r w:rsidRPr="00BA7317">
        <w:rPr>
          <w:i/>
          <w:sz w:val="20"/>
        </w:rPr>
        <w:tab/>
      </w:r>
      <w:r>
        <w:rPr>
          <w:i/>
          <w:sz w:val="20"/>
        </w:rPr>
        <w:t xml:space="preserve">burnt at industrial and trade premises that have </w:t>
      </w:r>
      <w:r w:rsidRPr="00BA7317">
        <w:rPr>
          <w:i/>
          <w:sz w:val="20"/>
        </w:rPr>
        <w:t>–</w:t>
      </w:r>
    </w:p>
    <w:p w14:paraId="7985ED30" w14:textId="77777777" w:rsidR="00466847" w:rsidRDefault="00466847" w:rsidP="00C22865">
      <w:pPr>
        <w:pStyle w:val="BodyText"/>
        <w:ind w:left="2268" w:hanging="567"/>
        <w:rPr>
          <w:i/>
          <w:sz w:val="20"/>
        </w:rPr>
      </w:pPr>
      <w:r>
        <w:rPr>
          <w:i/>
          <w:sz w:val="20"/>
        </w:rPr>
        <w:t>(i)</w:t>
      </w:r>
      <w:r>
        <w:rPr>
          <w:i/>
          <w:sz w:val="20"/>
        </w:rPr>
        <w:tab/>
        <w:t>a resource consent for the discharge produced; and</w:t>
      </w:r>
    </w:p>
    <w:p w14:paraId="21E951FC" w14:textId="77777777" w:rsidR="00466847" w:rsidRDefault="00466847" w:rsidP="00C22865">
      <w:pPr>
        <w:pStyle w:val="BodyText"/>
        <w:ind w:left="2268" w:hanging="567"/>
        <w:rPr>
          <w:i/>
          <w:sz w:val="20"/>
        </w:rPr>
      </w:pPr>
      <w:r>
        <w:rPr>
          <w:i/>
          <w:sz w:val="20"/>
        </w:rPr>
        <w:t>(ii)</w:t>
      </w:r>
      <w:r>
        <w:rPr>
          <w:i/>
          <w:sz w:val="20"/>
        </w:rPr>
        <w:tab/>
        <w:t>emission control equipment that is designed and operated to minimise emissions of dioxins and other toxics from the process; or</w:t>
      </w:r>
    </w:p>
    <w:p w14:paraId="0EFAFAA7" w14:textId="77777777" w:rsidR="006201AD" w:rsidRDefault="00466847" w:rsidP="00C22865">
      <w:pPr>
        <w:pStyle w:val="Sub-list"/>
        <w:tabs>
          <w:tab w:val="clear" w:pos="397"/>
          <w:tab w:val="clear" w:pos="794"/>
          <w:tab w:val="left" w:pos="-851"/>
        </w:tabs>
        <w:spacing w:before="0"/>
        <w:ind w:left="1701" w:hanging="567"/>
        <w:rPr>
          <w:i/>
          <w:sz w:val="20"/>
        </w:rPr>
      </w:pPr>
      <w:r w:rsidRPr="00BA7317">
        <w:rPr>
          <w:i/>
          <w:sz w:val="20"/>
        </w:rPr>
        <w:t>(b)</w:t>
      </w:r>
      <w:r w:rsidRPr="00BA7317">
        <w:rPr>
          <w:i/>
          <w:sz w:val="20"/>
        </w:rPr>
        <w:tab/>
      </w:r>
      <w:r>
        <w:rPr>
          <w:i/>
          <w:sz w:val="20"/>
        </w:rPr>
        <w:t>part of a building that is burnt for the purpose of training firefighters.</w:t>
      </w:r>
    </w:p>
    <w:p w14:paraId="4D6EA4CB" w14:textId="77777777" w:rsidR="00466847" w:rsidRPr="00466847" w:rsidRDefault="00C22865" w:rsidP="00C22865">
      <w:pPr>
        <w:pStyle w:val="Sub-list"/>
        <w:tabs>
          <w:tab w:val="clear" w:pos="397"/>
          <w:tab w:val="clear" w:pos="794"/>
          <w:tab w:val="left" w:pos="2258"/>
        </w:tabs>
        <w:spacing w:before="0"/>
        <w:ind w:left="567" w:hanging="567"/>
        <w:rPr>
          <w:sz w:val="20"/>
        </w:rPr>
      </w:pPr>
      <w:r>
        <w:rPr>
          <w:sz w:val="20"/>
        </w:rPr>
        <w:tab/>
      </w:r>
    </w:p>
    <w:p w14:paraId="28B4EE91" w14:textId="77777777" w:rsidR="00466847" w:rsidRDefault="00466847" w:rsidP="00C22865">
      <w:pPr>
        <w:pStyle w:val="Sub-list"/>
        <w:tabs>
          <w:tab w:val="clear" w:pos="397"/>
        </w:tabs>
        <w:spacing w:before="0"/>
        <w:ind w:left="567" w:hanging="567"/>
      </w:pPr>
      <w:r>
        <w:t>The definition of a firefighter is given in Regulation 3 which states:</w:t>
      </w:r>
    </w:p>
    <w:p w14:paraId="4030FCF4" w14:textId="77777777" w:rsidR="00AE268F" w:rsidRDefault="00AE268F" w:rsidP="00C22865">
      <w:pPr>
        <w:pStyle w:val="Sub-list"/>
        <w:tabs>
          <w:tab w:val="clear" w:pos="397"/>
        </w:tabs>
        <w:spacing w:before="0"/>
      </w:pPr>
    </w:p>
    <w:p w14:paraId="3264F309" w14:textId="77777777" w:rsidR="00466847" w:rsidRPr="00AE268F" w:rsidRDefault="00466847" w:rsidP="00C22865">
      <w:pPr>
        <w:pStyle w:val="Sub-list"/>
        <w:tabs>
          <w:tab w:val="clear" w:pos="397"/>
        </w:tabs>
        <w:spacing w:before="0"/>
        <w:rPr>
          <w:sz w:val="20"/>
        </w:rPr>
      </w:pPr>
      <w:r w:rsidRPr="00AE268F">
        <w:rPr>
          <w:b/>
          <w:i/>
          <w:sz w:val="20"/>
        </w:rPr>
        <w:t>Firefighter</w:t>
      </w:r>
      <w:r w:rsidRPr="00AE268F">
        <w:rPr>
          <w:i/>
          <w:sz w:val="20"/>
        </w:rPr>
        <w:t xml:space="preserve"> means a member of a fire brigade to which the Fire Service Act 1975 applies, including a member of a defence fire brigade or an industrial fire brigade, within the meaning of that Act</w:t>
      </w:r>
      <w:r w:rsidRPr="00AE268F">
        <w:rPr>
          <w:sz w:val="20"/>
        </w:rPr>
        <w:t>.</w:t>
      </w:r>
    </w:p>
    <w:p w14:paraId="65CC644D" w14:textId="77777777" w:rsidR="006201AD" w:rsidRDefault="006201AD" w:rsidP="006201AD">
      <w:pPr>
        <w:pStyle w:val="Heading5"/>
      </w:pPr>
      <w:r>
        <w:t>Amendments</w:t>
      </w:r>
    </w:p>
    <w:p w14:paraId="6D30DB7A" w14:textId="77777777" w:rsidR="006201AD" w:rsidRDefault="00D45320" w:rsidP="00065BC2">
      <w:pPr>
        <w:pStyle w:val="Sub-list"/>
        <w:tabs>
          <w:tab w:val="clear" w:pos="397"/>
        </w:tabs>
        <w:ind w:left="0"/>
      </w:pPr>
      <w:r>
        <w:t>Regulation 9 was amended</w:t>
      </w:r>
      <w:r w:rsidR="00135F83">
        <w:t>,</w:t>
      </w:r>
      <w:r>
        <w:t xml:space="preserve"> and a definition of firefighter added</w:t>
      </w:r>
      <w:r w:rsidR="00135F83">
        <w:t>,</w:t>
      </w:r>
      <w:r>
        <w:t xml:space="preserve"> in November 2008 to permit the burning of coated wire in a building that is burnt for the purposes of training firefighters. </w:t>
      </w:r>
    </w:p>
    <w:p w14:paraId="0660BAAE" w14:textId="77777777" w:rsidR="006201AD" w:rsidRDefault="006201AD" w:rsidP="006201AD">
      <w:pPr>
        <w:pStyle w:val="Heading5"/>
      </w:pPr>
      <w:r>
        <w:t>Implementation</w:t>
      </w:r>
    </w:p>
    <w:p w14:paraId="47E6534B" w14:textId="77777777" w:rsidR="006201AD" w:rsidRDefault="00476AA1" w:rsidP="00065BC2">
      <w:pPr>
        <w:pStyle w:val="Sub-list"/>
        <w:tabs>
          <w:tab w:val="clear" w:pos="397"/>
        </w:tabs>
        <w:ind w:left="0"/>
      </w:pPr>
      <w:r>
        <w:t xml:space="preserve">This </w:t>
      </w:r>
      <w:r w:rsidR="00D752E1">
        <w:t xml:space="preserve">Regulation </w:t>
      </w:r>
      <w:r>
        <w:t xml:space="preserve">bans the burning of coated wire in the open air and has applied </w:t>
      </w:r>
      <w:r w:rsidR="00E2057F">
        <w:t>since</w:t>
      </w:r>
      <w:r>
        <w:t xml:space="preserve"> 8 October 2004.</w:t>
      </w:r>
    </w:p>
    <w:p w14:paraId="6A1632EB" w14:textId="77777777" w:rsidR="001F032C" w:rsidRDefault="001F032C" w:rsidP="00C22865">
      <w:pPr>
        <w:pStyle w:val="Sub-list"/>
        <w:tabs>
          <w:tab w:val="clear" w:pos="397"/>
        </w:tabs>
        <w:spacing w:before="0"/>
        <w:ind w:left="0"/>
      </w:pPr>
    </w:p>
    <w:p w14:paraId="70AC56EE" w14:textId="77777777" w:rsidR="00E2057F" w:rsidRDefault="00476AA1" w:rsidP="00476AA1">
      <w:pPr>
        <w:pStyle w:val="BodyText"/>
      </w:pPr>
      <w:r>
        <w:t xml:space="preserve">Councils can still consider whether to grant consents for discharges into air from burning of coated wire at an industrial and trade premise provided it has appropriately designed process and emissions control equipment. </w:t>
      </w:r>
      <w:r w:rsidR="00C22865">
        <w:t>Regulation 5(2)</w:t>
      </w:r>
      <w:r>
        <w:t xml:space="preserve"> state</w:t>
      </w:r>
      <w:r w:rsidR="006E6C55">
        <w:t>s</w:t>
      </w:r>
      <w:r>
        <w:t xml:space="preserve"> that this activity would require a discretionary consent</w:t>
      </w:r>
      <w:r w:rsidR="00E2057F">
        <w:t>.</w:t>
      </w:r>
    </w:p>
    <w:p w14:paraId="1E8FE871" w14:textId="77777777" w:rsidR="00E2057F" w:rsidRDefault="00E2057F" w:rsidP="00476AA1">
      <w:pPr>
        <w:pStyle w:val="BodyText"/>
      </w:pPr>
    </w:p>
    <w:p w14:paraId="11D4F3D2" w14:textId="77777777" w:rsidR="00476AA1" w:rsidRDefault="00C22865" w:rsidP="00476AA1">
      <w:pPr>
        <w:pStyle w:val="BodyText"/>
      </w:pPr>
      <w:r>
        <w:t xml:space="preserve">Regulation 28 also allows for a regional plan that has a more stringent activity status than the </w:t>
      </w:r>
      <w:r w:rsidR="00D752E1">
        <w:t xml:space="preserve">Regulations </w:t>
      </w:r>
      <w:r>
        <w:t>(ie, non-complying or prohibited) to prevail</w:t>
      </w:r>
      <w:r w:rsidR="008D5A99">
        <w:t>.</w:t>
      </w:r>
    </w:p>
    <w:p w14:paraId="319A7EAE" w14:textId="77777777" w:rsidR="008C485A" w:rsidRDefault="008C485A">
      <w:pPr>
        <w:jc w:val="left"/>
        <w:rPr>
          <w:rFonts w:ascii="Arial" w:hAnsi="Arial"/>
          <w:b/>
          <w:sz w:val="24"/>
        </w:rPr>
      </w:pPr>
      <w:r>
        <w:br w:type="page"/>
      </w:r>
    </w:p>
    <w:p w14:paraId="0EFAA651" w14:textId="77777777" w:rsidR="006201AD" w:rsidRDefault="006201AD" w:rsidP="006201AD">
      <w:pPr>
        <w:pStyle w:val="Heading4"/>
      </w:pPr>
      <w:r>
        <w:t>2.2.5</w:t>
      </w:r>
      <w:r>
        <w:tab/>
        <w:t>Burning of oil in the open</w:t>
      </w:r>
    </w:p>
    <w:p w14:paraId="40CB2161" w14:textId="77777777" w:rsidR="006E6C55" w:rsidRDefault="006E6C55" w:rsidP="006E6C55">
      <w:pPr>
        <w:pStyle w:val="BodyText"/>
      </w:pPr>
      <w:r>
        <w:t>Regulation 10 specifies:</w:t>
      </w:r>
    </w:p>
    <w:p w14:paraId="4BCC69AB" w14:textId="77777777" w:rsidR="006E6C55" w:rsidRDefault="006E6C55" w:rsidP="00A34819">
      <w:pPr>
        <w:pStyle w:val="BodyText"/>
      </w:pPr>
    </w:p>
    <w:p w14:paraId="7BFEA061" w14:textId="77777777" w:rsidR="006E6C55" w:rsidRPr="00BA7317" w:rsidRDefault="006E6C55" w:rsidP="0010779B">
      <w:pPr>
        <w:pStyle w:val="BodyText"/>
        <w:keepNext/>
        <w:ind w:left="1134" w:hanging="567"/>
        <w:rPr>
          <w:b/>
          <w:i/>
          <w:sz w:val="20"/>
        </w:rPr>
      </w:pPr>
      <w:r>
        <w:rPr>
          <w:b/>
          <w:i/>
          <w:sz w:val="20"/>
        </w:rPr>
        <w:t>10</w:t>
      </w:r>
      <w:r w:rsidRPr="00BA7317">
        <w:rPr>
          <w:b/>
          <w:i/>
          <w:sz w:val="20"/>
        </w:rPr>
        <w:tab/>
      </w:r>
      <w:r>
        <w:rPr>
          <w:b/>
          <w:i/>
          <w:sz w:val="20"/>
        </w:rPr>
        <w:t>Burning of oil</w:t>
      </w:r>
    </w:p>
    <w:p w14:paraId="725BB294" w14:textId="77777777" w:rsidR="006E6C55" w:rsidRPr="00BA7317" w:rsidRDefault="006E6C55" w:rsidP="0010779B">
      <w:pPr>
        <w:pStyle w:val="BodyText"/>
        <w:keepNext/>
        <w:ind w:left="1134" w:hanging="567"/>
        <w:rPr>
          <w:i/>
          <w:sz w:val="20"/>
        </w:rPr>
      </w:pPr>
      <w:r w:rsidRPr="00BA7317">
        <w:rPr>
          <w:i/>
          <w:sz w:val="20"/>
        </w:rPr>
        <w:t>(1)</w:t>
      </w:r>
      <w:r w:rsidRPr="00BA7317">
        <w:rPr>
          <w:i/>
          <w:sz w:val="20"/>
        </w:rPr>
        <w:tab/>
        <w:t xml:space="preserve">The </w:t>
      </w:r>
      <w:r>
        <w:rPr>
          <w:i/>
          <w:sz w:val="20"/>
        </w:rPr>
        <w:t>burning of oil in the open air is</w:t>
      </w:r>
      <w:r w:rsidRPr="00BA7317">
        <w:rPr>
          <w:i/>
          <w:sz w:val="20"/>
        </w:rPr>
        <w:t xml:space="preserve"> prohibited.</w:t>
      </w:r>
    </w:p>
    <w:p w14:paraId="42DED605" w14:textId="77777777" w:rsidR="006E6C55" w:rsidRPr="00BA7317" w:rsidRDefault="006E6C55" w:rsidP="00A34819">
      <w:pPr>
        <w:pStyle w:val="BodyText"/>
        <w:ind w:left="1134" w:hanging="567"/>
        <w:rPr>
          <w:i/>
          <w:sz w:val="20"/>
        </w:rPr>
      </w:pPr>
      <w:r w:rsidRPr="00BA7317">
        <w:rPr>
          <w:i/>
          <w:sz w:val="20"/>
        </w:rPr>
        <w:t>(2)</w:t>
      </w:r>
      <w:r w:rsidRPr="00BA7317">
        <w:rPr>
          <w:i/>
          <w:sz w:val="20"/>
        </w:rPr>
        <w:tab/>
        <w:t>Subclause (1) does not apply if</w:t>
      </w:r>
      <w:r>
        <w:rPr>
          <w:i/>
          <w:sz w:val="20"/>
        </w:rPr>
        <w:t xml:space="preserve"> </w:t>
      </w:r>
      <w:r w:rsidRPr="00BA7317">
        <w:rPr>
          <w:i/>
          <w:sz w:val="20"/>
        </w:rPr>
        <w:t xml:space="preserve"> – </w:t>
      </w:r>
    </w:p>
    <w:p w14:paraId="79C55A33" w14:textId="77777777" w:rsidR="006E6C55" w:rsidRDefault="006E6C55" w:rsidP="00A34819">
      <w:pPr>
        <w:pStyle w:val="BodyText"/>
        <w:ind w:left="1701" w:hanging="567"/>
        <w:rPr>
          <w:i/>
          <w:sz w:val="20"/>
        </w:rPr>
      </w:pPr>
      <w:r w:rsidRPr="00BA7317">
        <w:rPr>
          <w:i/>
          <w:sz w:val="20"/>
        </w:rPr>
        <w:t>(a)</w:t>
      </w:r>
      <w:r w:rsidRPr="00BA7317">
        <w:rPr>
          <w:i/>
          <w:sz w:val="20"/>
        </w:rPr>
        <w:tab/>
      </w:r>
      <w:r>
        <w:rPr>
          <w:i/>
          <w:sz w:val="20"/>
        </w:rPr>
        <w:t>the burning is for creating special smoke and fire effects for the purposes of producing films; or</w:t>
      </w:r>
    </w:p>
    <w:p w14:paraId="2322554F" w14:textId="77777777" w:rsidR="006E6C55" w:rsidRDefault="006E6C55" w:rsidP="00A34819">
      <w:pPr>
        <w:pStyle w:val="BodyText"/>
        <w:ind w:left="1701" w:hanging="567"/>
        <w:rPr>
          <w:i/>
          <w:sz w:val="20"/>
        </w:rPr>
      </w:pPr>
      <w:r>
        <w:rPr>
          <w:i/>
          <w:sz w:val="20"/>
        </w:rPr>
        <w:t>(b)</w:t>
      </w:r>
      <w:r>
        <w:rPr>
          <w:i/>
          <w:sz w:val="20"/>
        </w:rPr>
        <w:tab/>
        <w:t>the burning is for the purpose of training firefighters; or</w:t>
      </w:r>
    </w:p>
    <w:p w14:paraId="772F780F" w14:textId="77777777" w:rsidR="006E6C55" w:rsidRDefault="006E6C55" w:rsidP="00A34819">
      <w:pPr>
        <w:pStyle w:val="BodyText"/>
        <w:ind w:left="1701" w:hanging="567"/>
        <w:rPr>
          <w:i/>
          <w:sz w:val="20"/>
        </w:rPr>
      </w:pPr>
      <w:r>
        <w:rPr>
          <w:i/>
          <w:sz w:val="20"/>
        </w:rPr>
        <w:t>(c)</w:t>
      </w:r>
      <w:r>
        <w:rPr>
          <w:i/>
          <w:sz w:val="20"/>
        </w:rPr>
        <w:tab/>
        <w:t>Revoked</w:t>
      </w:r>
    </w:p>
    <w:p w14:paraId="731DD8C6" w14:textId="77777777" w:rsidR="006E6C55" w:rsidRDefault="006E6C55" w:rsidP="00A34819">
      <w:pPr>
        <w:pStyle w:val="BodyText"/>
        <w:ind w:left="1701" w:hanging="567"/>
        <w:rPr>
          <w:i/>
          <w:sz w:val="20"/>
        </w:rPr>
      </w:pPr>
      <w:r>
        <w:rPr>
          <w:i/>
          <w:sz w:val="20"/>
        </w:rPr>
        <w:t>(d)</w:t>
      </w:r>
      <w:r>
        <w:rPr>
          <w:i/>
          <w:sz w:val="20"/>
        </w:rPr>
        <w:tab/>
        <w:t>the burning is</w:t>
      </w:r>
    </w:p>
    <w:p w14:paraId="5B12118C" w14:textId="77777777" w:rsidR="006E6C55" w:rsidRDefault="006E6C55" w:rsidP="00A34819">
      <w:pPr>
        <w:pStyle w:val="BodyText"/>
        <w:ind w:left="2268" w:hanging="567"/>
        <w:rPr>
          <w:i/>
          <w:sz w:val="20"/>
        </w:rPr>
      </w:pPr>
      <w:r>
        <w:rPr>
          <w:i/>
          <w:sz w:val="20"/>
        </w:rPr>
        <w:t xml:space="preserve"> (i)</w:t>
      </w:r>
      <w:r>
        <w:rPr>
          <w:i/>
          <w:sz w:val="20"/>
        </w:rPr>
        <w:tab/>
        <w:t>done by means of a flare; and</w:t>
      </w:r>
    </w:p>
    <w:p w14:paraId="5F381E2B" w14:textId="77777777" w:rsidR="006E6C55" w:rsidRDefault="006E6C55" w:rsidP="00A34819">
      <w:pPr>
        <w:pStyle w:val="BodyText"/>
        <w:ind w:left="2268" w:hanging="567"/>
        <w:rPr>
          <w:i/>
          <w:sz w:val="20"/>
        </w:rPr>
      </w:pPr>
      <w:r>
        <w:rPr>
          <w:i/>
          <w:sz w:val="20"/>
        </w:rPr>
        <w:t>(ii)</w:t>
      </w:r>
      <w:r>
        <w:rPr>
          <w:i/>
          <w:sz w:val="20"/>
        </w:rPr>
        <w:tab/>
        <w:t>for the purpose of undertaking health and safety procedures in the petroleum exploration and production industry or the petrochemical industry; and</w:t>
      </w:r>
    </w:p>
    <w:p w14:paraId="06EA508F" w14:textId="77777777" w:rsidR="006E6C55" w:rsidRDefault="006E6C55" w:rsidP="00A34819">
      <w:pPr>
        <w:pStyle w:val="BodyText"/>
        <w:ind w:left="2268" w:hanging="567"/>
        <w:rPr>
          <w:i/>
          <w:sz w:val="20"/>
        </w:rPr>
      </w:pPr>
      <w:r>
        <w:rPr>
          <w:i/>
          <w:sz w:val="20"/>
        </w:rPr>
        <w:t>(iii)</w:t>
      </w:r>
      <w:r>
        <w:rPr>
          <w:i/>
          <w:sz w:val="20"/>
        </w:rPr>
        <w:tab/>
        <w:t>expressly allowed by a resource consent.</w:t>
      </w:r>
    </w:p>
    <w:p w14:paraId="662137DE" w14:textId="77777777" w:rsidR="006E6C55" w:rsidRDefault="006E6C55" w:rsidP="00A34819">
      <w:pPr>
        <w:pStyle w:val="Sub-list"/>
        <w:tabs>
          <w:tab w:val="clear" w:pos="397"/>
          <w:tab w:val="clear" w:pos="794"/>
          <w:tab w:val="left" w:pos="851"/>
        </w:tabs>
        <w:spacing w:before="0"/>
        <w:ind w:left="1134" w:hanging="567"/>
        <w:rPr>
          <w:i/>
          <w:sz w:val="20"/>
        </w:rPr>
      </w:pPr>
      <w:r w:rsidRPr="00BA7317">
        <w:rPr>
          <w:i/>
          <w:sz w:val="20"/>
        </w:rPr>
        <w:t>(</w:t>
      </w:r>
      <w:r>
        <w:rPr>
          <w:i/>
          <w:sz w:val="20"/>
        </w:rPr>
        <w:t>3</w:t>
      </w:r>
      <w:r w:rsidRPr="00BA7317">
        <w:rPr>
          <w:i/>
          <w:sz w:val="20"/>
        </w:rPr>
        <w:t>)</w:t>
      </w:r>
      <w:r w:rsidRPr="00BA7317">
        <w:rPr>
          <w:i/>
          <w:sz w:val="20"/>
        </w:rPr>
        <w:tab/>
      </w:r>
      <w:r w:rsidR="00A34819">
        <w:rPr>
          <w:i/>
          <w:sz w:val="20"/>
        </w:rPr>
        <w:tab/>
      </w:r>
      <w:r w:rsidR="00D97ECA">
        <w:rPr>
          <w:i/>
          <w:sz w:val="20"/>
        </w:rPr>
        <w:t xml:space="preserve">For the avoidance of doubt, subclause (1) does not apply if a discharge from the burning </w:t>
      </w:r>
      <w:r w:rsidR="00FA782A">
        <w:rPr>
          <w:i/>
          <w:sz w:val="20"/>
        </w:rPr>
        <w:t xml:space="preserve">of </w:t>
      </w:r>
      <w:r w:rsidR="00D97ECA">
        <w:rPr>
          <w:i/>
          <w:sz w:val="20"/>
        </w:rPr>
        <w:t>oil is directed to the open air by a stack, chimney, or exhaust pipe (for example</w:t>
      </w:r>
      <w:r w:rsidR="00FA782A">
        <w:rPr>
          <w:i/>
          <w:sz w:val="20"/>
        </w:rPr>
        <w:t>,</w:t>
      </w:r>
      <w:r w:rsidR="00D97ECA">
        <w:rPr>
          <w:i/>
          <w:sz w:val="20"/>
        </w:rPr>
        <w:t xml:space="preserve"> emissions from a motor vehicle).</w:t>
      </w:r>
    </w:p>
    <w:p w14:paraId="23692926" w14:textId="77777777" w:rsidR="006201AD" w:rsidRDefault="006201AD" w:rsidP="00A34819">
      <w:pPr>
        <w:pStyle w:val="Sub-list"/>
        <w:tabs>
          <w:tab w:val="clear" w:pos="397"/>
        </w:tabs>
        <w:spacing w:before="0"/>
        <w:ind w:left="0"/>
      </w:pPr>
    </w:p>
    <w:p w14:paraId="145C670E" w14:textId="77777777" w:rsidR="00135F83" w:rsidRDefault="00135F83" w:rsidP="00135F83">
      <w:pPr>
        <w:pStyle w:val="Sub-list"/>
        <w:tabs>
          <w:tab w:val="clear" w:pos="397"/>
        </w:tabs>
        <w:ind w:left="0"/>
      </w:pPr>
      <w:r>
        <w:t>Oil is defined</w:t>
      </w:r>
      <w:r w:rsidR="004702D5">
        <w:t xml:space="preserve"> in </w:t>
      </w:r>
      <w:r w:rsidR="00D752E1">
        <w:t xml:space="preserve">Regulation </w:t>
      </w:r>
      <w:r>
        <w:t>3 which states:</w:t>
      </w:r>
    </w:p>
    <w:p w14:paraId="37EA4C2B" w14:textId="77777777" w:rsidR="00135F83" w:rsidRDefault="00135F83" w:rsidP="00A34819">
      <w:pPr>
        <w:pStyle w:val="Sub-list"/>
        <w:tabs>
          <w:tab w:val="clear" w:pos="397"/>
        </w:tabs>
        <w:spacing w:before="0"/>
      </w:pPr>
    </w:p>
    <w:p w14:paraId="3278DD6C" w14:textId="77777777" w:rsidR="00135F83" w:rsidRDefault="00135F83" w:rsidP="00A34819">
      <w:pPr>
        <w:pStyle w:val="Sub-list"/>
        <w:tabs>
          <w:tab w:val="clear" w:pos="397"/>
          <w:tab w:val="clear" w:pos="794"/>
          <w:tab w:val="left" w:pos="-1701"/>
        </w:tabs>
        <w:spacing w:before="0"/>
        <w:ind w:left="1134" w:hanging="567"/>
        <w:rPr>
          <w:i/>
          <w:sz w:val="20"/>
        </w:rPr>
      </w:pPr>
      <w:r>
        <w:rPr>
          <w:b/>
          <w:i/>
          <w:sz w:val="20"/>
        </w:rPr>
        <w:t xml:space="preserve">Oil </w:t>
      </w:r>
      <w:r w:rsidRPr="00BA7317">
        <w:rPr>
          <w:i/>
          <w:sz w:val="20"/>
        </w:rPr>
        <w:t>–</w:t>
      </w:r>
      <w:r w:rsidRPr="00AE268F">
        <w:rPr>
          <w:i/>
          <w:sz w:val="20"/>
        </w:rPr>
        <w:t xml:space="preserve"> </w:t>
      </w:r>
    </w:p>
    <w:p w14:paraId="61D33CDE" w14:textId="77777777" w:rsidR="00135F83" w:rsidRDefault="00135F83" w:rsidP="00A34819">
      <w:pPr>
        <w:pStyle w:val="Sub-list"/>
        <w:tabs>
          <w:tab w:val="clear" w:pos="397"/>
          <w:tab w:val="clear" w:pos="794"/>
        </w:tabs>
        <w:spacing w:before="0"/>
        <w:ind w:left="1134" w:hanging="567"/>
        <w:rPr>
          <w:i/>
          <w:sz w:val="20"/>
        </w:rPr>
      </w:pPr>
      <w:r w:rsidRPr="00135F83">
        <w:rPr>
          <w:i/>
          <w:sz w:val="20"/>
        </w:rPr>
        <w:t>(a)</w:t>
      </w:r>
      <w:r w:rsidRPr="00135F83">
        <w:rPr>
          <w:i/>
          <w:sz w:val="20"/>
        </w:rPr>
        <w:tab/>
        <w:t xml:space="preserve">means </w:t>
      </w:r>
      <w:r>
        <w:rPr>
          <w:i/>
          <w:sz w:val="20"/>
        </w:rPr>
        <w:t>petroleum in any form other than gas; and</w:t>
      </w:r>
    </w:p>
    <w:p w14:paraId="7FD2F92B" w14:textId="77777777" w:rsidR="00135F83" w:rsidRPr="00AE268F" w:rsidRDefault="00135F83" w:rsidP="00A34819">
      <w:pPr>
        <w:pStyle w:val="Sub-list"/>
        <w:tabs>
          <w:tab w:val="clear" w:pos="397"/>
        </w:tabs>
        <w:spacing w:before="0"/>
        <w:ind w:left="1134" w:hanging="567"/>
        <w:rPr>
          <w:sz w:val="20"/>
        </w:rPr>
      </w:pPr>
      <w:r>
        <w:rPr>
          <w:i/>
          <w:sz w:val="20"/>
        </w:rPr>
        <w:t>(b)</w:t>
      </w:r>
      <w:r>
        <w:rPr>
          <w:i/>
          <w:sz w:val="20"/>
        </w:rPr>
        <w:tab/>
      </w:r>
      <w:r>
        <w:rPr>
          <w:i/>
          <w:sz w:val="20"/>
        </w:rPr>
        <w:tab/>
        <w:t>includes crude oil, fuel oil sludge, oil refuse, and refined oil products (for example, diesel fuel, kerosene, and motor gasoline</w:t>
      </w:r>
      <w:r>
        <w:rPr>
          <w:sz w:val="20"/>
        </w:rPr>
        <w:t>)</w:t>
      </w:r>
    </w:p>
    <w:p w14:paraId="5BADF5BC" w14:textId="77777777" w:rsidR="006201AD" w:rsidRDefault="006201AD" w:rsidP="006D5585">
      <w:pPr>
        <w:pStyle w:val="Heading5"/>
        <w:keepNext/>
      </w:pPr>
      <w:r>
        <w:t>Amendments</w:t>
      </w:r>
    </w:p>
    <w:p w14:paraId="3BB904BD" w14:textId="77777777" w:rsidR="00135F83" w:rsidRDefault="00135F83" w:rsidP="006D5585">
      <w:pPr>
        <w:pStyle w:val="Sub-list"/>
        <w:keepNext/>
        <w:tabs>
          <w:tab w:val="clear" w:pos="397"/>
        </w:tabs>
        <w:ind w:left="0"/>
      </w:pPr>
      <w:r>
        <w:t>The definition of oil was amended in December 2004 to specifically exclude gas.</w:t>
      </w:r>
    </w:p>
    <w:p w14:paraId="43F79F86" w14:textId="77777777" w:rsidR="00135F83" w:rsidRDefault="00135F83" w:rsidP="00135F83"/>
    <w:p w14:paraId="0DAFC1DB" w14:textId="77777777" w:rsidR="00135F83" w:rsidRDefault="00135F83" w:rsidP="00135F83">
      <w:r>
        <w:t xml:space="preserve">Regulation 10 was amended in August 2005 to remove </w:t>
      </w:r>
      <w:r w:rsidR="00FF6D37">
        <w:t>an</w:t>
      </w:r>
      <w:r>
        <w:t xml:space="preserve"> exception for frost pots and to provide a new exception for flaring of oil in the petroleum and petrochemical industries.</w:t>
      </w:r>
    </w:p>
    <w:p w14:paraId="2AACB0CC" w14:textId="77777777" w:rsidR="00135F83" w:rsidRDefault="00135F83" w:rsidP="00135F83"/>
    <w:p w14:paraId="3E074B77" w14:textId="77777777" w:rsidR="00135F83" w:rsidRDefault="00135F83" w:rsidP="00135F83">
      <w:r>
        <w:t xml:space="preserve">Regulation 10(2)(b) was amended, and a definition of firefighter added, in November 2008 to </w:t>
      </w:r>
      <w:r w:rsidR="00AE6218">
        <w:t>clarify that the exemption applied to the</w:t>
      </w:r>
      <w:r>
        <w:t xml:space="preserve"> training </w:t>
      </w:r>
      <w:r w:rsidR="00AE6218">
        <w:t xml:space="preserve">of </w:t>
      </w:r>
      <w:r>
        <w:t>firefighters.</w:t>
      </w:r>
    </w:p>
    <w:p w14:paraId="38E6E767" w14:textId="77777777" w:rsidR="00AE6218" w:rsidRDefault="00AE6218" w:rsidP="00135F83"/>
    <w:p w14:paraId="0D4825B9" w14:textId="77777777" w:rsidR="00AE6218" w:rsidRPr="00135F83" w:rsidRDefault="004702D5" w:rsidP="00135F83">
      <w:r>
        <w:t xml:space="preserve">In </w:t>
      </w:r>
      <w:r w:rsidR="00D87D86">
        <w:t>June</w:t>
      </w:r>
      <w:r>
        <w:t xml:space="preserve"> 2011 </w:t>
      </w:r>
      <w:r w:rsidR="00E2057F">
        <w:t xml:space="preserve">Regulation </w:t>
      </w:r>
      <w:r w:rsidR="00AE6218">
        <w:t xml:space="preserve">10(d)(3) was amended to align with the words of </w:t>
      </w:r>
      <w:r w:rsidR="00E2057F">
        <w:t>the RMA</w:t>
      </w:r>
      <w:r w:rsidR="00AE6218">
        <w:t xml:space="preserve"> and to avoid any confusion with permitted activities.</w:t>
      </w:r>
    </w:p>
    <w:p w14:paraId="23DBF2BD" w14:textId="77777777" w:rsidR="006201AD" w:rsidRDefault="006201AD" w:rsidP="006201AD">
      <w:pPr>
        <w:pStyle w:val="Heading5"/>
      </w:pPr>
      <w:r>
        <w:t>Implementation</w:t>
      </w:r>
    </w:p>
    <w:p w14:paraId="47FC0FE8" w14:textId="77777777" w:rsidR="006201AD" w:rsidRDefault="0071773A" w:rsidP="00BC3848">
      <w:pPr>
        <w:pStyle w:val="Sub-list"/>
        <w:tabs>
          <w:tab w:val="clear" w:pos="397"/>
        </w:tabs>
        <w:spacing w:before="0"/>
        <w:ind w:left="0"/>
      </w:pPr>
      <w:r>
        <w:t xml:space="preserve">This </w:t>
      </w:r>
      <w:r w:rsidR="00D752E1">
        <w:t>Regulation</w:t>
      </w:r>
      <w:r>
        <w:t xml:space="preserve"> bans the burning of any oil in the open and has applied since 8 October 2004.  This includes the </w:t>
      </w:r>
      <w:r w:rsidRPr="0071773A">
        <w:rPr>
          <w:b/>
        </w:rPr>
        <w:t>open</w:t>
      </w:r>
      <w:r>
        <w:t xml:space="preserve"> burning of oil in frost pots (the </w:t>
      </w:r>
      <w:r w:rsidR="00D752E1">
        <w:t>Regulation</w:t>
      </w:r>
      <w:r>
        <w:t xml:space="preserve"> is silent on frost pots that operate with a stack or chimney).</w:t>
      </w:r>
    </w:p>
    <w:p w14:paraId="2BFB098E" w14:textId="77777777" w:rsidR="00BC3848" w:rsidRDefault="00BC3848" w:rsidP="00BC3848">
      <w:pPr>
        <w:pStyle w:val="Sub-list"/>
        <w:tabs>
          <w:tab w:val="clear" w:pos="397"/>
        </w:tabs>
        <w:spacing w:before="0"/>
        <w:ind w:left="0"/>
      </w:pPr>
    </w:p>
    <w:p w14:paraId="58AA50FF" w14:textId="77777777" w:rsidR="0071773A" w:rsidRDefault="0071773A" w:rsidP="00BC3848">
      <w:pPr>
        <w:pStyle w:val="Sub-list"/>
        <w:tabs>
          <w:tab w:val="clear" w:pos="397"/>
        </w:tabs>
        <w:spacing w:before="0"/>
        <w:ind w:left="0"/>
      </w:pPr>
      <w:r>
        <w:t>The ban does not apply</w:t>
      </w:r>
      <w:r w:rsidR="0010779B">
        <w:t xml:space="preserve"> (and no consent is required</w:t>
      </w:r>
      <w:r w:rsidR="0010779B">
        <w:rPr>
          <w:rStyle w:val="FootnoteReference"/>
        </w:rPr>
        <w:footnoteReference w:id="6"/>
      </w:r>
      <w:r w:rsidR="0010779B">
        <w:t>) for the following activities</w:t>
      </w:r>
      <w:r>
        <w:t>:</w:t>
      </w:r>
    </w:p>
    <w:p w14:paraId="18F21A42" w14:textId="77777777" w:rsidR="0071773A" w:rsidRDefault="0071773A" w:rsidP="00152DF6">
      <w:pPr>
        <w:pStyle w:val="Bullet"/>
        <w:numPr>
          <w:ilvl w:val="0"/>
          <w:numId w:val="9"/>
        </w:numPr>
      </w:pPr>
      <w:r>
        <w:t>oil burned in the open for fire training</w:t>
      </w:r>
    </w:p>
    <w:p w14:paraId="1AE624BB" w14:textId="77777777" w:rsidR="0071773A" w:rsidRDefault="0071773A" w:rsidP="00152DF6">
      <w:pPr>
        <w:pStyle w:val="Bullet"/>
        <w:numPr>
          <w:ilvl w:val="0"/>
          <w:numId w:val="9"/>
        </w:numPr>
      </w:pPr>
      <w:r>
        <w:t>creating smoke and fire effects for films</w:t>
      </w:r>
      <w:r w:rsidR="006D5585">
        <w:t>.</w:t>
      </w:r>
      <w:r>
        <w:t xml:space="preserve"> </w:t>
      </w:r>
    </w:p>
    <w:p w14:paraId="0A1BC9BE" w14:textId="77777777" w:rsidR="00A34819" w:rsidRDefault="00A34819" w:rsidP="00A34819">
      <w:pPr>
        <w:pStyle w:val="BodyText"/>
      </w:pPr>
    </w:p>
    <w:p w14:paraId="67172D27" w14:textId="77777777" w:rsidR="00E2057F" w:rsidRDefault="00A34819" w:rsidP="00A34819">
      <w:pPr>
        <w:pStyle w:val="BodyText"/>
      </w:pPr>
      <w:r>
        <w:t xml:space="preserve">Regulation 10(d) allows councils to continue to consider whether to grant consents for discharges into air from burning oil in a flare for health and safety reasons in the petroleum or petrochemical </w:t>
      </w:r>
      <w:r w:rsidRPr="00A34819">
        <w:t>industries</w:t>
      </w:r>
      <w:r>
        <w:t>.</w:t>
      </w:r>
      <w:r w:rsidR="00E2057F">
        <w:t xml:space="preserve"> </w:t>
      </w:r>
      <w:r>
        <w:t xml:space="preserve"> Regulation 5(2) states that this activity would require a discretionary consent</w:t>
      </w:r>
      <w:r w:rsidR="00E2057F">
        <w:t>.</w:t>
      </w:r>
    </w:p>
    <w:p w14:paraId="7F2C14AB" w14:textId="77777777" w:rsidR="00E2057F" w:rsidRDefault="00E2057F" w:rsidP="00A34819">
      <w:pPr>
        <w:pStyle w:val="BodyText"/>
      </w:pPr>
    </w:p>
    <w:p w14:paraId="5921ECB7" w14:textId="77777777" w:rsidR="00A34819" w:rsidRDefault="00A34819" w:rsidP="00A34819">
      <w:pPr>
        <w:pStyle w:val="BodyText"/>
      </w:pPr>
      <w:r>
        <w:t xml:space="preserve">Regulation 28 also allows for a regional plan that has a more stringent activity status than the </w:t>
      </w:r>
      <w:r w:rsidR="00D752E1">
        <w:t>Regulation</w:t>
      </w:r>
      <w:r>
        <w:t>s (ie, non-complyi</w:t>
      </w:r>
      <w:r w:rsidR="008D5A99">
        <w:t>ng or prohibited) to prevail.</w:t>
      </w:r>
    </w:p>
    <w:p w14:paraId="0583076B" w14:textId="77777777" w:rsidR="006201AD" w:rsidRDefault="006201AD" w:rsidP="006201AD">
      <w:pPr>
        <w:pStyle w:val="Heading4"/>
      </w:pPr>
      <w:r>
        <w:t>2.2.6 Incinerators at schools and healthcare institutions</w:t>
      </w:r>
    </w:p>
    <w:p w14:paraId="0EC04CAC" w14:textId="77777777" w:rsidR="00B07AF5" w:rsidRDefault="00B07AF5" w:rsidP="00B07AF5">
      <w:pPr>
        <w:pStyle w:val="BodyText"/>
      </w:pPr>
      <w:r>
        <w:t>Regulation 11 specifies:</w:t>
      </w:r>
    </w:p>
    <w:p w14:paraId="024A09D3" w14:textId="77777777" w:rsidR="00B07AF5" w:rsidRDefault="00B07AF5" w:rsidP="00DD3370">
      <w:pPr>
        <w:pStyle w:val="BodyText"/>
      </w:pPr>
    </w:p>
    <w:p w14:paraId="6D67A4FD" w14:textId="77777777" w:rsidR="00B07AF5" w:rsidRPr="00BA7317" w:rsidRDefault="00B07AF5" w:rsidP="00DD3370">
      <w:pPr>
        <w:pStyle w:val="BodyText"/>
        <w:ind w:left="1134" w:hanging="567"/>
        <w:rPr>
          <w:b/>
          <w:i/>
          <w:sz w:val="20"/>
        </w:rPr>
      </w:pPr>
      <w:r>
        <w:rPr>
          <w:b/>
          <w:i/>
          <w:sz w:val="20"/>
        </w:rPr>
        <w:t>11</w:t>
      </w:r>
      <w:r w:rsidRPr="00BA7317">
        <w:rPr>
          <w:b/>
          <w:i/>
          <w:sz w:val="20"/>
        </w:rPr>
        <w:tab/>
      </w:r>
      <w:r>
        <w:rPr>
          <w:b/>
          <w:i/>
          <w:sz w:val="20"/>
        </w:rPr>
        <w:t>Incinerators at schools and healthcare institutions</w:t>
      </w:r>
    </w:p>
    <w:p w14:paraId="3C3166BD" w14:textId="77777777" w:rsidR="00B07AF5" w:rsidRDefault="00B07AF5" w:rsidP="00DD3370">
      <w:pPr>
        <w:pStyle w:val="BodyText"/>
        <w:ind w:left="1134" w:hanging="567"/>
        <w:rPr>
          <w:i/>
          <w:sz w:val="20"/>
        </w:rPr>
      </w:pPr>
      <w:r w:rsidRPr="00BA7317">
        <w:rPr>
          <w:i/>
          <w:sz w:val="20"/>
        </w:rPr>
        <w:t xml:space="preserve">The </w:t>
      </w:r>
      <w:r>
        <w:rPr>
          <w:i/>
          <w:sz w:val="20"/>
        </w:rPr>
        <w:t>operation of an incinerator at a school or healthcare institution is prohibited unless a resource consent has been granted for the discharge</w:t>
      </w:r>
      <w:r w:rsidR="00BE307A">
        <w:rPr>
          <w:i/>
          <w:sz w:val="20"/>
        </w:rPr>
        <w:t xml:space="preserve"> produced</w:t>
      </w:r>
      <w:r>
        <w:rPr>
          <w:i/>
          <w:sz w:val="20"/>
        </w:rPr>
        <w:t>.</w:t>
      </w:r>
    </w:p>
    <w:p w14:paraId="4E3F2F8F" w14:textId="77777777" w:rsidR="00414836" w:rsidRDefault="00414836" w:rsidP="00DD3370">
      <w:pPr>
        <w:pStyle w:val="BodyText"/>
        <w:ind w:left="425" w:hanging="425"/>
        <w:rPr>
          <w:sz w:val="20"/>
        </w:rPr>
      </w:pPr>
    </w:p>
    <w:p w14:paraId="6910650D" w14:textId="77777777" w:rsidR="00414836" w:rsidRDefault="00414836" w:rsidP="00DD3370">
      <w:pPr>
        <w:pStyle w:val="Sub-list"/>
        <w:tabs>
          <w:tab w:val="clear" w:pos="397"/>
        </w:tabs>
        <w:spacing w:before="0"/>
        <w:ind w:left="0"/>
      </w:pPr>
      <w:r>
        <w:t>The definition of a healthcare institution given in Regulation 3 relates back to the Health and Dis</w:t>
      </w:r>
      <w:r w:rsidR="008D5A99">
        <w:t xml:space="preserve">ability Commissioner Act 1994. </w:t>
      </w:r>
      <w:r>
        <w:t>This includes (amongst other things) health camps and facilities that provide chiropractic, dental, fertility, geriatric, gynaecological, rehabilitation, obstetric, osteopathy, maternity</w:t>
      </w:r>
      <w:r w:rsidR="00744EC8">
        <w:t>, medical, mental health, physiotherapy, and surgical services.</w:t>
      </w:r>
    </w:p>
    <w:p w14:paraId="35019757" w14:textId="77777777" w:rsidR="00414836" w:rsidRDefault="00414836" w:rsidP="00DD3370">
      <w:pPr>
        <w:pStyle w:val="Sub-list"/>
        <w:tabs>
          <w:tab w:val="clear" w:pos="397"/>
        </w:tabs>
        <w:spacing w:before="0"/>
      </w:pPr>
    </w:p>
    <w:p w14:paraId="1917A280" w14:textId="77777777" w:rsidR="00414836" w:rsidRDefault="00414836" w:rsidP="00DD3370">
      <w:pPr>
        <w:pStyle w:val="Sub-list"/>
        <w:tabs>
          <w:tab w:val="clear" w:pos="397"/>
        </w:tabs>
        <w:spacing w:before="0"/>
        <w:rPr>
          <w:i/>
          <w:sz w:val="20"/>
        </w:rPr>
      </w:pPr>
      <w:r>
        <w:rPr>
          <w:b/>
          <w:i/>
          <w:sz w:val="20"/>
        </w:rPr>
        <w:t>Healthcare institution</w:t>
      </w:r>
      <w:r w:rsidRPr="00AE268F">
        <w:rPr>
          <w:i/>
          <w:sz w:val="20"/>
        </w:rPr>
        <w:t xml:space="preserve"> </w:t>
      </w:r>
      <w:r>
        <w:rPr>
          <w:i/>
          <w:sz w:val="20"/>
        </w:rPr>
        <w:t>has the same meaning as in section 2(1) of the Health and Disability Commissioner Act 1994.</w:t>
      </w:r>
    </w:p>
    <w:p w14:paraId="3AC1BD53" w14:textId="77777777" w:rsidR="006201AD" w:rsidRDefault="00414836" w:rsidP="006201AD">
      <w:pPr>
        <w:pStyle w:val="Heading5"/>
      </w:pPr>
      <w:r>
        <w:t>Implementation</w:t>
      </w:r>
    </w:p>
    <w:p w14:paraId="3588F52A" w14:textId="77777777" w:rsidR="006201AD" w:rsidRDefault="00744EC8" w:rsidP="00DD3370">
      <w:pPr>
        <w:pStyle w:val="BodyText"/>
      </w:pPr>
      <w:r>
        <w:t xml:space="preserve">This </w:t>
      </w:r>
      <w:r w:rsidR="00D752E1">
        <w:t>Regulation</w:t>
      </w:r>
      <w:r>
        <w:t xml:space="preserve"> bans the operation of a</w:t>
      </w:r>
      <w:r w:rsidR="00E2057F">
        <w:t>n</w:t>
      </w:r>
      <w:r>
        <w:t xml:space="preserve"> incinerator at a school or hospital unless a resource consent </w:t>
      </w:r>
      <w:r w:rsidR="00E2057F">
        <w:t>has been</w:t>
      </w:r>
      <w:r w:rsidR="008F4B6B">
        <w:t xml:space="preserve"> obtained</w:t>
      </w:r>
      <w:r w:rsidR="008D5A99">
        <w:t>.</w:t>
      </w:r>
      <w:r>
        <w:t xml:space="preserve"> </w:t>
      </w:r>
      <w:r w:rsidR="00DD3370">
        <w:t>Regulation 5(2)</w:t>
      </w:r>
      <w:r>
        <w:t xml:space="preserve"> states that this activity require</w:t>
      </w:r>
      <w:r w:rsidR="00DD3370">
        <w:t>s</w:t>
      </w:r>
      <w:r>
        <w:t xml:space="preserve"> a discretionary consent</w:t>
      </w:r>
      <w:r w:rsidRPr="00D3498E">
        <w:t>, unless a rule in a regional plan is stricter in which case the regional rule status will prevail</w:t>
      </w:r>
      <w:r w:rsidR="00D3498E">
        <w:t xml:space="preserve"> </w:t>
      </w:r>
      <w:r w:rsidR="00D3498E" w:rsidRPr="00DD3370">
        <w:t>(</w:t>
      </w:r>
      <w:r w:rsidR="00DD3370">
        <w:t>Regulation 28).</w:t>
      </w:r>
    </w:p>
    <w:p w14:paraId="62322831" w14:textId="77777777" w:rsidR="00744EC8" w:rsidRDefault="00744EC8" w:rsidP="00DD3370">
      <w:pPr>
        <w:pStyle w:val="BodyText"/>
      </w:pPr>
    </w:p>
    <w:p w14:paraId="393CDB22" w14:textId="77777777" w:rsidR="00DD3370" w:rsidRDefault="00744EC8" w:rsidP="00DD3370">
      <w:pPr>
        <w:pStyle w:val="BodyText"/>
      </w:pPr>
      <w:r>
        <w:t xml:space="preserve">The </w:t>
      </w:r>
      <w:r w:rsidR="00D752E1">
        <w:t>Regulation</w:t>
      </w:r>
      <w:r>
        <w:t xml:space="preserve"> was intended to eliminate, where feasible,</w:t>
      </w:r>
      <w:r w:rsidR="008F4B6B">
        <w:t xml:space="preserve"> school and hospital incinerators.  This is because the majority of these incinerators: </w:t>
      </w:r>
    </w:p>
    <w:p w14:paraId="6EAF8070" w14:textId="77777777" w:rsidR="00DD3370" w:rsidRDefault="008F4B6B" w:rsidP="00152DF6">
      <w:pPr>
        <w:pStyle w:val="Bullet"/>
        <w:numPr>
          <w:ilvl w:val="0"/>
          <w:numId w:val="9"/>
        </w:numPr>
      </w:pPr>
      <w:r>
        <w:t>have no emissions control equipment</w:t>
      </w:r>
    </w:p>
    <w:p w14:paraId="5DDF47C4" w14:textId="77777777" w:rsidR="00DD3370" w:rsidRDefault="008F4B6B" w:rsidP="00152DF6">
      <w:pPr>
        <w:pStyle w:val="Bullet"/>
        <w:numPr>
          <w:ilvl w:val="0"/>
          <w:numId w:val="9"/>
        </w:numPr>
      </w:pPr>
      <w:r>
        <w:t>are poorly maintained</w:t>
      </w:r>
    </w:p>
    <w:p w14:paraId="59D10670" w14:textId="77777777" w:rsidR="00DD3370" w:rsidRDefault="008F4B6B" w:rsidP="00152DF6">
      <w:pPr>
        <w:pStyle w:val="Bullet"/>
        <w:numPr>
          <w:ilvl w:val="0"/>
          <w:numId w:val="9"/>
        </w:numPr>
      </w:pPr>
      <w:r>
        <w:t>have minimal (if any) fuel controls</w:t>
      </w:r>
    </w:p>
    <w:p w14:paraId="42F0E788" w14:textId="77777777" w:rsidR="00DD3370" w:rsidRDefault="008F4B6B" w:rsidP="00152DF6">
      <w:pPr>
        <w:pStyle w:val="Bullet"/>
        <w:numPr>
          <w:ilvl w:val="0"/>
          <w:numId w:val="9"/>
        </w:numPr>
      </w:pPr>
      <w:r>
        <w:t>are rarely inspected</w:t>
      </w:r>
    </w:p>
    <w:p w14:paraId="2EEF1503" w14:textId="77777777" w:rsidR="00DD3370" w:rsidRDefault="008F4B6B" w:rsidP="00152DF6">
      <w:pPr>
        <w:pStyle w:val="Bullet"/>
        <w:numPr>
          <w:ilvl w:val="0"/>
          <w:numId w:val="9"/>
        </w:numPr>
      </w:pPr>
      <w:r>
        <w:t>can be significant sources of dioxins and other toxics</w:t>
      </w:r>
    </w:p>
    <w:p w14:paraId="2505EE4E" w14:textId="77777777" w:rsidR="008F4B6B" w:rsidRDefault="008F4B6B" w:rsidP="00152DF6">
      <w:pPr>
        <w:pStyle w:val="Bullet"/>
        <w:numPr>
          <w:ilvl w:val="0"/>
          <w:numId w:val="9"/>
        </w:numPr>
      </w:pPr>
      <w:r>
        <w:t>are located close to highly sensitive receptors (i.e. children and sick people).</w:t>
      </w:r>
    </w:p>
    <w:p w14:paraId="6F93F47C" w14:textId="77777777" w:rsidR="008F4B6B" w:rsidRDefault="008F4B6B" w:rsidP="00DD3370">
      <w:pPr>
        <w:pStyle w:val="BodyText"/>
      </w:pPr>
    </w:p>
    <w:p w14:paraId="1A172432" w14:textId="77777777" w:rsidR="008F4B6B" w:rsidRDefault="008F4B6B" w:rsidP="00DD3370">
      <w:pPr>
        <w:pStyle w:val="BodyText"/>
      </w:pPr>
      <w:r>
        <w:t xml:space="preserve">The </w:t>
      </w:r>
      <w:r w:rsidR="00D752E1">
        <w:t>Regulation</w:t>
      </w:r>
      <w:r>
        <w:t xml:space="preserve"> does not apply to school or hospital </w:t>
      </w:r>
      <w:r w:rsidRPr="008F4B6B">
        <w:rPr>
          <w:b/>
        </w:rPr>
        <w:t>boilers</w:t>
      </w:r>
      <w:r w:rsidR="008D5A99">
        <w:t xml:space="preserve">. </w:t>
      </w:r>
      <w:r>
        <w:t>Waste should not be used as a fuel source or disposed of in boilers.</w:t>
      </w:r>
    </w:p>
    <w:p w14:paraId="04D4626B" w14:textId="77777777" w:rsidR="008F4B6B" w:rsidRDefault="008F4B6B" w:rsidP="006201AD">
      <w:pPr>
        <w:pStyle w:val="BodyText"/>
      </w:pPr>
    </w:p>
    <w:p w14:paraId="62D04496" w14:textId="77777777" w:rsidR="00744EC8" w:rsidRDefault="008F4B6B" w:rsidP="006201AD">
      <w:pPr>
        <w:pStyle w:val="BodyText"/>
      </w:pPr>
      <w:r>
        <w:t xml:space="preserve">Councils considering a consent application for an incinerator at a school or hospital </w:t>
      </w:r>
      <w:r w:rsidRPr="004C6B83">
        <w:rPr>
          <w:b/>
        </w:rPr>
        <w:t>must</w:t>
      </w:r>
      <w:r>
        <w:t xml:space="preserve"> </w:t>
      </w:r>
      <w:r w:rsidR="004C6B83">
        <w:t xml:space="preserve">consider the application in the context of the </w:t>
      </w:r>
      <w:r w:rsidR="008D5A99">
        <w:t>ambient air quality standards.</w:t>
      </w:r>
    </w:p>
    <w:p w14:paraId="6AE424A7" w14:textId="77777777" w:rsidR="004C6B83" w:rsidRDefault="004C6B83" w:rsidP="006201AD">
      <w:pPr>
        <w:pStyle w:val="BodyText"/>
      </w:pPr>
    </w:p>
    <w:p w14:paraId="4D5F05AA" w14:textId="77777777" w:rsidR="004C6B83" w:rsidRDefault="004C6B83" w:rsidP="006201AD">
      <w:pPr>
        <w:pStyle w:val="BodyText"/>
      </w:pPr>
      <w:r>
        <w:t>In addition to this, councils should also consider all other products of combustion including:</w:t>
      </w:r>
    </w:p>
    <w:p w14:paraId="51693348" w14:textId="77777777" w:rsidR="00F8738A" w:rsidRDefault="00F8738A" w:rsidP="00152DF6">
      <w:pPr>
        <w:pStyle w:val="Bullet"/>
        <w:numPr>
          <w:ilvl w:val="0"/>
          <w:numId w:val="9"/>
        </w:numPr>
      </w:pPr>
      <w:r>
        <w:t>visible smoke</w:t>
      </w:r>
    </w:p>
    <w:p w14:paraId="4BE139E8" w14:textId="77777777" w:rsidR="00F8738A" w:rsidRDefault="00F8738A" w:rsidP="00152DF6">
      <w:pPr>
        <w:pStyle w:val="Bullet"/>
        <w:numPr>
          <w:ilvl w:val="0"/>
          <w:numId w:val="9"/>
        </w:numPr>
      </w:pPr>
      <w:r>
        <w:t>oxides of nitrogen</w:t>
      </w:r>
    </w:p>
    <w:p w14:paraId="1A775093" w14:textId="77777777" w:rsidR="00F8738A" w:rsidRDefault="00F8738A" w:rsidP="00152DF6">
      <w:pPr>
        <w:pStyle w:val="Bullet"/>
        <w:numPr>
          <w:ilvl w:val="0"/>
          <w:numId w:val="9"/>
        </w:numPr>
      </w:pPr>
      <w:r>
        <w:t>carbon monoxide</w:t>
      </w:r>
    </w:p>
    <w:p w14:paraId="6E5AE254" w14:textId="77777777" w:rsidR="00F8738A" w:rsidRDefault="00F8738A" w:rsidP="00152DF6">
      <w:pPr>
        <w:pStyle w:val="Bullet"/>
        <w:numPr>
          <w:ilvl w:val="0"/>
          <w:numId w:val="9"/>
        </w:numPr>
      </w:pPr>
      <w:r>
        <w:t>sulphur dioxide (depending upon the fuel)</w:t>
      </w:r>
    </w:p>
    <w:p w14:paraId="2FA9A2EF" w14:textId="77777777" w:rsidR="00F8738A" w:rsidRDefault="00F8738A" w:rsidP="00152DF6">
      <w:pPr>
        <w:pStyle w:val="Bullet"/>
        <w:numPr>
          <w:ilvl w:val="0"/>
          <w:numId w:val="9"/>
        </w:numPr>
      </w:pPr>
      <w:r>
        <w:t>particulate matter (PM</w:t>
      </w:r>
      <w:r w:rsidRPr="00112534">
        <w:rPr>
          <w:vertAlign w:val="subscript"/>
        </w:rPr>
        <w:t>10</w:t>
      </w:r>
      <w:r w:rsidR="00E2057F">
        <w:t xml:space="preserve"> and PM</w:t>
      </w:r>
      <w:r w:rsidR="00E2057F" w:rsidRPr="00E2057F">
        <w:rPr>
          <w:vertAlign w:val="subscript"/>
        </w:rPr>
        <w:t>2.5</w:t>
      </w:r>
      <w:r>
        <w:t>)</w:t>
      </w:r>
    </w:p>
    <w:p w14:paraId="19DC6C64" w14:textId="77777777" w:rsidR="00F8738A" w:rsidRDefault="00F8738A" w:rsidP="00152DF6">
      <w:pPr>
        <w:pStyle w:val="Bullet"/>
        <w:numPr>
          <w:ilvl w:val="0"/>
          <w:numId w:val="9"/>
        </w:numPr>
      </w:pPr>
      <w:r>
        <w:t>heavy metals</w:t>
      </w:r>
    </w:p>
    <w:p w14:paraId="3836E955" w14:textId="77777777" w:rsidR="00F8738A" w:rsidRDefault="00F8738A" w:rsidP="00152DF6">
      <w:pPr>
        <w:pStyle w:val="Bullet"/>
        <w:numPr>
          <w:ilvl w:val="0"/>
          <w:numId w:val="9"/>
        </w:numPr>
      </w:pPr>
      <w:r>
        <w:t>volatile organic compounds (VOCs)</w:t>
      </w:r>
    </w:p>
    <w:p w14:paraId="2DA233C7" w14:textId="77777777" w:rsidR="00F8738A" w:rsidRDefault="00F8738A" w:rsidP="00152DF6">
      <w:pPr>
        <w:pStyle w:val="Bullet"/>
        <w:numPr>
          <w:ilvl w:val="0"/>
          <w:numId w:val="9"/>
        </w:numPr>
      </w:pPr>
      <w:r>
        <w:t>dioxins.</w:t>
      </w:r>
    </w:p>
    <w:p w14:paraId="42A92139" w14:textId="77777777" w:rsidR="00F8738A" w:rsidRDefault="00F8738A" w:rsidP="00F8738A">
      <w:pPr>
        <w:pStyle w:val="BodyText"/>
      </w:pPr>
    </w:p>
    <w:p w14:paraId="6D6C6FEE" w14:textId="77777777" w:rsidR="00F8738A" w:rsidRDefault="00F8738A" w:rsidP="00F8738A">
      <w:pPr>
        <w:pStyle w:val="BodyText"/>
      </w:pPr>
      <w:r>
        <w:t>It may be necessary to undertake a health risk assessment from these sources.</w:t>
      </w:r>
    </w:p>
    <w:p w14:paraId="740EF0B3" w14:textId="77777777" w:rsidR="006201AD" w:rsidRDefault="006201AD" w:rsidP="006201AD">
      <w:pPr>
        <w:pStyle w:val="Heading5"/>
      </w:pPr>
      <w:r>
        <w:t>Schools</w:t>
      </w:r>
    </w:p>
    <w:p w14:paraId="7C34EAF3" w14:textId="77777777" w:rsidR="004E4C13" w:rsidRDefault="00E2057F" w:rsidP="006201AD">
      <w:pPr>
        <w:pStyle w:val="BodyText"/>
      </w:pPr>
      <w:r>
        <w:t>There are</w:t>
      </w:r>
      <w:r w:rsidR="004E4C13">
        <w:t xml:space="preserve"> 2,</w:t>
      </w:r>
      <w:r>
        <w:t>5</w:t>
      </w:r>
      <w:r w:rsidR="004E4C13">
        <w:t>70 schools in New Zealand; 2,</w:t>
      </w:r>
      <w:r>
        <w:t>142</w:t>
      </w:r>
      <w:r w:rsidR="004E4C13">
        <w:t xml:space="preserve"> of these are state schools, 3</w:t>
      </w:r>
      <w:r>
        <w:t>32</w:t>
      </w:r>
      <w:r w:rsidR="004E4C13">
        <w:t xml:space="preserve"> integrated schools (eg Catholi</w:t>
      </w:r>
      <w:r>
        <w:t>c schools) and approximately 96</w:t>
      </w:r>
      <w:r w:rsidR="004E4C13">
        <w:t xml:space="preserve"> are privately run schools</w:t>
      </w:r>
      <w:r>
        <w:t xml:space="preserve"> (Ministry of Education, 2011)</w:t>
      </w:r>
      <w:r w:rsidR="004E4C13">
        <w:t>.</w:t>
      </w:r>
    </w:p>
    <w:p w14:paraId="15266A16" w14:textId="77777777" w:rsidR="004E4C13" w:rsidRDefault="004E4C13" w:rsidP="006201AD">
      <w:pPr>
        <w:pStyle w:val="BodyText"/>
      </w:pPr>
    </w:p>
    <w:p w14:paraId="7DC08091" w14:textId="77777777" w:rsidR="004C47DC" w:rsidRDefault="004C47DC" w:rsidP="006201AD">
      <w:pPr>
        <w:pStyle w:val="BodyText"/>
      </w:pPr>
      <w:r>
        <w:t xml:space="preserve">The </w:t>
      </w:r>
      <w:r w:rsidRPr="002B0637">
        <w:t>Dioxin Inventory</w:t>
      </w:r>
      <w:r>
        <w:t xml:space="preserve"> (MfE, 2011</w:t>
      </w:r>
      <w:r w:rsidR="002B0637">
        <w:t>a</w:t>
      </w:r>
      <w:r>
        <w:t>) estimates about 90</w:t>
      </w:r>
      <w:r w:rsidR="004C7B6C">
        <w:t xml:space="preserve">% </w:t>
      </w:r>
      <w:r>
        <w:t>of school incinerators closed down due to the</w:t>
      </w:r>
      <w:r w:rsidR="008F2D08">
        <w:t xml:space="preserve"> Regulations banning their use. The </w:t>
      </w:r>
      <w:r w:rsidR="008F2D08" w:rsidRPr="00035C27">
        <w:t xml:space="preserve">2008 Report on Progress: National Environmental Standards </w:t>
      </w:r>
      <w:r w:rsidR="008F2D08">
        <w:t>(MfE, 2009</w:t>
      </w:r>
      <w:r w:rsidR="00035C27">
        <w:t>b)</w:t>
      </w:r>
      <w:r w:rsidR="004E4C13" w:rsidRPr="00DD3370">
        <w:t xml:space="preserve">, </w:t>
      </w:r>
      <w:r w:rsidR="008F2D08">
        <w:t xml:space="preserve">identified that only </w:t>
      </w:r>
      <w:r w:rsidR="004E4C13" w:rsidRPr="00DD3370">
        <w:t>68</w:t>
      </w:r>
      <w:r w:rsidR="006D5585">
        <w:t xml:space="preserve"> schools hold </w:t>
      </w:r>
      <w:r w:rsidR="004E4C13">
        <w:t xml:space="preserve">consent for an incinerator.  </w:t>
      </w:r>
      <w:r w:rsidR="00DD3370">
        <w:t>Most of these</w:t>
      </w:r>
      <w:r w:rsidR="00DD0BF7">
        <w:t xml:space="preserve"> incinerators</w:t>
      </w:r>
      <w:r w:rsidR="00DD3370">
        <w:t xml:space="preserve"> are in small rural schools without easy access to waste collection services or a local waste transfer station. </w:t>
      </w:r>
      <w:r>
        <w:t xml:space="preserve"> </w:t>
      </w:r>
    </w:p>
    <w:p w14:paraId="5D112BD1" w14:textId="77777777" w:rsidR="004C47DC" w:rsidRDefault="004C47DC" w:rsidP="006201AD">
      <w:pPr>
        <w:pStyle w:val="BodyText"/>
      </w:pPr>
    </w:p>
    <w:p w14:paraId="76CAD58D" w14:textId="77777777" w:rsidR="004E4C13" w:rsidRDefault="004E4C13" w:rsidP="006201AD">
      <w:pPr>
        <w:pStyle w:val="BodyText"/>
      </w:pPr>
      <w:r>
        <w:t xml:space="preserve">The cost of obtaining a consent for an incinerator </w:t>
      </w:r>
      <w:r w:rsidR="008D5A99">
        <w:t>can be considerable.</w:t>
      </w:r>
      <w:r w:rsidR="00E2057F">
        <w:t xml:space="preserve"> This is because toxic emissions typically require a significant </w:t>
      </w:r>
      <w:r>
        <w:t>level of assessment</w:t>
      </w:r>
      <w:r w:rsidR="00E2057F">
        <w:t xml:space="preserve">. The cost of preparing </w:t>
      </w:r>
      <w:r w:rsidR="00035C27">
        <w:t>an</w:t>
      </w:r>
      <w:r>
        <w:t xml:space="preserve"> </w:t>
      </w:r>
      <w:r w:rsidR="00035C27">
        <w:t xml:space="preserve">assessment </w:t>
      </w:r>
      <w:r>
        <w:t xml:space="preserve">of </w:t>
      </w:r>
      <w:r w:rsidR="00035C27">
        <w:t xml:space="preserve">environmental effects </w:t>
      </w:r>
      <w:r w:rsidR="00E2057F">
        <w:t>therefore</w:t>
      </w:r>
      <w:r>
        <w:t xml:space="preserve"> can be as high (or higher) than the cost of changing to alternative disposal techniques. The majority of schools now use alternative recycling or disposal options.</w:t>
      </w:r>
    </w:p>
    <w:p w14:paraId="5E6F8040" w14:textId="77777777" w:rsidR="006201AD" w:rsidRDefault="006201AD" w:rsidP="006201AD">
      <w:pPr>
        <w:pStyle w:val="Heading5"/>
      </w:pPr>
      <w:r>
        <w:t>Healthcare institutions</w:t>
      </w:r>
    </w:p>
    <w:p w14:paraId="7698052B" w14:textId="77777777" w:rsidR="004E4C13" w:rsidRDefault="00E2057F" w:rsidP="006201AD">
      <w:pPr>
        <w:pStyle w:val="BodyText"/>
      </w:pPr>
      <w:r>
        <w:t>M</w:t>
      </w:r>
      <w:r w:rsidR="004E4C13">
        <w:t xml:space="preserve">edical wastes can be </w:t>
      </w:r>
      <w:r>
        <w:t xml:space="preserve">successfully </w:t>
      </w:r>
      <w:r w:rsidR="004E4C13">
        <w:t xml:space="preserve">treated by new technologies such as steam </w:t>
      </w:r>
      <w:r w:rsidR="008D5A99">
        <w:t xml:space="preserve">sterilisation and autoclaving. </w:t>
      </w:r>
      <w:r w:rsidR="004E4C13">
        <w:t xml:space="preserve">For the reasons stated above, hospitals </w:t>
      </w:r>
      <w:r w:rsidR="004C47DC">
        <w:t xml:space="preserve">have been </w:t>
      </w:r>
      <w:r w:rsidR="004E4C13">
        <w:t>strongly encouraged to cease incinerati</w:t>
      </w:r>
      <w:r>
        <w:t>ng</w:t>
      </w:r>
      <w:r w:rsidR="004E4C13">
        <w:t xml:space="preserve"> waste</w:t>
      </w:r>
      <w:r>
        <w:t>. S</w:t>
      </w:r>
      <w:r w:rsidR="00112534">
        <w:t xml:space="preserve">ubsequent to the ban coming into force in 2006 there are now no incinerators at </w:t>
      </w:r>
      <w:r w:rsidR="00071167">
        <w:t>public hospitals</w:t>
      </w:r>
      <w:r w:rsidR="00112534">
        <w:t xml:space="preserve"> in New Zealand</w:t>
      </w:r>
      <w:r w:rsidR="004E4C13">
        <w:t>.</w:t>
      </w:r>
    </w:p>
    <w:p w14:paraId="410B2E5E" w14:textId="77777777" w:rsidR="006201AD" w:rsidRDefault="006201AD" w:rsidP="006201AD">
      <w:pPr>
        <w:pStyle w:val="Heading4"/>
      </w:pPr>
      <w:r>
        <w:t>2.2.7</w:t>
      </w:r>
      <w:r>
        <w:tab/>
        <w:t>High-temperature hazardous waste incinerators</w:t>
      </w:r>
    </w:p>
    <w:p w14:paraId="64FEADC7" w14:textId="77777777" w:rsidR="006C6B51" w:rsidRDefault="006C6B51" w:rsidP="00112534">
      <w:pPr>
        <w:pStyle w:val="BodyText"/>
      </w:pPr>
      <w:r>
        <w:t>Regulation 12 specifies:</w:t>
      </w:r>
    </w:p>
    <w:p w14:paraId="195D9F23" w14:textId="77777777" w:rsidR="006C6B51" w:rsidRDefault="006C6B51" w:rsidP="00112534">
      <w:pPr>
        <w:pStyle w:val="BodyText"/>
      </w:pPr>
    </w:p>
    <w:p w14:paraId="37AEAE26" w14:textId="77777777" w:rsidR="006C6B51" w:rsidRPr="00BA7317" w:rsidRDefault="006C6B51" w:rsidP="00112534">
      <w:pPr>
        <w:pStyle w:val="BodyText"/>
        <w:ind w:left="1134" w:hanging="567"/>
        <w:rPr>
          <w:b/>
          <w:i/>
          <w:sz w:val="20"/>
        </w:rPr>
      </w:pPr>
      <w:r>
        <w:rPr>
          <w:b/>
          <w:i/>
          <w:sz w:val="20"/>
        </w:rPr>
        <w:t>12</w:t>
      </w:r>
      <w:r w:rsidRPr="00BA7317">
        <w:rPr>
          <w:b/>
          <w:i/>
          <w:sz w:val="20"/>
        </w:rPr>
        <w:tab/>
      </w:r>
      <w:r>
        <w:rPr>
          <w:b/>
          <w:i/>
          <w:sz w:val="20"/>
        </w:rPr>
        <w:t>High-temperature hazardous waste incinerators</w:t>
      </w:r>
    </w:p>
    <w:p w14:paraId="435BB6A1" w14:textId="77777777" w:rsidR="006C6B51" w:rsidRPr="00BA7317" w:rsidRDefault="006C6B51" w:rsidP="00112534">
      <w:pPr>
        <w:pStyle w:val="BodyText"/>
        <w:ind w:left="1134" w:hanging="567"/>
        <w:rPr>
          <w:i/>
          <w:sz w:val="20"/>
        </w:rPr>
      </w:pPr>
      <w:r w:rsidRPr="00BA7317">
        <w:rPr>
          <w:i/>
          <w:sz w:val="20"/>
        </w:rPr>
        <w:t>(1)</w:t>
      </w:r>
      <w:r w:rsidRPr="00BA7317">
        <w:rPr>
          <w:i/>
          <w:sz w:val="20"/>
        </w:rPr>
        <w:tab/>
        <w:t xml:space="preserve">The </w:t>
      </w:r>
      <w:r>
        <w:rPr>
          <w:i/>
          <w:sz w:val="20"/>
        </w:rPr>
        <w:t>operation of a high-temperature hazardous waste incinerator is</w:t>
      </w:r>
      <w:r w:rsidRPr="00BA7317">
        <w:rPr>
          <w:i/>
          <w:sz w:val="20"/>
        </w:rPr>
        <w:t xml:space="preserve"> prohibited.</w:t>
      </w:r>
    </w:p>
    <w:p w14:paraId="307A1BA0" w14:textId="77777777" w:rsidR="006C6B51" w:rsidRPr="00BA7317" w:rsidRDefault="006C6B51" w:rsidP="00112534">
      <w:pPr>
        <w:pStyle w:val="BodyText"/>
        <w:ind w:left="1134" w:hanging="567"/>
        <w:rPr>
          <w:i/>
          <w:sz w:val="20"/>
        </w:rPr>
      </w:pPr>
      <w:r w:rsidRPr="00BA7317">
        <w:rPr>
          <w:i/>
          <w:sz w:val="20"/>
        </w:rPr>
        <w:t>(2)</w:t>
      </w:r>
      <w:r w:rsidRPr="00BA7317">
        <w:rPr>
          <w:i/>
          <w:sz w:val="20"/>
        </w:rPr>
        <w:tab/>
        <w:t xml:space="preserve">Subclause (1) does not apply if </w:t>
      </w:r>
      <w:r>
        <w:rPr>
          <w:i/>
          <w:sz w:val="20"/>
        </w:rPr>
        <w:t xml:space="preserve">the incinerator </w:t>
      </w:r>
      <w:r w:rsidRPr="00BA7317">
        <w:rPr>
          <w:i/>
          <w:sz w:val="20"/>
        </w:rPr>
        <w:t xml:space="preserve">– </w:t>
      </w:r>
    </w:p>
    <w:p w14:paraId="57829A7F" w14:textId="77777777" w:rsidR="006C6B51" w:rsidRDefault="006C6B51" w:rsidP="00112534">
      <w:pPr>
        <w:pStyle w:val="BodyText"/>
        <w:ind w:left="1701" w:hanging="567"/>
        <w:rPr>
          <w:i/>
          <w:sz w:val="20"/>
        </w:rPr>
      </w:pPr>
      <w:r w:rsidRPr="00BA7317">
        <w:rPr>
          <w:i/>
          <w:sz w:val="20"/>
        </w:rPr>
        <w:t>(a)</w:t>
      </w:r>
      <w:r w:rsidRPr="00BA7317">
        <w:rPr>
          <w:i/>
          <w:sz w:val="20"/>
        </w:rPr>
        <w:tab/>
      </w:r>
      <w:r>
        <w:rPr>
          <w:i/>
          <w:sz w:val="20"/>
        </w:rPr>
        <w:t>is a crematorium; or</w:t>
      </w:r>
    </w:p>
    <w:p w14:paraId="486DDE04" w14:textId="77777777" w:rsidR="006C6B51" w:rsidRDefault="006C6B51" w:rsidP="00112534">
      <w:pPr>
        <w:pStyle w:val="BodyText"/>
        <w:ind w:left="1701" w:hanging="567"/>
        <w:rPr>
          <w:i/>
          <w:sz w:val="20"/>
        </w:rPr>
      </w:pPr>
      <w:r>
        <w:rPr>
          <w:i/>
          <w:sz w:val="20"/>
        </w:rPr>
        <w:t>(d)</w:t>
      </w:r>
      <w:r>
        <w:rPr>
          <w:i/>
          <w:sz w:val="20"/>
        </w:rPr>
        <w:tab/>
        <w:t>is operating at the following places:</w:t>
      </w:r>
    </w:p>
    <w:p w14:paraId="39EB1E2A" w14:textId="77777777" w:rsidR="006C6B51" w:rsidRDefault="006C6B51" w:rsidP="00112534">
      <w:pPr>
        <w:pStyle w:val="BodyText"/>
        <w:ind w:left="1701" w:hanging="567"/>
        <w:rPr>
          <w:i/>
          <w:sz w:val="20"/>
        </w:rPr>
      </w:pPr>
      <w:r>
        <w:rPr>
          <w:i/>
          <w:sz w:val="20"/>
        </w:rPr>
        <w:t xml:space="preserve"> (i)</w:t>
      </w:r>
      <w:r>
        <w:rPr>
          <w:i/>
          <w:sz w:val="20"/>
        </w:rPr>
        <w:tab/>
        <w:t>89 Paritutu Road, New Plymouth</w:t>
      </w:r>
      <w:r w:rsidR="003226E2">
        <w:rPr>
          <w:i/>
          <w:sz w:val="20"/>
        </w:rPr>
        <w:t>:</w:t>
      </w:r>
      <w:r>
        <w:rPr>
          <w:i/>
          <w:sz w:val="20"/>
        </w:rPr>
        <w:t xml:space="preserve"> </w:t>
      </w:r>
    </w:p>
    <w:p w14:paraId="0BF0FB84" w14:textId="77777777" w:rsidR="006C6B51" w:rsidRDefault="006C6B51" w:rsidP="00112534">
      <w:pPr>
        <w:pStyle w:val="BodyText"/>
        <w:ind w:left="1701" w:hanging="567"/>
        <w:rPr>
          <w:i/>
          <w:sz w:val="20"/>
        </w:rPr>
      </w:pPr>
      <w:r>
        <w:rPr>
          <w:i/>
          <w:sz w:val="20"/>
        </w:rPr>
        <w:t>(ii)</w:t>
      </w:r>
      <w:r>
        <w:rPr>
          <w:i/>
          <w:sz w:val="20"/>
        </w:rPr>
        <w:tab/>
        <w:t>816 Wairakei Road, Christchurch</w:t>
      </w:r>
      <w:r w:rsidR="003226E2">
        <w:rPr>
          <w:i/>
          <w:sz w:val="20"/>
        </w:rPr>
        <w:t>:</w:t>
      </w:r>
      <w:r>
        <w:rPr>
          <w:i/>
          <w:sz w:val="20"/>
        </w:rPr>
        <w:t xml:space="preserve"> </w:t>
      </w:r>
    </w:p>
    <w:p w14:paraId="36EDAAA8" w14:textId="77777777" w:rsidR="006C6B51" w:rsidRDefault="006C6B51" w:rsidP="00112534">
      <w:pPr>
        <w:pStyle w:val="BodyText"/>
        <w:ind w:left="1701" w:hanging="567"/>
        <w:rPr>
          <w:i/>
          <w:sz w:val="20"/>
        </w:rPr>
      </w:pPr>
      <w:r>
        <w:rPr>
          <w:i/>
          <w:sz w:val="20"/>
        </w:rPr>
        <w:t>(iii)</w:t>
      </w:r>
      <w:r>
        <w:rPr>
          <w:i/>
          <w:sz w:val="20"/>
        </w:rPr>
        <w:tab/>
        <w:t>Hape Drive (perimeter road), Auckland International Airport</w:t>
      </w:r>
      <w:r w:rsidR="003226E2">
        <w:rPr>
          <w:i/>
          <w:sz w:val="20"/>
        </w:rPr>
        <w:t>, Auckland</w:t>
      </w:r>
      <w:r>
        <w:rPr>
          <w:i/>
          <w:sz w:val="20"/>
        </w:rPr>
        <w:t>.</w:t>
      </w:r>
    </w:p>
    <w:p w14:paraId="56B8AF3E" w14:textId="77777777" w:rsidR="006C6B51" w:rsidRDefault="006C6B51" w:rsidP="00112534">
      <w:pPr>
        <w:ind w:left="1134" w:hanging="567"/>
      </w:pPr>
    </w:p>
    <w:p w14:paraId="0627D0EB" w14:textId="77777777" w:rsidR="006C6B51" w:rsidRDefault="006C6B51" w:rsidP="00112534">
      <w:r>
        <w:t>Regulation 3 defines a high temperature hazardous waste incinerator as:</w:t>
      </w:r>
    </w:p>
    <w:p w14:paraId="4086705B" w14:textId="77777777" w:rsidR="006C6B51" w:rsidRDefault="006C6B51" w:rsidP="00112534"/>
    <w:p w14:paraId="00913A9D" w14:textId="77777777" w:rsidR="006C6B51" w:rsidRDefault="006C6B51" w:rsidP="00112534">
      <w:pPr>
        <w:pStyle w:val="Sub-list"/>
        <w:tabs>
          <w:tab w:val="clear" w:pos="397"/>
          <w:tab w:val="clear" w:pos="794"/>
        </w:tabs>
        <w:spacing w:before="0"/>
        <w:ind w:left="567"/>
        <w:rPr>
          <w:i/>
          <w:sz w:val="20"/>
        </w:rPr>
      </w:pPr>
      <w:r>
        <w:rPr>
          <w:b/>
          <w:i/>
          <w:sz w:val="20"/>
        </w:rPr>
        <w:t>High temperature hazardous waste incinerator</w:t>
      </w:r>
      <w:r w:rsidRPr="00AE268F">
        <w:rPr>
          <w:i/>
          <w:sz w:val="20"/>
        </w:rPr>
        <w:t xml:space="preserve"> </w:t>
      </w:r>
      <w:r>
        <w:rPr>
          <w:i/>
          <w:sz w:val="20"/>
        </w:rPr>
        <w:t xml:space="preserve">means an incinerator that is designed and operated principally for burning hazardous waste at a temperature greater than 850°C as measured – </w:t>
      </w:r>
    </w:p>
    <w:p w14:paraId="5E824D8F" w14:textId="77777777" w:rsidR="006C6B51" w:rsidRDefault="006C6B51" w:rsidP="00112534">
      <w:pPr>
        <w:pStyle w:val="Sub-list"/>
        <w:tabs>
          <w:tab w:val="clear" w:pos="397"/>
          <w:tab w:val="clear" w:pos="794"/>
        </w:tabs>
        <w:spacing w:before="0"/>
        <w:ind w:left="1134" w:hanging="567"/>
        <w:rPr>
          <w:i/>
          <w:sz w:val="20"/>
        </w:rPr>
      </w:pPr>
      <w:r w:rsidRPr="006C6B51">
        <w:rPr>
          <w:i/>
          <w:sz w:val="20"/>
        </w:rPr>
        <w:t>(a)</w:t>
      </w:r>
      <w:r w:rsidRPr="006C6B51">
        <w:rPr>
          <w:i/>
          <w:sz w:val="20"/>
        </w:rPr>
        <w:tab/>
        <w:t>near</w:t>
      </w:r>
      <w:r>
        <w:rPr>
          <w:i/>
          <w:sz w:val="20"/>
        </w:rPr>
        <w:t xml:space="preserve"> the inner wall of the incinerator; or</w:t>
      </w:r>
    </w:p>
    <w:p w14:paraId="47E64D74" w14:textId="77777777" w:rsidR="006C6B51" w:rsidRDefault="006C6B51" w:rsidP="00112534">
      <w:pPr>
        <w:pStyle w:val="Sub-list"/>
        <w:tabs>
          <w:tab w:val="clear" w:pos="397"/>
          <w:tab w:val="clear" w:pos="794"/>
          <w:tab w:val="left" w:pos="851"/>
        </w:tabs>
        <w:spacing w:before="0"/>
        <w:ind w:left="1134" w:hanging="567"/>
        <w:rPr>
          <w:i/>
          <w:sz w:val="20"/>
        </w:rPr>
      </w:pPr>
      <w:r>
        <w:rPr>
          <w:i/>
          <w:sz w:val="20"/>
        </w:rPr>
        <w:t>(b)</w:t>
      </w:r>
      <w:r>
        <w:rPr>
          <w:i/>
          <w:sz w:val="20"/>
        </w:rPr>
        <w:tab/>
      </w:r>
      <w:r w:rsidR="00112534">
        <w:rPr>
          <w:i/>
          <w:sz w:val="20"/>
        </w:rPr>
        <w:tab/>
      </w:r>
      <w:r>
        <w:rPr>
          <w:i/>
          <w:sz w:val="20"/>
        </w:rPr>
        <w:t>at another point in the combustion chamber where the temperature is likely to represent the temperature in the incinerator</w:t>
      </w:r>
    </w:p>
    <w:p w14:paraId="69362CA9" w14:textId="77777777" w:rsidR="00966BB6" w:rsidRDefault="00966BB6" w:rsidP="00112534">
      <w:pPr>
        <w:pStyle w:val="Sub-list"/>
        <w:tabs>
          <w:tab w:val="clear" w:pos="397"/>
          <w:tab w:val="clear" w:pos="794"/>
          <w:tab w:val="left" w:pos="851"/>
        </w:tabs>
        <w:spacing w:before="0"/>
        <w:ind w:left="1134" w:hanging="737"/>
        <w:rPr>
          <w:i/>
          <w:sz w:val="20"/>
        </w:rPr>
      </w:pPr>
    </w:p>
    <w:p w14:paraId="5E5C4136" w14:textId="77777777" w:rsidR="00966BB6" w:rsidRDefault="00966BB6" w:rsidP="00112534">
      <w:r>
        <w:t>Hazardous waste is also defined in Regulation 3 as:</w:t>
      </w:r>
    </w:p>
    <w:p w14:paraId="143E8B16" w14:textId="77777777" w:rsidR="00966BB6" w:rsidRDefault="00966BB6" w:rsidP="00112534">
      <w:pPr>
        <w:pStyle w:val="Sub-list"/>
        <w:tabs>
          <w:tab w:val="clear" w:pos="397"/>
          <w:tab w:val="clear" w:pos="794"/>
          <w:tab w:val="left" w:pos="851"/>
        </w:tabs>
        <w:spacing w:before="0"/>
        <w:ind w:left="1134" w:hanging="737"/>
        <w:rPr>
          <w:i/>
          <w:sz w:val="20"/>
        </w:rPr>
      </w:pPr>
    </w:p>
    <w:p w14:paraId="3E6A95FF" w14:textId="77777777" w:rsidR="00966BB6" w:rsidRDefault="00966BB6" w:rsidP="00112534">
      <w:pPr>
        <w:pStyle w:val="Sub-list"/>
        <w:tabs>
          <w:tab w:val="clear" w:pos="397"/>
          <w:tab w:val="clear" w:pos="794"/>
          <w:tab w:val="left" w:pos="-2268"/>
        </w:tabs>
        <w:spacing w:before="0"/>
        <w:ind w:left="1134" w:hanging="567"/>
        <w:rPr>
          <w:i/>
          <w:sz w:val="20"/>
        </w:rPr>
      </w:pPr>
      <w:r w:rsidRPr="00966BB6">
        <w:rPr>
          <w:b/>
          <w:i/>
          <w:sz w:val="20"/>
        </w:rPr>
        <w:t>Hazardous waste</w:t>
      </w:r>
      <w:r>
        <w:rPr>
          <w:i/>
          <w:sz w:val="20"/>
        </w:rPr>
        <w:t xml:space="preserve"> means waste that – </w:t>
      </w:r>
    </w:p>
    <w:p w14:paraId="1A092AA9" w14:textId="77777777" w:rsidR="00966BB6" w:rsidRDefault="00966BB6" w:rsidP="00112534">
      <w:pPr>
        <w:pStyle w:val="Sub-list"/>
        <w:tabs>
          <w:tab w:val="clear" w:pos="397"/>
          <w:tab w:val="clear" w:pos="794"/>
          <w:tab w:val="left" w:pos="-2268"/>
        </w:tabs>
        <w:spacing w:before="0"/>
        <w:ind w:left="1134" w:hanging="567"/>
        <w:rPr>
          <w:i/>
          <w:sz w:val="20"/>
        </w:rPr>
      </w:pPr>
      <w:r>
        <w:rPr>
          <w:i/>
          <w:sz w:val="20"/>
        </w:rPr>
        <w:t>(a)</w:t>
      </w:r>
      <w:r>
        <w:rPr>
          <w:i/>
          <w:sz w:val="20"/>
        </w:rPr>
        <w:tab/>
        <w:t>belongs to 1 or more of the categories in Annex I of the Basel Convention; and</w:t>
      </w:r>
    </w:p>
    <w:p w14:paraId="6CB652C2" w14:textId="77777777" w:rsidR="00966BB6" w:rsidRDefault="00966BB6" w:rsidP="00112534">
      <w:pPr>
        <w:pStyle w:val="Sub-list"/>
        <w:tabs>
          <w:tab w:val="clear" w:pos="397"/>
          <w:tab w:val="clear" w:pos="794"/>
          <w:tab w:val="left" w:pos="-2268"/>
        </w:tabs>
        <w:spacing w:before="0"/>
        <w:ind w:left="1134" w:hanging="567"/>
        <w:rPr>
          <w:i/>
          <w:sz w:val="20"/>
        </w:rPr>
      </w:pPr>
      <w:r>
        <w:rPr>
          <w:i/>
          <w:sz w:val="20"/>
        </w:rPr>
        <w:t>(b)</w:t>
      </w:r>
      <w:r>
        <w:rPr>
          <w:i/>
          <w:sz w:val="20"/>
        </w:rPr>
        <w:tab/>
        <w:t>has 1 or more of the characteristics in Annex III of that Convention.</w:t>
      </w:r>
    </w:p>
    <w:p w14:paraId="2991D39D" w14:textId="77777777" w:rsidR="00966BB6" w:rsidRDefault="00966BB6" w:rsidP="00112534">
      <w:pPr>
        <w:pStyle w:val="Sub-list"/>
        <w:tabs>
          <w:tab w:val="clear" w:pos="397"/>
          <w:tab w:val="clear" w:pos="794"/>
          <w:tab w:val="left" w:pos="851"/>
        </w:tabs>
        <w:spacing w:before="0"/>
        <w:ind w:left="0"/>
      </w:pPr>
    </w:p>
    <w:p w14:paraId="5A7000AE" w14:textId="77777777" w:rsidR="00966BB6" w:rsidRPr="006C6B51" w:rsidRDefault="00966BB6" w:rsidP="00112534">
      <w:pPr>
        <w:pStyle w:val="Sub-list"/>
        <w:tabs>
          <w:tab w:val="clear" w:pos="397"/>
          <w:tab w:val="clear" w:pos="794"/>
          <w:tab w:val="left" w:pos="851"/>
        </w:tabs>
        <w:spacing w:before="0"/>
        <w:ind w:left="0"/>
      </w:pPr>
      <w:r>
        <w:t xml:space="preserve">The </w:t>
      </w:r>
      <w:r w:rsidR="004F7069">
        <w:t xml:space="preserve">Basel Convention on the Control of Transboundary Movements of Hazardous Wastes and their Disposal </w:t>
      </w:r>
      <w:r>
        <w:t xml:space="preserve">and its Annexes are given in Appendix </w:t>
      </w:r>
      <w:r w:rsidR="00035C27">
        <w:t>1</w:t>
      </w:r>
      <w:r>
        <w:t xml:space="preserve"> of this report and can be viewed at </w:t>
      </w:r>
      <w:hyperlink r:id="rId31" w:history="1">
        <w:r w:rsidR="007939B6" w:rsidRPr="007939B6">
          <w:rPr>
            <w:rStyle w:val="Hyperlink"/>
            <w:color w:val="auto"/>
          </w:rPr>
          <w:t>www.basel.int/text/17Jun2010-conv-e.pdf</w:t>
        </w:r>
      </w:hyperlink>
      <w:r w:rsidR="00035C27">
        <w:rPr>
          <w:rStyle w:val="Hyperlink"/>
          <w:color w:val="auto"/>
        </w:rPr>
        <w:t xml:space="preserve"> (Secretariat of the Basel Convention</w:t>
      </w:r>
      <w:r w:rsidR="00F07A0E">
        <w:rPr>
          <w:rStyle w:val="Hyperlink"/>
          <w:color w:val="auto"/>
        </w:rPr>
        <w:t>, 1992)</w:t>
      </w:r>
      <w:r w:rsidR="00112534">
        <w:rPr>
          <w:rStyle w:val="Hyperlink"/>
          <w:color w:val="auto"/>
        </w:rPr>
        <w:t>.</w:t>
      </w:r>
      <w:r w:rsidR="007939B6" w:rsidRPr="007939B6">
        <w:t xml:space="preserve"> </w:t>
      </w:r>
    </w:p>
    <w:p w14:paraId="15D6FA77" w14:textId="77777777" w:rsidR="006201AD" w:rsidRDefault="006201AD" w:rsidP="00D3498E">
      <w:pPr>
        <w:pStyle w:val="Heading5"/>
        <w:keepNext/>
      </w:pPr>
      <w:r>
        <w:t>Amendments</w:t>
      </w:r>
    </w:p>
    <w:p w14:paraId="7353663E" w14:textId="77777777" w:rsidR="007939B6" w:rsidRDefault="007939B6" w:rsidP="00D3498E">
      <w:pPr>
        <w:pStyle w:val="BodyText"/>
        <w:keepNext/>
      </w:pPr>
      <w:r>
        <w:t xml:space="preserve">The definition of hazardous waste was amended in August </w:t>
      </w:r>
      <w:r w:rsidR="00646E36">
        <w:t>2</w:t>
      </w:r>
      <w:r>
        <w:t>005 to align with the definition of hazardous waste in the Basel Convention.</w:t>
      </w:r>
    </w:p>
    <w:p w14:paraId="61864F82" w14:textId="77777777" w:rsidR="006201AD" w:rsidRDefault="006201AD" w:rsidP="006201AD">
      <w:pPr>
        <w:pStyle w:val="Heading5"/>
      </w:pPr>
      <w:r>
        <w:t>Implementation</w:t>
      </w:r>
    </w:p>
    <w:p w14:paraId="78A51925" w14:textId="77777777" w:rsidR="006201AD" w:rsidRDefault="001C76C4" w:rsidP="006201AD">
      <w:pPr>
        <w:pStyle w:val="BodyText"/>
      </w:pPr>
      <w:r>
        <w:t xml:space="preserve">This </w:t>
      </w:r>
      <w:r w:rsidR="00D752E1">
        <w:t>Regulation</w:t>
      </w:r>
      <w:r>
        <w:t xml:space="preserve"> prohibits any </w:t>
      </w:r>
      <w:r w:rsidRPr="00C644AC">
        <w:rPr>
          <w:b/>
        </w:rPr>
        <w:t>new</w:t>
      </w:r>
      <w:r>
        <w:t xml:space="preserve"> high temperature hazardous waste incinerators operated for the principle purpose of the destruction of hazardous wastes</w:t>
      </w:r>
      <w:r w:rsidR="00C644AC">
        <w:t>. It</w:t>
      </w:r>
      <w:r w:rsidR="00624E59">
        <w:t xml:space="preserve"> has applied since 8 October 2004</w:t>
      </w:r>
      <w:r>
        <w:t>.</w:t>
      </w:r>
      <w:r w:rsidR="00F3133E">
        <w:t xml:space="preserve"> </w:t>
      </w:r>
      <w:r w:rsidR="00624E59">
        <w:t xml:space="preserve">Low temperature incinerators are not included within the </w:t>
      </w:r>
      <w:r w:rsidR="00D752E1">
        <w:t>Regulation</w:t>
      </w:r>
      <w:r w:rsidR="00624E59">
        <w:t>.</w:t>
      </w:r>
    </w:p>
    <w:p w14:paraId="70C2A85C" w14:textId="77777777" w:rsidR="001C76C4" w:rsidRDefault="001C76C4" w:rsidP="006201AD">
      <w:pPr>
        <w:pStyle w:val="BodyText"/>
      </w:pPr>
    </w:p>
    <w:p w14:paraId="76C1BE71" w14:textId="77777777" w:rsidR="00D00EC3" w:rsidRDefault="001C76C4" w:rsidP="00D00EC3">
      <w:pPr>
        <w:pStyle w:val="BodyText"/>
      </w:pPr>
      <w:r>
        <w:t xml:space="preserve">An exemption was provided for three high temperature hazardous waste incinerators operating in New Zealand at the time of the </w:t>
      </w:r>
      <w:r w:rsidR="00D752E1">
        <w:t>Regulation</w:t>
      </w:r>
      <w:r w:rsidR="00F8591A">
        <w:t xml:space="preserve"> coming into force in 2004. </w:t>
      </w:r>
      <w:r>
        <w:t>Since then the Christchurch and Auckland</w:t>
      </w:r>
      <w:r w:rsidR="00F8591A">
        <w:t xml:space="preserve"> incinerators have both closed.</w:t>
      </w:r>
      <w:r>
        <w:t xml:space="preserve"> </w:t>
      </w:r>
      <w:r w:rsidR="00D00EC3">
        <w:t>The Regulations do not allow any</w:t>
      </w:r>
      <w:r>
        <w:t xml:space="preserve"> </w:t>
      </w:r>
      <w:r w:rsidR="00F8591A">
        <w:t xml:space="preserve">new facilities on other sites. </w:t>
      </w:r>
      <w:r>
        <w:t>The remaining incinerator in New Plymouth will continue to operate under the</w:t>
      </w:r>
      <w:r w:rsidR="00F8591A">
        <w:t xml:space="preserve"> terms of its resource consent.</w:t>
      </w:r>
      <w:r>
        <w:t xml:space="preserve"> Upon the expiry of this consent, the operators can apply for a new consent to continue operating – this is not prohibited by the </w:t>
      </w:r>
      <w:r w:rsidR="008A1EB6">
        <w:t>Regulations</w:t>
      </w:r>
      <w:r>
        <w:t>.</w:t>
      </w:r>
      <w:r w:rsidR="00D00EC3">
        <w:t xml:space="preserve">  Regulation 5(2) states that the incinerator requires a discretionary consent</w:t>
      </w:r>
      <w:r w:rsidR="00D00EC3" w:rsidRPr="00D3498E">
        <w:t xml:space="preserve">, unless a rule in </w:t>
      </w:r>
      <w:r w:rsidR="00D00EC3">
        <w:t>the regional plan for Taranaki</w:t>
      </w:r>
      <w:r w:rsidR="00D00EC3" w:rsidRPr="00D3498E">
        <w:t xml:space="preserve"> is stricter in which case the regional rule status will prevail</w:t>
      </w:r>
      <w:r w:rsidR="00D00EC3">
        <w:t xml:space="preserve"> </w:t>
      </w:r>
      <w:r w:rsidR="00D00EC3" w:rsidRPr="00DD3370">
        <w:t>(</w:t>
      </w:r>
      <w:r w:rsidR="00D00EC3">
        <w:t>Regulation 28).</w:t>
      </w:r>
    </w:p>
    <w:p w14:paraId="01B3D9FC" w14:textId="77777777" w:rsidR="001C76C4" w:rsidRDefault="001C76C4" w:rsidP="006201AD">
      <w:pPr>
        <w:pStyle w:val="BodyText"/>
      </w:pPr>
    </w:p>
    <w:p w14:paraId="6BBE3F6F" w14:textId="77777777" w:rsidR="00192D07" w:rsidRDefault="001C76C4" w:rsidP="006201AD">
      <w:pPr>
        <w:pStyle w:val="BodyText"/>
      </w:pPr>
      <w:r>
        <w:t xml:space="preserve">The definition of incinerator is </w:t>
      </w:r>
      <w:r w:rsidRPr="00F423DE">
        <w:rPr>
          <w:szCs w:val="22"/>
        </w:rPr>
        <w:t>‘</w:t>
      </w:r>
      <w:r w:rsidRPr="00F423DE">
        <w:rPr>
          <w:i/>
          <w:szCs w:val="22"/>
        </w:rPr>
        <w:t xml:space="preserve">an incinerator that is designed and operated </w:t>
      </w:r>
      <w:r w:rsidRPr="00F423DE">
        <w:rPr>
          <w:i/>
          <w:szCs w:val="22"/>
          <w:u w:val="single"/>
        </w:rPr>
        <w:t>principally</w:t>
      </w:r>
      <w:r w:rsidRPr="00F423DE">
        <w:rPr>
          <w:i/>
          <w:szCs w:val="22"/>
        </w:rPr>
        <w:t xml:space="preserve"> for burning hazardous waste…</w:t>
      </w:r>
      <w:r w:rsidRPr="00F423DE">
        <w:rPr>
          <w:szCs w:val="22"/>
        </w:rPr>
        <w:t>’</w:t>
      </w:r>
      <w:r>
        <w:t xml:space="preserve">. This </w:t>
      </w:r>
      <w:r w:rsidR="00D752E1">
        <w:t>Regulation</w:t>
      </w:r>
      <w:r w:rsidR="00192D07">
        <w:t xml:space="preserve"> does not apply to metal plants, cement kilns and other industries that burn waste (eg tyres, used oil and pot liners from aluminium smelters) at high temperatures as a fuel sou</w:t>
      </w:r>
      <w:r w:rsidR="008D5A99">
        <w:t>rce.</w:t>
      </w:r>
    </w:p>
    <w:p w14:paraId="7C946994" w14:textId="77777777" w:rsidR="00192D07" w:rsidRDefault="00192D07" w:rsidP="006201AD">
      <w:pPr>
        <w:pStyle w:val="BodyText"/>
      </w:pPr>
    </w:p>
    <w:p w14:paraId="64A34508" w14:textId="77777777" w:rsidR="001C76C4" w:rsidRDefault="00192D07" w:rsidP="006201AD">
      <w:pPr>
        <w:pStyle w:val="BodyText"/>
      </w:pPr>
      <w:r>
        <w:t xml:space="preserve">The </w:t>
      </w:r>
      <w:r w:rsidR="00D752E1">
        <w:t>Regulation</w:t>
      </w:r>
      <w:r>
        <w:t xml:space="preserve"> also</w:t>
      </w:r>
      <w:r w:rsidR="00F423DE">
        <w:t xml:space="preserve"> does not apply to</w:t>
      </w:r>
      <w:r w:rsidR="00880EC5">
        <w:t xml:space="preserve"> cre</w:t>
      </w:r>
      <w:r w:rsidR="00F423DE">
        <w:t>matoria</w:t>
      </w:r>
      <w:r w:rsidR="00880EC5">
        <w:t xml:space="preserve">, </w:t>
      </w:r>
      <w:r>
        <w:t>incinerators converting municipal waste to energy</w:t>
      </w:r>
      <w:r w:rsidR="00880EC5">
        <w:t>, or the vitrification of sewage sludge</w:t>
      </w:r>
      <w:r w:rsidR="00F8591A">
        <w:t>.</w:t>
      </w:r>
      <w:r>
        <w:t xml:space="preserve"> Any of these activities are subject to the relevant regional plan rules. </w:t>
      </w:r>
    </w:p>
    <w:p w14:paraId="669C1DE5" w14:textId="77777777" w:rsidR="00192D07" w:rsidRDefault="00192D07" w:rsidP="006201AD">
      <w:pPr>
        <w:pStyle w:val="BodyText"/>
      </w:pPr>
    </w:p>
    <w:p w14:paraId="0E33B9CE" w14:textId="77777777" w:rsidR="00624E59" w:rsidRDefault="007A0E18" w:rsidP="006201AD">
      <w:pPr>
        <w:pStyle w:val="BodyText"/>
      </w:pPr>
      <w:r>
        <w:t xml:space="preserve">Part 6 of the Biosecurity Act 1993 makes emergency provisions for events such as </w:t>
      </w:r>
      <w:r w:rsidR="00624E59">
        <w:t>exotic animal disease outbreaks and other biosecurity risks, such as foot and mouth disease</w:t>
      </w:r>
      <w:r>
        <w:t>. Accordingly,</w:t>
      </w:r>
      <w:r w:rsidR="00624E59">
        <w:t xml:space="preserve"> t</w:t>
      </w:r>
      <w:r w:rsidR="00192D07">
        <w:t xml:space="preserve">he </w:t>
      </w:r>
      <w:r w:rsidR="00A81C7A">
        <w:t>Ministry of Primary Industries</w:t>
      </w:r>
      <w:r w:rsidR="00624E59">
        <w:t xml:space="preserve"> </w:t>
      </w:r>
      <w:r>
        <w:t>can be</w:t>
      </w:r>
      <w:r w:rsidR="00624E59">
        <w:t xml:space="preserve"> exempt</w:t>
      </w:r>
      <w:r>
        <w:t>ed from R</w:t>
      </w:r>
      <w:r w:rsidR="00624E59">
        <w:t xml:space="preserve">egulation </w:t>
      </w:r>
      <w:r>
        <w:t>12</w:t>
      </w:r>
      <w:r w:rsidR="00624E59">
        <w:t>.</w:t>
      </w:r>
    </w:p>
    <w:p w14:paraId="716BBE9E" w14:textId="77777777" w:rsidR="00624E59" w:rsidRDefault="00624E59" w:rsidP="006201AD">
      <w:pPr>
        <w:pStyle w:val="BodyText"/>
      </w:pPr>
    </w:p>
    <w:p w14:paraId="4D7CA8BC" w14:textId="77777777" w:rsidR="00192D07" w:rsidRDefault="00624E59" w:rsidP="006201AD">
      <w:pPr>
        <w:pStyle w:val="BodyText"/>
      </w:pPr>
      <w:r>
        <w:t xml:space="preserve">Similarly, the New Zealand Defence Force </w:t>
      </w:r>
      <w:r w:rsidR="007A0E18">
        <w:t>has</w:t>
      </w:r>
      <w:r>
        <w:t xml:space="preserve"> exempt</w:t>
      </w:r>
      <w:r w:rsidR="007A0E18">
        <w:t>ion provisions</w:t>
      </w:r>
      <w:r>
        <w:t xml:space="preserve"> under the RMA</w:t>
      </w:r>
      <w:r w:rsidR="007A0E18">
        <w:t>. T</w:t>
      </w:r>
      <w:r>
        <w:t>his would include the operation of a specialist ammunition and</w:t>
      </w:r>
      <w:r w:rsidR="008D5A99">
        <w:t xml:space="preserve"> explosives disposal facility.</w:t>
      </w:r>
    </w:p>
    <w:p w14:paraId="42621F85" w14:textId="77777777" w:rsidR="00006C58" w:rsidRDefault="00006C58" w:rsidP="006201AD">
      <w:pPr>
        <w:pStyle w:val="BodyText"/>
      </w:pPr>
    </w:p>
    <w:p w14:paraId="49600862" w14:textId="77777777" w:rsidR="00F85089" w:rsidRDefault="00880EC5" w:rsidP="0056341B">
      <w:pPr>
        <w:pStyle w:val="Heading2"/>
      </w:pPr>
      <w:bookmarkStart w:id="26" w:name="_Toc300856591"/>
      <w:r>
        <w:t>2.3</w:t>
      </w:r>
      <w:r>
        <w:tab/>
      </w:r>
      <w:r>
        <w:tab/>
      </w:r>
      <w:r w:rsidR="00F85089">
        <w:t xml:space="preserve">How </w:t>
      </w:r>
      <w:r w:rsidR="00E23A39">
        <w:t xml:space="preserve">do </w:t>
      </w:r>
      <w:r w:rsidR="00F85089">
        <w:t>the bans work in practice</w:t>
      </w:r>
      <w:bookmarkEnd w:id="26"/>
    </w:p>
    <w:p w14:paraId="042E73FE" w14:textId="77777777" w:rsidR="00E23A39" w:rsidRDefault="00E23A39" w:rsidP="006201AD">
      <w:pPr>
        <w:pStyle w:val="BodyText"/>
      </w:pPr>
      <w:r>
        <w:t>Regulations 4, 5 and 28 outline how the bans apply.</w:t>
      </w:r>
    </w:p>
    <w:p w14:paraId="05248954" w14:textId="77777777" w:rsidR="00E23A39" w:rsidRDefault="00E23A39" w:rsidP="006201AD">
      <w:pPr>
        <w:pStyle w:val="BodyText"/>
      </w:pPr>
    </w:p>
    <w:p w14:paraId="65B51BE1" w14:textId="77777777" w:rsidR="00CD0767" w:rsidRDefault="00CD0767">
      <w:pPr>
        <w:jc w:val="left"/>
        <w:rPr>
          <w:b/>
          <w:i/>
          <w:sz w:val="20"/>
        </w:rPr>
      </w:pPr>
      <w:r>
        <w:rPr>
          <w:b/>
          <w:i/>
          <w:sz w:val="20"/>
        </w:rPr>
        <w:br w:type="page"/>
      </w:r>
    </w:p>
    <w:p w14:paraId="6FFB61B3" w14:textId="77777777" w:rsidR="00E23A39" w:rsidRPr="000A591B" w:rsidRDefault="00E23A39" w:rsidP="006034F4">
      <w:pPr>
        <w:pStyle w:val="BodyText"/>
        <w:ind w:left="1134" w:hanging="567"/>
        <w:rPr>
          <w:b/>
          <w:i/>
          <w:sz w:val="20"/>
        </w:rPr>
      </w:pPr>
      <w:r w:rsidRPr="000A591B">
        <w:rPr>
          <w:b/>
          <w:i/>
          <w:sz w:val="20"/>
        </w:rPr>
        <w:t>4</w:t>
      </w:r>
      <w:r w:rsidRPr="000A591B">
        <w:rPr>
          <w:b/>
          <w:i/>
          <w:sz w:val="20"/>
        </w:rPr>
        <w:tab/>
        <w:t>Prohibition on discharges from certain activities</w:t>
      </w:r>
    </w:p>
    <w:p w14:paraId="19DFFD80" w14:textId="77777777" w:rsidR="00E23A39" w:rsidRPr="000A591B" w:rsidRDefault="00E23A39" w:rsidP="006034F4">
      <w:pPr>
        <w:pStyle w:val="BodyText"/>
        <w:ind w:left="1134"/>
        <w:rPr>
          <w:i/>
          <w:sz w:val="20"/>
        </w:rPr>
      </w:pPr>
      <w:r w:rsidRPr="000A591B">
        <w:rPr>
          <w:i/>
          <w:sz w:val="20"/>
        </w:rPr>
        <w:t>A discharge of a contaminant to air from an activity specified in any of regulations 6 to 12 is prohibited, except to the extent that the regulation provides otherwise.</w:t>
      </w:r>
    </w:p>
    <w:p w14:paraId="410CD983" w14:textId="77777777" w:rsidR="00E23A39" w:rsidRPr="000A591B" w:rsidRDefault="00E23A39" w:rsidP="006034F4">
      <w:pPr>
        <w:pStyle w:val="BodyText"/>
        <w:ind w:left="1134" w:hanging="567"/>
        <w:rPr>
          <w:i/>
          <w:sz w:val="20"/>
        </w:rPr>
      </w:pPr>
    </w:p>
    <w:p w14:paraId="25015168" w14:textId="77777777" w:rsidR="00E23A39" w:rsidRPr="000A591B" w:rsidRDefault="00E23A39" w:rsidP="006034F4">
      <w:pPr>
        <w:pStyle w:val="BodyText"/>
        <w:ind w:left="1134" w:hanging="567"/>
        <w:rPr>
          <w:b/>
          <w:i/>
          <w:sz w:val="20"/>
        </w:rPr>
      </w:pPr>
      <w:r w:rsidRPr="000A591B">
        <w:rPr>
          <w:b/>
          <w:i/>
          <w:sz w:val="20"/>
        </w:rPr>
        <w:t>5</w:t>
      </w:r>
      <w:r w:rsidRPr="000A591B">
        <w:rPr>
          <w:b/>
          <w:i/>
          <w:sz w:val="20"/>
        </w:rPr>
        <w:tab/>
      </w:r>
      <w:r w:rsidR="000A591B" w:rsidRPr="000A591B">
        <w:rPr>
          <w:b/>
          <w:i/>
          <w:sz w:val="20"/>
        </w:rPr>
        <w:t>Prohibition on granting of resource consents for certain activities</w:t>
      </w:r>
    </w:p>
    <w:p w14:paraId="3E9CBBF4" w14:textId="77777777" w:rsidR="000A591B" w:rsidRPr="000A591B" w:rsidRDefault="000A591B" w:rsidP="006034F4">
      <w:pPr>
        <w:pStyle w:val="BodyText"/>
        <w:ind w:left="1134" w:hanging="567"/>
        <w:rPr>
          <w:i/>
          <w:sz w:val="20"/>
        </w:rPr>
      </w:pPr>
      <w:r w:rsidRPr="000A591B">
        <w:rPr>
          <w:i/>
          <w:sz w:val="20"/>
        </w:rPr>
        <w:t>(1)</w:t>
      </w:r>
      <w:r w:rsidRPr="000A591B">
        <w:rPr>
          <w:i/>
          <w:sz w:val="20"/>
        </w:rPr>
        <w:tab/>
        <w:t>A resource consent may not be granted for a discharge of a contaminant to air from an activity specified in any of regulation</w:t>
      </w:r>
      <w:r w:rsidR="004366CE">
        <w:rPr>
          <w:i/>
          <w:sz w:val="20"/>
        </w:rPr>
        <w:t>s</w:t>
      </w:r>
      <w:r w:rsidRPr="000A591B">
        <w:rPr>
          <w:i/>
          <w:sz w:val="20"/>
        </w:rPr>
        <w:t xml:space="preserve"> 6 to 12, except to the extent that the regulation provides otherwise.</w:t>
      </w:r>
    </w:p>
    <w:p w14:paraId="1DE349D2" w14:textId="77777777" w:rsidR="000A591B" w:rsidRPr="000A591B" w:rsidRDefault="000A591B" w:rsidP="006034F4">
      <w:pPr>
        <w:pStyle w:val="BodyText"/>
        <w:ind w:left="1134" w:hanging="567"/>
        <w:rPr>
          <w:i/>
          <w:sz w:val="20"/>
        </w:rPr>
      </w:pPr>
      <w:r w:rsidRPr="000A591B">
        <w:rPr>
          <w:i/>
          <w:sz w:val="20"/>
        </w:rPr>
        <w:t>(2)</w:t>
      </w:r>
      <w:r w:rsidRPr="000A591B">
        <w:rPr>
          <w:i/>
          <w:sz w:val="20"/>
        </w:rPr>
        <w:tab/>
        <w:t>If a resource consent is granted for an activity, the activity is a discretionary activity for the purposes of the Act.</w:t>
      </w:r>
    </w:p>
    <w:p w14:paraId="3393D063" w14:textId="77777777" w:rsidR="000A591B" w:rsidRPr="000A591B" w:rsidRDefault="000A591B" w:rsidP="006034F4">
      <w:pPr>
        <w:pStyle w:val="BodyText"/>
        <w:ind w:left="1134" w:hanging="567"/>
        <w:rPr>
          <w:i/>
          <w:sz w:val="20"/>
        </w:rPr>
      </w:pPr>
    </w:p>
    <w:p w14:paraId="48AE2A4D" w14:textId="77777777" w:rsidR="000A591B" w:rsidRPr="000A591B" w:rsidRDefault="000A591B" w:rsidP="006034F4">
      <w:pPr>
        <w:pStyle w:val="BodyText"/>
        <w:ind w:left="1134" w:hanging="567"/>
        <w:rPr>
          <w:b/>
          <w:i/>
          <w:sz w:val="20"/>
        </w:rPr>
      </w:pPr>
      <w:r w:rsidRPr="000A591B">
        <w:rPr>
          <w:b/>
          <w:i/>
          <w:sz w:val="20"/>
        </w:rPr>
        <w:t>28</w:t>
      </w:r>
      <w:r w:rsidRPr="000A591B">
        <w:rPr>
          <w:b/>
          <w:i/>
          <w:sz w:val="20"/>
        </w:rPr>
        <w:tab/>
        <w:t>More stringent rule, resource consent or bylaw prevails</w:t>
      </w:r>
    </w:p>
    <w:p w14:paraId="5C99989F" w14:textId="77777777" w:rsidR="000A591B" w:rsidRPr="000A591B" w:rsidRDefault="000A591B" w:rsidP="006034F4">
      <w:pPr>
        <w:pStyle w:val="BodyText"/>
        <w:ind w:left="1134"/>
        <w:rPr>
          <w:i/>
          <w:sz w:val="20"/>
        </w:rPr>
      </w:pPr>
      <w:r w:rsidRPr="000A591B">
        <w:rPr>
          <w:i/>
          <w:sz w:val="20"/>
        </w:rPr>
        <w:t>A rule, resource consent, or bylaw that is more stringent than these regulations prevails over the regulations.</w:t>
      </w:r>
    </w:p>
    <w:p w14:paraId="0B810500" w14:textId="77777777" w:rsidR="000A591B" w:rsidRDefault="000A591B" w:rsidP="000A591B">
      <w:pPr>
        <w:pStyle w:val="BodyText"/>
        <w:ind w:left="426" w:hanging="29"/>
      </w:pPr>
    </w:p>
    <w:p w14:paraId="6FA9806D" w14:textId="77777777" w:rsidR="00BC3848" w:rsidRDefault="00FD59F4" w:rsidP="000A591B">
      <w:pPr>
        <w:pStyle w:val="BodyText"/>
      </w:pPr>
      <w:r>
        <w:t>National environmental standards are mandatory regulati</w:t>
      </w:r>
      <w:r w:rsidR="00F8591A">
        <w:t xml:space="preserve">ons under the RMA. </w:t>
      </w:r>
      <w:r>
        <w:t>They automatically supersed</w:t>
      </w:r>
      <w:r w:rsidR="007A0E18">
        <w:t xml:space="preserve">e controls by local government </w:t>
      </w:r>
      <w:r>
        <w:t>unless the local government controls are stric</w:t>
      </w:r>
      <w:r w:rsidR="007A0E18">
        <w:t>ter (as provided for by Regulation 28)</w:t>
      </w:r>
      <w:r w:rsidR="00F8591A">
        <w:t>.</w:t>
      </w:r>
      <w:r>
        <w:t xml:space="preserve"> </w:t>
      </w:r>
      <w:r w:rsidR="00BC3848">
        <w:t>Regulation 4 states that all activities listed in Regulations 6 to 12 are prohibited except the following:</w:t>
      </w:r>
    </w:p>
    <w:p w14:paraId="54B0D4FA" w14:textId="77777777" w:rsidR="00BC3848" w:rsidRDefault="00BC3848" w:rsidP="00726A4C">
      <w:pPr>
        <w:pStyle w:val="Bullet"/>
        <w:numPr>
          <w:ilvl w:val="0"/>
          <w:numId w:val="16"/>
        </w:numPr>
      </w:pPr>
      <w:r>
        <w:t>school and hospital incinerators</w:t>
      </w:r>
    </w:p>
    <w:p w14:paraId="1EE74C92" w14:textId="77777777" w:rsidR="00BC3848" w:rsidRDefault="00BC3848" w:rsidP="00726A4C">
      <w:pPr>
        <w:pStyle w:val="Bullet"/>
        <w:numPr>
          <w:ilvl w:val="0"/>
          <w:numId w:val="16"/>
        </w:numPr>
      </w:pPr>
      <w:r>
        <w:t xml:space="preserve">oil burning in a flare in the petrochemical industry for health and safety </w:t>
      </w:r>
    </w:p>
    <w:p w14:paraId="2A713709" w14:textId="77777777" w:rsidR="00BC3848" w:rsidRDefault="00BC3848" w:rsidP="00726A4C">
      <w:pPr>
        <w:pStyle w:val="Bullet"/>
        <w:numPr>
          <w:ilvl w:val="0"/>
          <w:numId w:val="16"/>
        </w:numPr>
      </w:pPr>
      <w:r>
        <w:t>burning of coated wire at an industrial site provided control equipment is used</w:t>
      </w:r>
    </w:p>
    <w:p w14:paraId="54591E5F" w14:textId="77777777" w:rsidR="00BC3848" w:rsidRDefault="00BC3848" w:rsidP="00726A4C">
      <w:pPr>
        <w:pStyle w:val="Bullet"/>
        <w:numPr>
          <w:ilvl w:val="0"/>
          <w:numId w:val="16"/>
        </w:numPr>
      </w:pPr>
      <w:r>
        <w:t>burning of tyres at an industrial site provided control equipment is used.</w:t>
      </w:r>
    </w:p>
    <w:p w14:paraId="79EF1500" w14:textId="77777777" w:rsidR="00BC3848" w:rsidRDefault="00BC3848" w:rsidP="000A591B">
      <w:pPr>
        <w:pStyle w:val="BodyText"/>
      </w:pPr>
    </w:p>
    <w:p w14:paraId="64058FD1" w14:textId="77777777" w:rsidR="00FD59F4" w:rsidRDefault="00BC3848" w:rsidP="00FD59F4">
      <w:pPr>
        <w:pStyle w:val="Sub-list"/>
        <w:tabs>
          <w:tab w:val="clear" w:pos="397"/>
        </w:tabs>
        <w:ind w:left="0"/>
        <w:rPr>
          <w:lang w:val="en-US"/>
        </w:rPr>
      </w:pPr>
      <w:r>
        <w:t>These activities may be undertaken provided resource consent is obtained</w:t>
      </w:r>
      <w:r w:rsidR="00F8591A">
        <w:t>.</w:t>
      </w:r>
      <w:r w:rsidR="001C5A79">
        <w:t xml:space="preserve"> Regulation 5(2)</w:t>
      </w:r>
      <w:r w:rsidR="001C5A79" w:rsidRPr="001C5A79">
        <w:t xml:space="preserve"> </w:t>
      </w:r>
      <w:r w:rsidR="001C5A79">
        <w:t>defines the activity status for these activities as requiring a discretionary consent</w:t>
      </w:r>
      <w:r w:rsidR="00F8591A">
        <w:t>.</w:t>
      </w:r>
    </w:p>
    <w:p w14:paraId="446B37A4" w14:textId="77777777" w:rsidR="00D864C3" w:rsidRDefault="00D864C3" w:rsidP="00FD59F4">
      <w:pPr>
        <w:pStyle w:val="Sub-list"/>
        <w:tabs>
          <w:tab w:val="clear" w:pos="397"/>
        </w:tabs>
        <w:ind w:left="0"/>
        <w:rPr>
          <w:lang w:val="en-US"/>
        </w:rPr>
      </w:pPr>
    </w:p>
    <w:p w14:paraId="60426BF0" w14:textId="77777777" w:rsidR="00D864C3" w:rsidRDefault="00D864C3" w:rsidP="00D864C3">
      <w:pPr>
        <w:pStyle w:val="BodyText"/>
      </w:pPr>
      <w:r>
        <w:t>Local controls through plan rules, resource consents or bylaws can vary from the national environmental standards – if th</w:t>
      </w:r>
      <w:r w:rsidR="00F8591A">
        <w:t xml:space="preserve">e local controls are stricter. </w:t>
      </w:r>
      <w:r>
        <w:t>For example, a council may consider that school incinerators should be banned in its region, rather than be able to operate under a discretionary resource consent.</w:t>
      </w:r>
    </w:p>
    <w:p w14:paraId="6F33BC76" w14:textId="77777777" w:rsidR="00530312" w:rsidRDefault="00530312" w:rsidP="00D864C3">
      <w:pPr>
        <w:pStyle w:val="BodyText"/>
      </w:pPr>
    </w:p>
    <w:p w14:paraId="2ED1F8C0" w14:textId="77777777" w:rsidR="00D864C3" w:rsidRDefault="00D864C3" w:rsidP="00D864C3">
      <w:pPr>
        <w:pStyle w:val="BodyText"/>
      </w:pPr>
      <w:r>
        <w:t>The status of a resource consent can only be amended by rules i</w:t>
      </w:r>
      <w:r w:rsidR="00A167CA">
        <w:t>n a regional (or unitary) plan.</w:t>
      </w:r>
      <w:r>
        <w:t xml:space="preserve"> </w:t>
      </w:r>
      <w:r w:rsidR="007A0E18">
        <w:t>This means that i</w:t>
      </w:r>
      <w:r>
        <w:t xml:space="preserve">f a council wishes </w:t>
      </w:r>
      <w:r w:rsidR="007A0E18">
        <w:t>to make</w:t>
      </w:r>
      <w:r>
        <w:t xml:space="preserve"> an activity </w:t>
      </w:r>
      <w:r w:rsidR="007A0E18">
        <w:t>non-complying or prohibited (when that activity</w:t>
      </w:r>
      <w:r>
        <w:t xml:space="preserve"> would</w:t>
      </w:r>
      <w:r w:rsidR="007A0E18">
        <w:t xml:space="preserve"> normally</w:t>
      </w:r>
      <w:r>
        <w:t xml:space="preserve"> require a discretionary consent under </w:t>
      </w:r>
      <w:r w:rsidR="00D752E1">
        <w:t>Regulation</w:t>
      </w:r>
      <w:r>
        <w:t xml:space="preserve"> 5(2)</w:t>
      </w:r>
      <w:r w:rsidR="007A0E18">
        <w:t>) then</w:t>
      </w:r>
      <w:r>
        <w:t xml:space="preserve"> this must be done through a regional plan.</w:t>
      </w:r>
    </w:p>
    <w:p w14:paraId="48409738" w14:textId="77777777" w:rsidR="00530312" w:rsidRDefault="00530312" w:rsidP="00D864C3">
      <w:pPr>
        <w:pStyle w:val="BodyText"/>
      </w:pPr>
    </w:p>
    <w:p w14:paraId="70F62565" w14:textId="77777777" w:rsidR="00B70679" w:rsidRPr="00A74F05" w:rsidRDefault="00B70679" w:rsidP="00F3133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2</w:t>
      </w:r>
      <w:r w:rsidRPr="00A74F05">
        <w:rPr>
          <w:rStyle w:val="SubtleEmphasis"/>
          <w:b/>
          <w:color w:val="auto"/>
          <w:sz w:val="20"/>
        </w:rPr>
        <w:t>.</w:t>
      </w:r>
      <w:r>
        <w:rPr>
          <w:rStyle w:val="SubtleEmphasis"/>
          <w:b/>
          <w:color w:val="auto"/>
          <w:sz w:val="20"/>
        </w:rPr>
        <w:t>1</w:t>
      </w:r>
    </w:p>
    <w:p w14:paraId="2E057CAB" w14:textId="77777777" w:rsidR="00B70679" w:rsidRPr="00A74F05" w:rsidRDefault="00B70679" w:rsidP="00B70679">
      <w:pPr>
        <w:keepNext/>
        <w:pBdr>
          <w:top w:val="single" w:sz="4" w:space="1" w:color="auto"/>
          <w:left w:val="single" w:sz="4" w:space="4" w:color="auto"/>
          <w:bottom w:val="single" w:sz="4" w:space="1" w:color="auto"/>
          <w:right w:val="single" w:sz="4" w:space="4" w:color="auto"/>
        </w:pBdr>
        <w:rPr>
          <w:rStyle w:val="SubtleEmphasis"/>
          <w:color w:val="auto"/>
          <w:sz w:val="20"/>
        </w:rPr>
      </w:pPr>
      <w:r w:rsidRPr="00A74F05">
        <w:rPr>
          <w:rStyle w:val="SubtleEmphasis"/>
          <w:color w:val="auto"/>
          <w:sz w:val="20"/>
        </w:rPr>
        <w:t xml:space="preserve">The operative </w:t>
      </w:r>
      <w:r w:rsidR="00CF4EFB">
        <w:rPr>
          <w:rStyle w:val="SubtleEmphasis"/>
          <w:color w:val="auto"/>
          <w:sz w:val="20"/>
        </w:rPr>
        <w:t>Kauri</w:t>
      </w:r>
      <w:r w:rsidR="00CF4EFB" w:rsidRPr="00A74F05">
        <w:rPr>
          <w:rStyle w:val="SubtleEmphasis"/>
          <w:color w:val="auto"/>
          <w:sz w:val="20"/>
        </w:rPr>
        <w:t xml:space="preserve"> </w:t>
      </w:r>
      <w:r w:rsidRPr="00A74F05">
        <w:rPr>
          <w:rStyle w:val="SubtleEmphasis"/>
          <w:color w:val="auto"/>
          <w:sz w:val="20"/>
        </w:rPr>
        <w:t>Regional Council Air Plan requ</w:t>
      </w:r>
      <w:r>
        <w:rPr>
          <w:rStyle w:val="SubtleEmphasis"/>
          <w:color w:val="auto"/>
          <w:sz w:val="20"/>
        </w:rPr>
        <w:t>ires burning of tyres outdoors to obtain a discretionary consent and prohibits the use of school incinerators</w:t>
      </w:r>
      <w:r w:rsidR="00006C58">
        <w:rPr>
          <w:rStyle w:val="SubtleEmphasis"/>
          <w:color w:val="auto"/>
          <w:sz w:val="20"/>
        </w:rPr>
        <w:t xml:space="preserve">. </w:t>
      </w:r>
      <w:r w:rsidRPr="00A74F05">
        <w:rPr>
          <w:rStyle w:val="SubtleEmphasis"/>
          <w:color w:val="auto"/>
          <w:sz w:val="20"/>
        </w:rPr>
        <w:t xml:space="preserve">Therefore: </w:t>
      </w:r>
    </w:p>
    <w:p w14:paraId="238C7208" w14:textId="77777777" w:rsidR="00B70679" w:rsidRPr="00A74F05" w:rsidRDefault="00B70679" w:rsidP="00B70679">
      <w:pPr>
        <w:pBdr>
          <w:top w:val="single" w:sz="4" w:space="1" w:color="auto"/>
          <w:left w:val="single" w:sz="4" w:space="4" w:color="auto"/>
          <w:bottom w:val="single" w:sz="4" w:space="1" w:color="auto"/>
          <w:right w:val="single" w:sz="4" w:space="4" w:color="auto"/>
        </w:pBdr>
        <w:rPr>
          <w:rStyle w:val="SubtleEmphasis"/>
          <w:color w:val="auto"/>
          <w:sz w:val="20"/>
        </w:rPr>
      </w:pPr>
    </w:p>
    <w:p w14:paraId="5DFF6270" w14:textId="77777777" w:rsidR="00B70679" w:rsidRPr="00A74F05" w:rsidRDefault="00B70679" w:rsidP="00B7067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550" w:hanging="550"/>
        <w:rPr>
          <w:rStyle w:val="SubtleEmphasis"/>
          <w:color w:val="auto"/>
          <w:sz w:val="20"/>
        </w:rPr>
      </w:pPr>
      <w:r>
        <w:rPr>
          <w:rStyle w:val="SubtleEmphasis"/>
          <w:color w:val="auto"/>
          <w:sz w:val="20"/>
        </w:rPr>
        <w:t>Prior to 8 October 2004</w:t>
      </w:r>
    </w:p>
    <w:p w14:paraId="2970521C" w14:textId="77777777" w:rsidR="00B70679" w:rsidRPr="008771A4" w:rsidRDefault="00B70679" w:rsidP="00B70679">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Pr>
          <w:rStyle w:val="SubtleEmphasis"/>
          <w:color w:val="auto"/>
          <w:sz w:val="20"/>
        </w:rPr>
        <w:tab/>
      </w:r>
      <w:r w:rsidRPr="008771A4">
        <w:rPr>
          <w:rStyle w:val="SubtleEmphasis"/>
          <w:color w:val="auto"/>
          <w:sz w:val="20"/>
        </w:rPr>
        <w:t>-</w:t>
      </w:r>
      <w:r w:rsidRPr="008771A4">
        <w:rPr>
          <w:rStyle w:val="SubtleEmphasis"/>
          <w:color w:val="auto"/>
          <w:sz w:val="20"/>
        </w:rPr>
        <w:tab/>
      </w:r>
      <w:r w:rsidR="00551BBF" w:rsidRPr="008771A4">
        <w:rPr>
          <w:rStyle w:val="SubtleEmphasis"/>
          <w:color w:val="auto"/>
          <w:sz w:val="20"/>
        </w:rPr>
        <w:t xml:space="preserve">status </w:t>
      </w:r>
      <w:r w:rsidRPr="008771A4">
        <w:rPr>
          <w:rStyle w:val="SubtleEmphasis"/>
          <w:color w:val="auto"/>
          <w:sz w:val="20"/>
        </w:rPr>
        <w:t xml:space="preserve">of activities is as per the </w:t>
      </w:r>
      <w:r w:rsidR="00CF4EFB">
        <w:rPr>
          <w:rStyle w:val="SubtleEmphasis"/>
          <w:color w:val="auto"/>
          <w:sz w:val="20"/>
        </w:rPr>
        <w:t>Kauri</w:t>
      </w:r>
      <w:r w:rsidR="00CF4EFB" w:rsidRPr="008771A4">
        <w:rPr>
          <w:rStyle w:val="SubtleEmphasis"/>
          <w:color w:val="auto"/>
          <w:sz w:val="20"/>
        </w:rPr>
        <w:t xml:space="preserve"> </w:t>
      </w:r>
      <w:r w:rsidRPr="008771A4">
        <w:rPr>
          <w:rStyle w:val="SubtleEmphasis"/>
          <w:color w:val="auto"/>
          <w:sz w:val="20"/>
        </w:rPr>
        <w:t>Regional Council Air Plan</w:t>
      </w:r>
    </w:p>
    <w:p w14:paraId="550AB378" w14:textId="77777777" w:rsidR="00B70679" w:rsidRDefault="00B70679" w:rsidP="00B7067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before="120"/>
        <w:ind w:left="550" w:hanging="550"/>
        <w:rPr>
          <w:rStyle w:val="SubtleEmphasis"/>
          <w:color w:val="auto"/>
          <w:sz w:val="20"/>
        </w:rPr>
      </w:pPr>
      <w:r w:rsidRPr="00A74F05">
        <w:rPr>
          <w:rStyle w:val="SubtleEmphasis"/>
          <w:color w:val="auto"/>
          <w:sz w:val="20"/>
        </w:rPr>
        <w:t xml:space="preserve">From </w:t>
      </w:r>
      <w:r>
        <w:rPr>
          <w:rStyle w:val="SubtleEmphasis"/>
          <w:color w:val="auto"/>
          <w:sz w:val="20"/>
        </w:rPr>
        <w:t>8</w:t>
      </w:r>
      <w:r w:rsidRPr="00A74F05">
        <w:rPr>
          <w:rStyle w:val="SubtleEmphasis"/>
          <w:color w:val="auto"/>
          <w:sz w:val="20"/>
        </w:rPr>
        <w:t xml:space="preserve"> </w:t>
      </w:r>
      <w:r>
        <w:rPr>
          <w:rStyle w:val="SubtleEmphasis"/>
          <w:color w:val="auto"/>
          <w:sz w:val="20"/>
        </w:rPr>
        <w:t>October 2004</w:t>
      </w:r>
    </w:p>
    <w:p w14:paraId="1693DE62" w14:textId="77777777" w:rsidR="00B70679" w:rsidRPr="008771A4" w:rsidRDefault="00B70679" w:rsidP="00B70679">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Pr>
          <w:rStyle w:val="SubtleEmphasis"/>
          <w:color w:val="auto"/>
          <w:sz w:val="20"/>
        </w:rPr>
        <w:tab/>
      </w:r>
      <w:r w:rsidRPr="008771A4">
        <w:rPr>
          <w:rStyle w:val="SubtleEmphasis"/>
          <w:color w:val="auto"/>
          <w:sz w:val="20"/>
        </w:rPr>
        <w:t>-</w:t>
      </w:r>
      <w:r w:rsidRPr="008771A4">
        <w:rPr>
          <w:rStyle w:val="SubtleEmphasis"/>
          <w:color w:val="auto"/>
          <w:sz w:val="20"/>
        </w:rPr>
        <w:tab/>
      </w:r>
      <w:r w:rsidR="00551BBF" w:rsidRPr="008771A4">
        <w:rPr>
          <w:rStyle w:val="SubtleEmphasis"/>
          <w:color w:val="auto"/>
          <w:sz w:val="20"/>
        </w:rPr>
        <w:t xml:space="preserve">burning </w:t>
      </w:r>
      <w:r w:rsidRPr="008771A4">
        <w:rPr>
          <w:rStyle w:val="SubtleEmphasis"/>
          <w:color w:val="auto"/>
          <w:sz w:val="20"/>
        </w:rPr>
        <w:t>of tyres outdoors is prohibited (by the Regulations)</w:t>
      </w:r>
    </w:p>
    <w:p w14:paraId="41C71CA2" w14:textId="77777777" w:rsidR="00B70679" w:rsidRPr="008771A4" w:rsidRDefault="00B70679" w:rsidP="00B70679">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Pr>
          <w:rStyle w:val="SubtleEmphasis"/>
          <w:color w:val="auto"/>
          <w:sz w:val="20"/>
        </w:rPr>
        <w:tab/>
      </w:r>
      <w:r w:rsidRPr="008771A4">
        <w:rPr>
          <w:rStyle w:val="SubtleEmphasis"/>
          <w:color w:val="auto"/>
          <w:sz w:val="20"/>
        </w:rPr>
        <w:t>-</w:t>
      </w:r>
      <w:r w:rsidRPr="008771A4">
        <w:rPr>
          <w:rStyle w:val="SubtleEmphasis"/>
          <w:color w:val="auto"/>
          <w:sz w:val="20"/>
        </w:rPr>
        <w:tab/>
      </w:r>
      <w:r w:rsidR="00551BBF" w:rsidRPr="008771A4">
        <w:rPr>
          <w:rStyle w:val="SubtleEmphasis"/>
          <w:color w:val="auto"/>
          <w:sz w:val="20"/>
        </w:rPr>
        <w:t xml:space="preserve">use </w:t>
      </w:r>
      <w:r w:rsidRPr="008771A4">
        <w:rPr>
          <w:rStyle w:val="SubtleEmphasis"/>
          <w:color w:val="auto"/>
          <w:sz w:val="20"/>
        </w:rPr>
        <w:t>of school incinerators is prohibited (by the regional plan)</w:t>
      </w:r>
    </w:p>
    <w:p w14:paraId="0EA25430" w14:textId="77777777" w:rsidR="00B70679" w:rsidRDefault="00B70679" w:rsidP="00B70679">
      <w:pPr>
        <w:pBdr>
          <w:top w:val="single" w:sz="4" w:space="1" w:color="auto"/>
          <w:left w:val="single" w:sz="4" w:space="4" w:color="auto"/>
          <w:bottom w:val="single" w:sz="4" w:space="1" w:color="auto"/>
          <w:right w:val="single" w:sz="4" w:space="4" w:color="auto"/>
        </w:pBdr>
        <w:tabs>
          <w:tab w:val="left" w:pos="284"/>
          <w:tab w:val="left" w:pos="567"/>
        </w:tabs>
        <w:ind w:left="284" w:hanging="284"/>
        <w:rPr>
          <w:rStyle w:val="SubtleEmphasis"/>
          <w:color w:val="auto"/>
          <w:sz w:val="20"/>
        </w:rPr>
      </w:pPr>
      <w:r>
        <w:rPr>
          <w:rStyle w:val="SubtleEmphasis"/>
          <w:color w:val="auto"/>
          <w:sz w:val="20"/>
        </w:rPr>
        <w:tab/>
      </w:r>
      <w:r w:rsidRPr="008771A4">
        <w:rPr>
          <w:rStyle w:val="SubtleEmphasis"/>
          <w:color w:val="auto"/>
          <w:sz w:val="20"/>
        </w:rPr>
        <w:t>-</w:t>
      </w:r>
      <w:r w:rsidRPr="008771A4">
        <w:rPr>
          <w:rStyle w:val="SubtleEmphasis"/>
          <w:color w:val="auto"/>
          <w:sz w:val="20"/>
        </w:rPr>
        <w:tab/>
      </w:r>
      <w:r w:rsidR="00551BBF" w:rsidRPr="008771A4">
        <w:rPr>
          <w:rStyle w:val="SubtleEmphasis"/>
          <w:color w:val="auto"/>
          <w:sz w:val="20"/>
        </w:rPr>
        <w:t xml:space="preserve">the </w:t>
      </w:r>
      <w:r w:rsidR="00CF4EFB">
        <w:rPr>
          <w:rStyle w:val="SubtleEmphasis"/>
          <w:color w:val="auto"/>
          <w:sz w:val="20"/>
        </w:rPr>
        <w:t>Kauri</w:t>
      </w:r>
      <w:r w:rsidR="00CF4EFB" w:rsidRPr="008771A4">
        <w:rPr>
          <w:rStyle w:val="SubtleEmphasis"/>
          <w:color w:val="auto"/>
          <w:sz w:val="20"/>
        </w:rPr>
        <w:t xml:space="preserve"> </w:t>
      </w:r>
      <w:r w:rsidRPr="008771A4">
        <w:rPr>
          <w:rStyle w:val="SubtleEmphasis"/>
          <w:color w:val="auto"/>
          <w:sz w:val="20"/>
        </w:rPr>
        <w:t>Regional Council Air Plan must be amended to reflect the new status of burnin</w:t>
      </w:r>
      <w:r>
        <w:rPr>
          <w:rStyle w:val="SubtleEmphasis"/>
          <w:color w:val="auto"/>
          <w:sz w:val="20"/>
        </w:rPr>
        <w:t>g</w:t>
      </w:r>
    </w:p>
    <w:p w14:paraId="0484670B" w14:textId="77777777" w:rsidR="00B70679" w:rsidRPr="00B70679" w:rsidRDefault="00B70679" w:rsidP="00B70679">
      <w:pPr>
        <w:pBdr>
          <w:top w:val="single" w:sz="4" w:space="1" w:color="auto"/>
          <w:left w:val="single" w:sz="4" w:space="4" w:color="auto"/>
          <w:bottom w:val="single" w:sz="4" w:space="1" w:color="auto"/>
          <w:right w:val="single" w:sz="4" w:space="4" w:color="auto"/>
        </w:pBdr>
        <w:tabs>
          <w:tab w:val="left" w:pos="284"/>
          <w:tab w:val="left" w:pos="567"/>
        </w:tabs>
        <w:ind w:left="284" w:hanging="284"/>
        <w:rPr>
          <w:rStyle w:val="SubtleEmphasis"/>
          <w:color w:val="auto"/>
          <w:sz w:val="20"/>
        </w:rPr>
      </w:pPr>
      <w:r>
        <w:rPr>
          <w:rStyle w:val="SubtleEmphasis"/>
          <w:color w:val="auto"/>
          <w:sz w:val="20"/>
        </w:rPr>
        <w:tab/>
      </w:r>
      <w:r>
        <w:rPr>
          <w:rStyle w:val="SubtleEmphasis"/>
          <w:color w:val="auto"/>
          <w:sz w:val="20"/>
        </w:rPr>
        <w:tab/>
      </w:r>
      <w:r w:rsidRPr="008771A4">
        <w:rPr>
          <w:rStyle w:val="SubtleEmphasis"/>
          <w:color w:val="auto"/>
          <w:sz w:val="20"/>
        </w:rPr>
        <w:t>of tyres outdoors.</w:t>
      </w:r>
      <w:r w:rsidRPr="008771A4">
        <w:rPr>
          <w:rStyle w:val="SubtleEmphasis"/>
          <w:color w:val="auto"/>
        </w:rPr>
        <w:t xml:space="preserve"> </w:t>
      </w:r>
    </w:p>
    <w:p w14:paraId="6671CDE9" w14:textId="77777777" w:rsidR="00B70679" w:rsidRDefault="00B70679" w:rsidP="00D864C3">
      <w:pPr>
        <w:pStyle w:val="BodyText"/>
      </w:pPr>
    </w:p>
    <w:p w14:paraId="36F55756" w14:textId="77777777" w:rsidR="00FD59F4" w:rsidRDefault="00FD59F4" w:rsidP="00FD59F4">
      <w:r>
        <w:t xml:space="preserve">As a result of the 2009 amendments to the RMA, section 44A(5) of the RMA requires that regional councils </w:t>
      </w:r>
      <w:r w:rsidRPr="0007677F">
        <w:rPr>
          <w:b/>
        </w:rPr>
        <w:t>must</w:t>
      </w:r>
      <w:r>
        <w:t xml:space="preserve"> remove regional plan rules that are more lenient than the national environme</w:t>
      </w:r>
      <w:r w:rsidR="00A167CA">
        <w:t>ntal standards for air quality.</w:t>
      </w:r>
      <w:r>
        <w:t xml:space="preserve"> Removal </w:t>
      </w:r>
      <w:r w:rsidR="008E4B92">
        <w:t xml:space="preserve">of such rules </w:t>
      </w:r>
      <w:r w:rsidRPr="000B1105">
        <w:t>may</w:t>
      </w:r>
      <w:r>
        <w:t xml:space="preserve"> be carried out without using the </w:t>
      </w:r>
      <w:r w:rsidR="008E4B92">
        <w:t>detailed</w:t>
      </w:r>
      <w:r>
        <w:t xml:space="preserve"> </w:t>
      </w:r>
      <w:r w:rsidR="000C58D0">
        <w:t xml:space="preserve">processes for plan changes </w:t>
      </w:r>
      <w:r w:rsidR="000B6CAD">
        <w:t>normally required by</w:t>
      </w:r>
      <w:r w:rsidR="003A7044">
        <w:t xml:space="preserve"> </w:t>
      </w:r>
      <w:r>
        <w:t>Schedule 1 of the RMA and must be done as soon as practicable.</w:t>
      </w:r>
    </w:p>
    <w:p w14:paraId="7D244319" w14:textId="77777777" w:rsidR="00053B4A" w:rsidRDefault="00053B4A" w:rsidP="000A591B">
      <w:pPr>
        <w:pStyle w:val="BodyText"/>
      </w:pPr>
    </w:p>
    <w:p w14:paraId="732F1382" w14:textId="77777777" w:rsidR="00DB20C0" w:rsidRDefault="00FD59F4" w:rsidP="000A591B">
      <w:pPr>
        <w:pStyle w:val="BodyText"/>
      </w:pPr>
      <w:r>
        <w:t xml:space="preserve">The activity bans have been in force </w:t>
      </w:r>
      <w:r w:rsidR="00530312">
        <w:t xml:space="preserve">for several years now </w:t>
      </w:r>
      <w:r w:rsidR="007A0E18">
        <w:t>and</w:t>
      </w:r>
      <w:r w:rsidR="004A661D">
        <w:t xml:space="preserve"> the </w:t>
      </w:r>
      <w:r w:rsidR="00F423DE">
        <w:t>National Environment Standard</w:t>
      </w:r>
      <w:r w:rsidR="00A50C6F">
        <w:t xml:space="preserve"> Progress Report</w:t>
      </w:r>
      <w:r w:rsidR="004A661D">
        <w:t xml:space="preserve"> (MfE, 2009</w:t>
      </w:r>
      <w:r w:rsidR="00F423DE">
        <w:t>b</w:t>
      </w:r>
      <w:r w:rsidR="004A661D">
        <w:t>)</w:t>
      </w:r>
      <w:r w:rsidR="004A661D" w:rsidRPr="004A661D">
        <w:t xml:space="preserve"> </w:t>
      </w:r>
      <w:r w:rsidR="004A661D">
        <w:t xml:space="preserve">found that </w:t>
      </w:r>
      <w:r w:rsidR="004A661D" w:rsidRPr="00372DB5">
        <w:rPr>
          <w:i/>
        </w:rPr>
        <w:t>‘the implementation of the prohibited activity standards is very good… Councils identified few barriers to implementation, and the majority felt that nothing further was needed from the Ministry to assist with effective enforcement.”</w:t>
      </w:r>
      <w:r>
        <w:t xml:space="preserve"> </w:t>
      </w:r>
    </w:p>
    <w:p w14:paraId="700C6520" w14:textId="77777777" w:rsidR="00F85089" w:rsidRDefault="00F85089" w:rsidP="0056341B">
      <w:pPr>
        <w:pStyle w:val="Heading3"/>
      </w:pPr>
      <w:r>
        <w:t>2.</w:t>
      </w:r>
      <w:r w:rsidR="00880EC5">
        <w:t>3</w:t>
      </w:r>
      <w:r>
        <w:t>.1</w:t>
      </w:r>
      <w:r>
        <w:tab/>
        <w:t>Who do the bans affect?</w:t>
      </w:r>
    </w:p>
    <w:p w14:paraId="2690630E" w14:textId="77777777" w:rsidR="00A508E0" w:rsidRDefault="00A508E0" w:rsidP="006201AD">
      <w:pPr>
        <w:pStyle w:val="BodyText"/>
      </w:pPr>
      <w:r>
        <w:t xml:space="preserve">The bans apply to all people undertaking the relevant activities, unless exemptions or resource consent requirements are specified in the </w:t>
      </w:r>
      <w:r w:rsidR="008A1EB6">
        <w:t>Regulations</w:t>
      </w:r>
      <w:r>
        <w:t>.</w:t>
      </w:r>
    </w:p>
    <w:p w14:paraId="0C34CF41" w14:textId="77777777" w:rsidR="00A508E0" w:rsidRDefault="00A508E0" w:rsidP="006201AD">
      <w:pPr>
        <w:pStyle w:val="BodyText"/>
      </w:pPr>
    </w:p>
    <w:p w14:paraId="60FFA8CF" w14:textId="77777777" w:rsidR="00A508E0" w:rsidRDefault="00A508E0" w:rsidP="006201AD">
      <w:pPr>
        <w:pStyle w:val="BodyText"/>
      </w:pPr>
      <w:r>
        <w:t>Regional councils and unitary authorities are responsible for monitoring and enforcing the bans.</w:t>
      </w:r>
      <w:r w:rsidR="00103DF2">
        <w:t xml:space="preserve">  </w:t>
      </w:r>
    </w:p>
    <w:p w14:paraId="4AFBEFE1" w14:textId="77777777" w:rsidR="009E2DD7" w:rsidRDefault="009E2DD7" w:rsidP="009E2DD7">
      <w:pPr>
        <w:pStyle w:val="Heading3"/>
      </w:pPr>
      <w:r>
        <w:t>2.3.2</w:t>
      </w:r>
      <w:r>
        <w:tab/>
        <w:t>What is the impact on regional plans</w:t>
      </w:r>
      <w:r w:rsidR="000537F9">
        <w:t>?</w:t>
      </w:r>
    </w:p>
    <w:p w14:paraId="3E2E6D0B" w14:textId="77777777" w:rsidR="009E2DD7" w:rsidRPr="008A63AB" w:rsidRDefault="009E2DD7" w:rsidP="009E2DD7">
      <w:r w:rsidRPr="008A63AB">
        <w:t>The Regulatio</w:t>
      </w:r>
      <w:r w:rsidR="00A167CA">
        <w:t>ns are mandatory under the RMA.</w:t>
      </w:r>
      <w:r w:rsidRPr="008A63AB">
        <w:t xml:space="preserve"> They automatically supersede any relevant regional plan rules (unless the local government controls are stricter). </w:t>
      </w:r>
    </w:p>
    <w:p w14:paraId="161A24D4" w14:textId="77777777" w:rsidR="009E2DD7" w:rsidRPr="008A63AB" w:rsidRDefault="009E2DD7" w:rsidP="009E2DD7"/>
    <w:p w14:paraId="040386BA" w14:textId="77777777" w:rsidR="009E2DD7" w:rsidRPr="008A63AB" w:rsidRDefault="009E2DD7" w:rsidP="009E2DD7">
      <w:r w:rsidRPr="008A63AB">
        <w:t xml:space="preserve">As a result of the 2009 amendments to the RMA, section 44A(5) of the RMA requires that regional councils </w:t>
      </w:r>
      <w:r w:rsidRPr="008A63AB">
        <w:rPr>
          <w:b/>
        </w:rPr>
        <w:t>must</w:t>
      </w:r>
      <w:r w:rsidRPr="008A63AB">
        <w:t xml:space="preserve"> remove regional plan rules that are more lenient than the national environme</w:t>
      </w:r>
      <w:r w:rsidR="00A167CA">
        <w:t>ntal standards for air quality.</w:t>
      </w:r>
      <w:r w:rsidRPr="008A63AB">
        <w:t xml:space="preserve"> A regional plan cannot allow resource consent for an activity that discharges ambient pollutants that is less stringent than, or conflicts with</w:t>
      </w:r>
      <w:r w:rsidR="00A167CA">
        <w:t>, the Regulations.</w:t>
      </w:r>
      <w:r w:rsidRPr="008A63AB">
        <w:t xml:space="preserve"> Removal of the rule/s must be carried out without using </w:t>
      </w:r>
      <w:r w:rsidR="00826C79">
        <w:t>the consultation, notification, hearings and decision processes for plan changes in Schedule 1 of the RMA</w:t>
      </w:r>
      <w:r w:rsidRPr="008A63AB">
        <w:t xml:space="preserve"> and must b</w:t>
      </w:r>
      <w:r w:rsidR="00A167CA">
        <w:t>e done as soon as practicable.</w:t>
      </w:r>
    </w:p>
    <w:p w14:paraId="16543968" w14:textId="77777777" w:rsidR="009E2DD7" w:rsidRPr="008A63AB" w:rsidRDefault="009E2DD7" w:rsidP="009E2DD7"/>
    <w:p w14:paraId="382B0839" w14:textId="77777777" w:rsidR="009E2DD7" w:rsidRPr="008A63AB" w:rsidRDefault="009E2DD7" w:rsidP="009E2DD7">
      <w:r w:rsidRPr="008A63AB">
        <w:t xml:space="preserve">Regulation 28 allows for more stringent rules, resource consents or bylaws than </w:t>
      </w:r>
      <w:r w:rsidR="000537F9" w:rsidRPr="008A63AB">
        <w:t>Regulation 6 to 12</w:t>
      </w:r>
      <w:r w:rsidRPr="008A63AB">
        <w:t>.  For example, this means</w:t>
      </w:r>
      <w:r w:rsidR="00F423DE" w:rsidRPr="00F423DE">
        <w:t xml:space="preserve"> </w:t>
      </w:r>
      <w:r w:rsidR="00F423DE" w:rsidRPr="008A63AB">
        <w:t>regional plans could prohibit</w:t>
      </w:r>
      <w:r w:rsidRPr="008A63AB">
        <w:t>:</w:t>
      </w:r>
    </w:p>
    <w:p w14:paraId="65E74A72" w14:textId="77777777" w:rsidR="009E2DD7" w:rsidRPr="008A63AB" w:rsidRDefault="008A63AB" w:rsidP="00726A4C">
      <w:pPr>
        <w:pStyle w:val="Bullet"/>
        <w:numPr>
          <w:ilvl w:val="0"/>
          <w:numId w:val="14"/>
        </w:numPr>
      </w:pPr>
      <w:r w:rsidRPr="008A63AB">
        <w:t>all burning of wire, irrespective of whether it is on an industrial premise or not</w:t>
      </w:r>
    </w:p>
    <w:p w14:paraId="751FEC26" w14:textId="77777777" w:rsidR="009E2DD7" w:rsidRPr="008A63AB" w:rsidRDefault="008A63AB" w:rsidP="00726A4C">
      <w:pPr>
        <w:pStyle w:val="Bullet"/>
        <w:numPr>
          <w:ilvl w:val="0"/>
          <w:numId w:val="14"/>
        </w:numPr>
      </w:pPr>
      <w:r w:rsidRPr="008A63AB">
        <w:t>school incinerators and not enable resource consent to be obtained.</w:t>
      </w:r>
      <w:r w:rsidR="009E2DD7" w:rsidRPr="008A63AB">
        <w:t xml:space="preserve"> </w:t>
      </w:r>
    </w:p>
    <w:p w14:paraId="64B36DDB" w14:textId="77777777" w:rsidR="009E2DD7" w:rsidRPr="008A63AB" w:rsidRDefault="009E2DD7" w:rsidP="009E2DD7"/>
    <w:p w14:paraId="528A54BB" w14:textId="77777777" w:rsidR="009E2DD7" w:rsidRPr="003732DD" w:rsidRDefault="009E2DD7" w:rsidP="009E2DD7">
      <w:r w:rsidRPr="008A63AB">
        <w:t>This policy advice is true only for the national environmen</w:t>
      </w:r>
      <w:r w:rsidR="00A167CA">
        <w:t xml:space="preserve">tal standards for air quality. </w:t>
      </w:r>
      <w:r w:rsidRPr="008A63AB">
        <w:t>Other national environmental standards will have a different relationship with regional</w:t>
      </w:r>
      <w:r w:rsidRPr="003732DD">
        <w:t xml:space="preserve"> plans.</w:t>
      </w:r>
    </w:p>
    <w:p w14:paraId="1FE17289" w14:textId="77777777" w:rsidR="00F85089" w:rsidRDefault="00F85089" w:rsidP="0056341B">
      <w:pPr>
        <w:pStyle w:val="Heading3"/>
      </w:pPr>
      <w:r>
        <w:t>2.</w:t>
      </w:r>
      <w:r w:rsidR="00880EC5">
        <w:t>3</w:t>
      </w:r>
      <w:r w:rsidR="00CB4921">
        <w:t>.3</w:t>
      </w:r>
      <w:r>
        <w:tab/>
        <w:t>What is the impact on existing resource consents?</w:t>
      </w:r>
    </w:p>
    <w:p w14:paraId="26F3BB20" w14:textId="77777777" w:rsidR="007A0E18" w:rsidRDefault="00CE22C6" w:rsidP="00CE22C6">
      <w:pPr>
        <w:pStyle w:val="BodyText"/>
      </w:pPr>
      <w:r>
        <w:t xml:space="preserve">The impact the </w:t>
      </w:r>
      <w:r w:rsidR="007A0E18">
        <w:t>Regulations</w:t>
      </w:r>
      <w:r>
        <w:t xml:space="preserve"> have on existing resource consents varies depending on</w:t>
      </w:r>
      <w:r w:rsidR="007A0E18">
        <w:t>:</w:t>
      </w:r>
    </w:p>
    <w:p w14:paraId="6F5E8DCB" w14:textId="77777777" w:rsidR="007A0E18" w:rsidRDefault="00CE22C6" w:rsidP="00152DF6">
      <w:pPr>
        <w:pStyle w:val="Bullet"/>
        <w:numPr>
          <w:ilvl w:val="0"/>
          <w:numId w:val="9"/>
        </w:numPr>
      </w:pPr>
      <w:r>
        <w:t>the nature of the consent</w:t>
      </w:r>
    </w:p>
    <w:p w14:paraId="1972966A" w14:textId="77777777" w:rsidR="007A0E18" w:rsidRDefault="007A0E18" w:rsidP="00152DF6">
      <w:pPr>
        <w:pStyle w:val="Bullet"/>
        <w:numPr>
          <w:ilvl w:val="0"/>
          <w:numId w:val="9"/>
        </w:numPr>
      </w:pPr>
      <w:r>
        <w:t>w</w:t>
      </w:r>
      <w:r w:rsidR="00CE22C6">
        <w:t>hen and if a decision has been made</w:t>
      </w:r>
    </w:p>
    <w:p w14:paraId="5C01291D" w14:textId="77777777" w:rsidR="007A0E18" w:rsidRDefault="00CE22C6" w:rsidP="00152DF6">
      <w:pPr>
        <w:pStyle w:val="Bullet"/>
        <w:numPr>
          <w:ilvl w:val="0"/>
          <w:numId w:val="9"/>
        </w:numPr>
      </w:pPr>
      <w:r>
        <w:t>when it is due for review</w:t>
      </w:r>
    </w:p>
    <w:p w14:paraId="339317C0" w14:textId="77777777" w:rsidR="007A0E18" w:rsidRDefault="00CE22C6" w:rsidP="00152DF6">
      <w:pPr>
        <w:pStyle w:val="Bullet"/>
        <w:numPr>
          <w:ilvl w:val="0"/>
          <w:numId w:val="9"/>
        </w:numPr>
      </w:pPr>
      <w:r>
        <w:t>whether the decision (</w:t>
      </w:r>
      <w:r w:rsidR="007A0E18">
        <w:t xml:space="preserve">and conditions of consent) </w:t>
      </w:r>
      <w:r w:rsidR="00FF6D37">
        <w:t>is</w:t>
      </w:r>
      <w:r>
        <w:t xml:space="preserve"> more stringent than the </w:t>
      </w:r>
      <w:r w:rsidR="00671120">
        <w:t>Regulations</w:t>
      </w:r>
      <w:r>
        <w:t xml:space="preserve">. </w:t>
      </w:r>
    </w:p>
    <w:p w14:paraId="2D02EEE7" w14:textId="77777777" w:rsidR="007A0E18" w:rsidRDefault="007A0E18" w:rsidP="00CE22C6">
      <w:pPr>
        <w:pStyle w:val="BodyText"/>
      </w:pPr>
    </w:p>
    <w:p w14:paraId="6493D8B3" w14:textId="77777777" w:rsidR="00CE22C6" w:rsidRDefault="00CE22C6" w:rsidP="00CE22C6">
      <w:pPr>
        <w:pStyle w:val="BodyText"/>
      </w:pPr>
      <w:r>
        <w:t>This is set out below</w:t>
      </w:r>
      <w:r w:rsidR="007A0563">
        <w:t xml:space="preserve"> – note that these Regulations are not retrospective.</w:t>
      </w:r>
    </w:p>
    <w:p w14:paraId="16ED417E" w14:textId="77777777" w:rsidR="00CE22C6" w:rsidRDefault="00CE22C6" w:rsidP="00CE22C6">
      <w:pPr>
        <w:pStyle w:val="BodyText"/>
      </w:pPr>
    </w:p>
    <w:p w14:paraId="26F638EB" w14:textId="77777777" w:rsidR="00CE22C6" w:rsidRDefault="00671120" w:rsidP="00CE22C6">
      <w:pPr>
        <w:pStyle w:val="BodyText"/>
      </w:pPr>
      <w:r>
        <w:t>In general r</w:t>
      </w:r>
      <w:r w:rsidR="00CE22C6">
        <w:t xml:space="preserve">egulations override rules in a regional plan or a resource consent unless the plan or resource consent has stricter controls </w:t>
      </w:r>
      <w:r w:rsidR="00CE22C6" w:rsidRPr="00B14DA8">
        <w:t>(section 43B(1)</w:t>
      </w:r>
      <w:r w:rsidR="00CE22C6">
        <w:t xml:space="preserve"> of the RMA</w:t>
      </w:r>
      <w:r w:rsidR="00CE22C6" w:rsidRPr="00B14DA8">
        <w:t xml:space="preserve">). </w:t>
      </w:r>
      <w:r w:rsidR="00CE22C6">
        <w:t>The following sub sections of section 43B are relevant in terms of resource consents:</w:t>
      </w:r>
    </w:p>
    <w:p w14:paraId="4EF26769" w14:textId="77777777" w:rsidR="00CE22C6" w:rsidRPr="00CE22C6" w:rsidRDefault="00CE22C6" w:rsidP="005F3633">
      <w:pPr>
        <w:pStyle w:val="BodyText"/>
        <w:spacing w:before="240"/>
        <w:ind w:left="1134" w:hanging="567"/>
        <w:rPr>
          <w:i/>
          <w:sz w:val="20"/>
        </w:rPr>
      </w:pPr>
      <w:r w:rsidRPr="00CE22C6">
        <w:rPr>
          <w:i/>
          <w:sz w:val="20"/>
        </w:rPr>
        <w:t xml:space="preserve"> (5)</w:t>
      </w:r>
      <w:r w:rsidRPr="00CE22C6">
        <w:rPr>
          <w:i/>
          <w:sz w:val="20"/>
        </w:rPr>
        <w:tab/>
        <w:t xml:space="preserve">A land use consent or a subdivision consent </w:t>
      </w:r>
      <w:r w:rsidRPr="00CE22C6">
        <w:rPr>
          <w:b/>
          <w:bCs/>
          <w:i/>
          <w:sz w:val="20"/>
        </w:rPr>
        <w:t>granted</w:t>
      </w:r>
      <w:r w:rsidRPr="00CE22C6">
        <w:rPr>
          <w:i/>
          <w:sz w:val="20"/>
        </w:rPr>
        <w:t xml:space="preserve"> </w:t>
      </w:r>
      <w:r w:rsidRPr="00CE22C6">
        <w:rPr>
          <w:b/>
          <w:bCs/>
          <w:i/>
          <w:sz w:val="20"/>
        </w:rPr>
        <w:t>before the date</w:t>
      </w:r>
      <w:r w:rsidRPr="00CE22C6">
        <w:rPr>
          <w:i/>
          <w:sz w:val="20"/>
        </w:rPr>
        <w:t xml:space="preserve"> on which a national environmental standard is notified in the </w:t>
      </w:r>
      <w:r w:rsidRPr="00CE22C6">
        <w:rPr>
          <w:iCs/>
          <w:sz w:val="20"/>
        </w:rPr>
        <w:t>Gazette</w:t>
      </w:r>
      <w:r w:rsidRPr="00CE22C6">
        <w:rPr>
          <w:i/>
          <w:sz w:val="20"/>
        </w:rPr>
        <w:t xml:space="preserve"> </w:t>
      </w:r>
      <w:r w:rsidRPr="00CE22C6">
        <w:rPr>
          <w:b/>
          <w:bCs/>
          <w:i/>
          <w:sz w:val="20"/>
        </w:rPr>
        <w:t>prevails over the standard</w:t>
      </w:r>
      <w:r w:rsidRPr="00CE22C6">
        <w:rPr>
          <w:i/>
          <w:sz w:val="20"/>
        </w:rPr>
        <w:t>.</w:t>
      </w:r>
    </w:p>
    <w:p w14:paraId="44761165" w14:textId="77777777" w:rsidR="00CE22C6" w:rsidRPr="00CE22C6" w:rsidRDefault="00CE22C6" w:rsidP="005F3633">
      <w:pPr>
        <w:pStyle w:val="BodyText"/>
        <w:spacing w:before="240"/>
        <w:ind w:left="1134" w:hanging="567"/>
        <w:rPr>
          <w:i/>
          <w:sz w:val="20"/>
        </w:rPr>
      </w:pPr>
      <w:r w:rsidRPr="00CE22C6">
        <w:rPr>
          <w:i/>
          <w:sz w:val="20"/>
        </w:rPr>
        <w:t>(6)</w:t>
      </w:r>
      <w:r w:rsidRPr="00CE22C6">
        <w:rPr>
          <w:i/>
          <w:sz w:val="20"/>
        </w:rPr>
        <w:tab/>
        <w:t xml:space="preserve">A coastal, water, or discharge permit </w:t>
      </w:r>
      <w:r w:rsidRPr="00CE22C6">
        <w:rPr>
          <w:b/>
          <w:bCs/>
          <w:i/>
          <w:sz w:val="20"/>
        </w:rPr>
        <w:t>granted before the date</w:t>
      </w:r>
      <w:r w:rsidRPr="00CE22C6">
        <w:rPr>
          <w:i/>
          <w:sz w:val="20"/>
        </w:rPr>
        <w:t xml:space="preserve"> on which a national environmental standard is notified in the </w:t>
      </w:r>
      <w:r w:rsidRPr="00CE22C6">
        <w:rPr>
          <w:iCs/>
          <w:sz w:val="20"/>
        </w:rPr>
        <w:t>Gazette</w:t>
      </w:r>
      <w:r w:rsidRPr="00CE22C6">
        <w:rPr>
          <w:i/>
          <w:sz w:val="20"/>
        </w:rPr>
        <w:t xml:space="preserve"> </w:t>
      </w:r>
      <w:r w:rsidRPr="00CE22C6">
        <w:rPr>
          <w:b/>
          <w:bCs/>
          <w:i/>
          <w:sz w:val="20"/>
        </w:rPr>
        <w:t>prevails over the standard until</w:t>
      </w:r>
      <w:r w:rsidRPr="00CE22C6">
        <w:rPr>
          <w:i/>
          <w:sz w:val="20"/>
        </w:rPr>
        <w:t xml:space="preserve"> a review of the permit's conditions under </w:t>
      </w:r>
      <w:hyperlink r:id="rId32" w:anchor="DLM235230" w:history="1">
        <w:r w:rsidRPr="00CE22C6">
          <w:rPr>
            <w:i/>
            <w:sz w:val="20"/>
          </w:rPr>
          <w:t>section 128(1)(ba)</w:t>
        </w:r>
      </w:hyperlink>
      <w:r w:rsidRPr="00CE22C6">
        <w:rPr>
          <w:i/>
          <w:sz w:val="20"/>
        </w:rPr>
        <w:t xml:space="preserve"> results in some or all of the standard prevailing over the permit.</w:t>
      </w:r>
    </w:p>
    <w:p w14:paraId="008618E7" w14:textId="77777777" w:rsidR="00CE22C6" w:rsidRDefault="00CE22C6" w:rsidP="005F3633">
      <w:pPr>
        <w:pStyle w:val="BodyText"/>
        <w:spacing w:before="240"/>
        <w:ind w:left="1134" w:hanging="567"/>
        <w:rPr>
          <w:i/>
          <w:sz w:val="20"/>
        </w:rPr>
      </w:pPr>
      <w:r w:rsidRPr="00CE22C6">
        <w:rPr>
          <w:i/>
          <w:sz w:val="20"/>
        </w:rPr>
        <w:t>(7)</w:t>
      </w:r>
      <w:r w:rsidRPr="00CE22C6">
        <w:rPr>
          <w:i/>
          <w:sz w:val="20"/>
        </w:rPr>
        <w:tab/>
        <w:t xml:space="preserve">This subsection applies to a resource consent not covered by subsection (5) or (6). The consent </w:t>
      </w:r>
      <w:r w:rsidRPr="00CE22C6">
        <w:rPr>
          <w:b/>
          <w:bCs/>
          <w:i/>
          <w:sz w:val="20"/>
        </w:rPr>
        <w:t>prevails over a national environmental standard</w:t>
      </w:r>
      <w:r w:rsidRPr="00CE22C6">
        <w:rPr>
          <w:i/>
          <w:sz w:val="20"/>
        </w:rPr>
        <w:t xml:space="preserve"> if the application giving rise to the consent was the subject of a decision on whether to notify it before the date on which the standard is notified in the </w:t>
      </w:r>
      <w:r w:rsidRPr="00CE22C6">
        <w:rPr>
          <w:iCs/>
          <w:sz w:val="20"/>
        </w:rPr>
        <w:t>Gazette</w:t>
      </w:r>
      <w:r w:rsidRPr="00CE22C6">
        <w:rPr>
          <w:i/>
          <w:sz w:val="20"/>
        </w:rPr>
        <w:t xml:space="preserve">. However, the consent </w:t>
      </w:r>
      <w:r w:rsidRPr="00CE22C6">
        <w:rPr>
          <w:b/>
          <w:bCs/>
          <w:i/>
          <w:sz w:val="20"/>
        </w:rPr>
        <w:t>does not prevail</w:t>
      </w:r>
      <w:r w:rsidRPr="00CE22C6">
        <w:rPr>
          <w:i/>
          <w:sz w:val="20"/>
        </w:rPr>
        <w:t xml:space="preserve"> if the standard expressly provides otherwise.</w:t>
      </w:r>
    </w:p>
    <w:p w14:paraId="3375F4CA" w14:textId="77777777" w:rsidR="00006C58" w:rsidRPr="00006C58" w:rsidRDefault="00006C58" w:rsidP="00006C58">
      <w:pPr>
        <w:pStyle w:val="BodyText"/>
      </w:pPr>
    </w:p>
    <w:p w14:paraId="4F3CBCEE" w14:textId="77777777" w:rsidR="00F85089" w:rsidRDefault="00F85089" w:rsidP="0056341B">
      <w:pPr>
        <w:pStyle w:val="Heading2"/>
      </w:pPr>
      <w:bookmarkStart w:id="27" w:name="_Toc300856592"/>
      <w:r>
        <w:t>2.</w:t>
      </w:r>
      <w:r w:rsidR="0056341B">
        <w:t>4</w:t>
      </w:r>
      <w:r>
        <w:tab/>
        <w:t>Enforcement</w:t>
      </w:r>
      <w:bookmarkEnd w:id="27"/>
    </w:p>
    <w:p w14:paraId="6828C9BE" w14:textId="77777777" w:rsidR="00CE22C6" w:rsidRPr="0028290A" w:rsidRDefault="00CE22C6" w:rsidP="00CE22C6">
      <w:r w:rsidRPr="0028290A">
        <w:t>Section 30(1)(f) of the RMA requires regional councils to control the disch</w:t>
      </w:r>
      <w:r w:rsidR="008D5A99">
        <w:t>arges of contaminants into air.</w:t>
      </w:r>
      <w:r w:rsidRPr="0028290A">
        <w:t xml:space="preserve"> In relation to the </w:t>
      </w:r>
      <w:r w:rsidR="007A0E18">
        <w:t xml:space="preserve">Regulations </w:t>
      </w:r>
      <w:r w:rsidRPr="0028290A">
        <w:t>section</w:t>
      </w:r>
      <w:r>
        <w:t>s</w:t>
      </w:r>
      <w:r w:rsidRPr="0028290A">
        <w:t xml:space="preserve"> 44A(7</w:t>
      </w:r>
      <w:r>
        <w:t>) and (</w:t>
      </w:r>
      <w:r w:rsidR="004B0B50">
        <w:t>8) of the RMA require</w:t>
      </w:r>
      <w:r w:rsidRPr="0028290A">
        <w:t xml:space="preserve"> that:</w:t>
      </w:r>
    </w:p>
    <w:p w14:paraId="7FD066EB" w14:textId="77777777" w:rsidR="00CE22C6" w:rsidRPr="00CE22C6" w:rsidRDefault="00CE22C6" w:rsidP="00152DF6">
      <w:pPr>
        <w:pStyle w:val="Bullet"/>
        <w:numPr>
          <w:ilvl w:val="0"/>
          <w:numId w:val="3"/>
        </w:numPr>
        <w:tabs>
          <w:tab w:val="clear" w:pos="720"/>
          <w:tab w:val="num" w:pos="1134"/>
        </w:tabs>
        <w:ind w:left="1134" w:hanging="567"/>
        <w:rPr>
          <w:sz w:val="20"/>
        </w:rPr>
      </w:pPr>
      <w:r w:rsidRPr="00CE22C6">
        <w:rPr>
          <w:i/>
          <w:sz w:val="20"/>
        </w:rPr>
        <w:t>Every local authority and consent authority must observe national environmental standards.</w:t>
      </w:r>
    </w:p>
    <w:p w14:paraId="790950F6" w14:textId="77777777" w:rsidR="00CE22C6" w:rsidRPr="00CE22C6" w:rsidRDefault="00CE22C6" w:rsidP="00152DF6">
      <w:pPr>
        <w:pStyle w:val="Bullet"/>
        <w:numPr>
          <w:ilvl w:val="0"/>
          <w:numId w:val="3"/>
        </w:numPr>
        <w:tabs>
          <w:tab w:val="clear" w:pos="720"/>
          <w:tab w:val="num" w:pos="1134"/>
        </w:tabs>
        <w:ind w:left="1134" w:hanging="567"/>
        <w:rPr>
          <w:sz w:val="20"/>
        </w:rPr>
      </w:pPr>
      <w:r w:rsidRPr="00CE22C6">
        <w:rPr>
          <w:i/>
          <w:sz w:val="20"/>
        </w:rPr>
        <w:t>Every local authority and consent authority must enforce the observance of national environmental standards to the extent to which their powers enable them to do so.</w:t>
      </w:r>
    </w:p>
    <w:p w14:paraId="7573D67D" w14:textId="77777777" w:rsidR="00CE22C6" w:rsidRPr="0028290A" w:rsidRDefault="00CE22C6" w:rsidP="00CE22C6"/>
    <w:p w14:paraId="77F8739D" w14:textId="77777777" w:rsidR="00E922DC" w:rsidRDefault="00CE22C6" w:rsidP="00E922DC">
      <w:r w:rsidRPr="0028290A">
        <w:t>There</w:t>
      </w:r>
      <w:r w:rsidR="007A0E18">
        <w:t xml:space="preserve"> is there</w:t>
      </w:r>
      <w:r w:rsidRPr="0028290A">
        <w:t xml:space="preserve">fore an obligation on regional councils to control discharges to air so as to comply with the </w:t>
      </w:r>
      <w:r w:rsidR="00671120">
        <w:t>Regulations</w:t>
      </w:r>
      <w:r>
        <w:t>.  A</w:t>
      </w:r>
      <w:r w:rsidRPr="00A72279">
        <w:t xml:space="preserve">ny council that does not undertake the requirements in the </w:t>
      </w:r>
      <w:r w:rsidR="00671120" w:rsidRPr="00A72279">
        <w:t>Regulations</w:t>
      </w:r>
      <w:r w:rsidRPr="00A72279">
        <w:t>, or fails</w:t>
      </w:r>
      <w:r w:rsidR="007A0563">
        <w:t>,</w:t>
      </w:r>
      <w:r w:rsidRPr="00A72279">
        <w:t xml:space="preserve"> </w:t>
      </w:r>
      <w:r w:rsidR="007A0563">
        <w:t>without good reason, to address the issue of enforcement</w:t>
      </w:r>
      <w:r>
        <w:t xml:space="preserve">, </w:t>
      </w:r>
      <w:r w:rsidR="007A0563">
        <w:t>will be considered to be</w:t>
      </w:r>
      <w:r w:rsidRPr="00A72279">
        <w:t xml:space="preserve"> failing to meet its responsibilities under the R</w:t>
      </w:r>
      <w:r>
        <w:t>MA</w:t>
      </w:r>
      <w:r w:rsidRPr="00690721">
        <w:t>.</w:t>
      </w:r>
    </w:p>
    <w:p w14:paraId="11785822" w14:textId="77777777" w:rsidR="00CE22C6" w:rsidRDefault="007A0E18" w:rsidP="00E922DC">
      <w:pPr>
        <w:pStyle w:val="Heading3"/>
      </w:pPr>
      <w:r>
        <w:t>2.4.1</w:t>
      </w:r>
      <w:r>
        <w:tab/>
        <w:t>W</w:t>
      </w:r>
      <w:r w:rsidR="00CE22C6">
        <w:t>hat enforcement tool</w:t>
      </w:r>
      <w:r>
        <w:t>s are available to</w:t>
      </w:r>
      <w:r w:rsidR="00CE22C6">
        <w:t xml:space="preserve"> councils?</w:t>
      </w:r>
    </w:p>
    <w:p w14:paraId="50D9BAD6" w14:textId="77777777" w:rsidR="00101B86" w:rsidRDefault="00101B86" w:rsidP="00101B86">
      <w:r>
        <w:t>A summary of the enforcement tools availa</w:t>
      </w:r>
      <w:r w:rsidR="00A167CA">
        <w:t>ble to councils is given below.</w:t>
      </w:r>
      <w:r>
        <w:t xml:space="preserve"> This list is not exhaustive and any council considering enforcement action should always seek legal advice prior to undertaking the enforcement action.</w:t>
      </w:r>
    </w:p>
    <w:p w14:paraId="4BE17D35" w14:textId="77777777" w:rsidR="00CE22C6" w:rsidRPr="009C4C52" w:rsidRDefault="00CE22C6" w:rsidP="00CE22C6">
      <w:pPr>
        <w:pStyle w:val="Heading5"/>
      </w:pPr>
      <w:r w:rsidRPr="009C4C52">
        <w:t>Abatement Notices</w:t>
      </w:r>
      <w:r>
        <w:t xml:space="preserve"> (Local Authority) </w:t>
      </w:r>
    </w:p>
    <w:p w14:paraId="248D2F73" w14:textId="77777777" w:rsidR="00CE22C6" w:rsidRDefault="00CE22C6" w:rsidP="00CE22C6">
      <w:r>
        <w:t>Section 322 enable</w:t>
      </w:r>
      <w:r w:rsidR="0056341B">
        <w:t>s Abatement notices to be issued</w:t>
      </w:r>
      <w:r>
        <w:t xml:space="preserve"> as set out below: </w:t>
      </w:r>
    </w:p>
    <w:p w14:paraId="57621668" w14:textId="77777777" w:rsidR="00CE22C6" w:rsidRPr="009C4C52" w:rsidRDefault="00CE22C6" w:rsidP="00CE22C6">
      <w:pPr>
        <w:pStyle w:val="Heading5"/>
        <w:shd w:val="clear" w:color="auto" w:fill="FFFFFF"/>
        <w:ind w:left="1134" w:hanging="567"/>
        <w:rPr>
          <w:rFonts w:ascii="Times New Roman" w:hAnsi="Times New Roman"/>
          <w:b/>
          <w:color w:val="000000"/>
          <w:szCs w:val="22"/>
        </w:rPr>
      </w:pPr>
      <w:r w:rsidRPr="009C4C52">
        <w:rPr>
          <w:rFonts w:ascii="Times New Roman" w:hAnsi="Times New Roman"/>
          <w:b/>
          <w:bCs w:val="0"/>
          <w:color w:val="000000"/>
          <w:szCs w:val="22"/>
        </w:rPr>
        <w:t>Scope of abatement notice</w:t>
      </w:r>
    </w:p>
    <w:p w14:paraId="6902867F" w14:textId="77777777" w:rsidR="00CE22C6" w:rsidRPr="00CE22C6" w:rsidRDefault="00CE22C6" w:rsidP="0056341B">
      <w:pPr>
        <w:pStyle w:val="labelled"/>
        <w:shd w:val="clear" w:color="auto" w:fill="FFFFFF"/>
        <w:ind w:left="1134" w:hanging="567"/>
        <w:jc w:val="both"/>
        <w:rPr>
          <w:i/>
          <w:color w:val="000000"/>
          <w:sz w:val="20"/>
          <w:szCs w:val="20"/>
        </w:rPr>
      </w:pPr>
      <w:r w:rsidRPr="00CE22C6">
        <w:rPr>
          <w:rStyle w:val="label"/>
          <w:i/>
          <w:color w:val="000000"/>
          <w:sz w:val="20"/>
          <w:szCs w:val="20"/>
        </w:rPr>
        <w:t>(1)</w:t>
      </w:r>
      <w:r w:rsidRPr="00CE22C6">
        <w:rPr>
          <w:rStyle w:val="spc"/>
          <w:i/>
          <w:color w:val="000000"/>
          <w:sz w:val="20"/>
          <w:szCs w:val="20"/>
        </w:rPr>
        <w:t> </w:t>
      </w:r>
      <w:r w:rsidR="0056341B">
        <w:rPr>
          <w:rStyle w:val="spc"/>
          <w:i/>
          <w:color w:val="000000"/>
          <w:sz w:val="20"/>
          <w:szCs w:val="20"/>
        </w:rPr>
        <w:tab/>
      </w:r>
      <w:r w:rsidRPr="00CE22C6">
        <w:rPr>
          <w:i/>
          <w:color w:val="000000"/>
          <w:sz w:val="20"/>
          <w:szCs w:val="20"/>
        </w:rPr>
        <w:t>An abatement notice may be served on any person by an enforcement officer—</w:t>
      </w:r>
    </w:p>
    <w:p w14:paraId="20EE9380" w14:textId="77777777" w:rsidR="00CE22C6" w:rsidRPr="00CE22C6" w:rsidRDefault="00CE22C6" w:rsidP="0056341B">
      <w:pPr>
        <w:pStyle w:val="labelled"/>
        <w:shd w:val="clear" w:color="auto" w:fill="FFFFFF"/>
        <w:ind w:left="1701" w:hanging="567"/>
        <w:jc w:val="both"/>
        <w:rPr>
          <w:i/>
          <w:color w:val="000000"/>
          <w:sz w:val="20"/>
          <w:szCs w:val="20"/>
        </w:rPr>
      </w:pPr>
      <w:r w:rsidRPr="00CE22C6">
        <w:rPr>
          <w:rStyle w:val="label"/>
          <w:i/>
          <w:color w:val="000000"/>
          <w:sz w:val="20"/>
          <w:szCs w:val="20"/>
        </w:rPr>
        <w:t>(a)</w:t>
      </w:r>
      <w:r w:rsidRPr="00CE22C6">
        <w:rPr>
          <w:rStyle w:val="spc"/>
          <w:i/>
          <w:color w:val="000000"/>
          <w:sz w:val="20"/>
          <w:szCs w:val="20"/>
        </w:rPr>
        <w:t> </w:t>
      </w:r>
      <w:r w:rsidRPr="00CE22C6">
        <w:rPr>
          <w:i/>
          <w:color w:val="000000"/>
          <w:sz w:val="20"/>
          <w:szCs w:val="20"/>
        </w:rPr>
        <w:t>requiring that person to cease, or prohibiting that person from commencing, anything done or to be done by or on behalf of that person that, in the opinion of the enforcement officer,—</w:t>
      </w:r>
    </w:p>
    <w:p w14:paraId="7B9D5569" w14:textId="77777777" w:rsidR="00CE22C6" w:rsidRPr="00CE22C6" w:rsidRDefault="00CE22C6" w:rsidP="0056341B">
      <w:pPr>
        <w:pStyle w:val="labelled"/>
        <w:shd w:val="clear" w:color="auto" w:fill="FFFFFF"/>
        <w:ind w:left="2268" w:hanging="567"/>
        <w:jc w:val="both"/>
        <w:rPr>
          <w:i/>
          <w:color w:val="000000"/>
          <w:sz w:val="20"/>
          <w:szCs w:val="20"/>
        </w:rPr>
      </w:pPr>
      <w:r w:rsidRPr="00CE22C6">
        <w:rPr>
          <w:rStyle w:val="label"/>
          <w:i/>
          <w:color w:val="000000"/>
          <w:sz w:val="20"/>
          <w:szCs w:val="20"/>
        </w:rPr>
        <w:t>(i)</w:t>
      </w:r>
      <w:r w:rsidRPr="00CE22C6">
        <w:rPr>
          <w:rStyle w:val="spc"/>
          <w:i/>
          <w:color w:val="000000"/>
          <w:sz w:val="20"/>
          <w:szCs w:val="20"/>
        </w:rPr>
        <w:t> </w:t>
      </w:r>
      <w:r w:rsidR="0056341B">
        <w:rPr>
          <w:rStyle w:val="spc"/>
          <w:i/>
          <w:color w:val="000000"/>
          <w:sz w:val="20"/>
          <w:szCs w:val="20"/>
        </w:rPr>
        <w:tab/>
      </w:r>
      <w:r w:rsidRPr="00CE22C6">
        <w:rPr>
          <w:i/>
          <w:color w:val="000000"/>
          <w:sz w:val="20"/>
          <w:szCs w:val="20"/>
        </w:rPr>
        <w:t xml:space="preserve">contravenes or is likely to contravene this Act, </w:t>
      </w:r>
      <w:r w:rsidRPr="00CE22C6">
        <w:rPr>
          <w:b/>
          <w:bCs/>
          <w:i/>
          <w:color w:val="000000"/>
          <w:sz w:val="20"/>
          <w:szCs w:val="20"/>
        </w:rPr>
        <w:t>any regulations</w:t>
      </w:r>
      <w:r w:rsidRPr="00CE22C6">
        <w:rPr>
          <w:i/>
          <w:color w:val="000000"/>
          <w:sz w:val="20"/>
          <w:szCs w:val="20"/>
        </w:rPr>
        <w:t>, a rule in a plan, or a resource consent; or</w:t>
      </w:r>
    </w:p>
    <w:p w14:paraId="5DE29B06" w14:textId="77777777" w:rsidR="00CE22C6" w:rsidRPr="00CE22C6" w:rsidRDefault="00CE22C6" w:rsidP="0056341B">
      <w:pPr>
        <w:pStyle w:val="labelled"/>
        <w:shd w:val="clear" w:color="auto" w:fill="FFFFFF"/>
        <w:ind w:left="2268" w:hanging="567"/>
        <w:jc w:val="both"/>
        <w:rPr>
          <w:i/>
          <w:color w:val="000000"/>
          <w:sz w:val="20"/>
          <w:szCs w:val="20"/>
        </w:rPr>
      </w:pPr>
      <w:r w:rsidRPr="00CE22C6">
        <w:rPr>
          <w:rStyle w:val="label"/>
          <w:i/>
          <w:color w:val="000000"/>
          <w:sz w:val="20"/>
          <w:szCs w:val="20"/>
        </w:rPr>
        <w:t>(ii)</w:t>
      </w:r>
      <w:r w:rsidRPr="00CE22C6">
        <w:rPr>
          <w:rStyle w:val="spc"/>
          <w:i/>
          <w:color w:val="000000"/>
          <w:sz w:val="20"/>
          <w:szCs w:val="20"/>
        </w:rPr>
        <w:t> </w:t>
      </w:r>
      <w:r w:rsidR="0056341B">
        <w:rPr>
          <w:rStyle w:val="spc"/>
          <w:i/>
          <w:color w:val="000000"/>
          <w:sz w:val="20"/>
          <w:szCs w:val="20"/>
        </w:rPr>
        <w:tab/>
      </w:r>
      <w:r w:rsidRPr="00CE22C6">
        <w:rPr>
          <w:i/>
          <w:color w:val="000000"/>
          <w:sz w:val="20"/>
          <w:szCs w:val="20"/>
        </w:rPr>
        <w:t>is or is likely to be noxious, dangerous, offensive, or objectionable to such an extent that it has or is likely to have an adverse effect on the environment</w:t>
      </w:r>
    </w:p>
    <w:p w14:paraId="59621503" w14:textId="77777777" w:rsidR="00CE22C6" w:rsidRDefault="00CE22C6" w:rsidP="00CE22C6"/>
    <w:p w14:paraId="22CCFA25" w14:textId="77777777" w:rsidR="00CE22C6" w:rsidRDefault="00CE22C6" w:rsidP="007A0E18">
      <w:pPr>
        <w:pStyle w:val="BodyText"/>
      </w:pPr>
      <w:r>
        <w:t>Accordingly regional council</w:t>
      </w:r>
      <w:r w:rsidR="00667920">
        <w:t>s</w:t>
      </w:r>
      <w:r>
        <w:t xml:space="preserve"> </w:t>
      </w:r>
      <w:r w:rsidR="00667920">
        <w:t>can issue</w:t>
      </w:r>
      <w:r>
        <w:t xml:space="preserve"> an abatement notice in respect of a </w:t>
      </w:r>
      <w:r w:rsidR="00A02F1E">
        <w:t xml:space="preserve">contravention </w:t>
      </w:r>
      <w:r>
        <w:t xml:space="preserve">of the </w:t>
      </w:r>
      <w:r w:rsidR="007A0E18">
        <w:t>Regulations</w:t>
      </w:r>
      <w:r w:rsidR="00667920">
        <w:t>.</w:t>
      </w:r>
    </w:p>
    <w:p w14:paraId="2CA5200E" w14:textId="77777777" w:rsidR="00CE22C6" w:rsidRDefault="00CE22C6" w:rsidP="00667920">
      <w:pPr>
        <w:pStyle w:val="Heading5"/>
      </w:pPr>
      <w:r w:rsidRPr="008D6FC8">
        <w:t>Enforcement Order</w:t>
      </w:r>
      <w:r>
        <w:t xml:space="preserve"> (Environment Court) </w:t>
      </w:r>
    </w:p>
    <w:p w14:paraId="55CB7EEB" w14:textId="77777777" w:rsidR="00667920" w:rsidRDefault="00F423DE" w:rsidP="00667920">
      <w:pPr>
        <w:pStyle w:val="BodyText"/>
        <w:jc w:val="left"/>
      </w:pPr>
      <w:r>
        <w:t>Section 319 of the RMA enables an</w:t>
      </w:r>
      <w:r w:rsidR="00CE22C6" w:rsidRPr="008D6FC8">
        <w:t xml:space="preserve"> </w:t>
      </w:r>
      <w:r w:rsidR="00CE22C6">
        <w:t xml:space="preserve">application </w:t>
      </w:r>
      <w:r>
        <w:t>to be</w:t>
      </w:r>
      <w:r w:rsidR="00CE22C6">
        <w:t xml:space="preserve"> made for an Enforcement Or</w:t>
      </w:r>
      <w:r w:rsidR="00667920">
        <w:t>der</w:t>
      </w:r>
      <w:r w:rsidR="00A167CA">
        <w:t>.</w:t>
      </w:r>
      <w:r>
        <w:t xml:space="preserve"> If an Enforcement Order is made under section 214 of the RMA the</w:t>
      </w:r>
      <w:r w:rsidR="00CE22C6">
        <w:t xml:space="preserve"> Environment Court can require</w:t>
      </w:r>
      <w:r>
        <w:t>:</w:t>
      </w:r>
      <w:r w:rsidR="00CE22C6">
        <w:t xml:space="preserve"> </w:t>
      </w:r>
    </w:p>
    <w:p w14:paraId="7AD0E24C" w14:textId="77777777" w:rsidR="00667920" w:rsidRDefault="00667920" w:rsidP="00667920">
      <w:pPr>
        <w:pStyle w:val="BodyText"/>
        <w:jc w:val="left"/>
      </w:pPr>
    </w:p>
    <w:p w14:paraId="3A867126" w14:textId="77777777" w:rsidR="00667920" w:rsidRPr="00667920" w:rsidRDefault="00667920" w:rsidP="0056341B">
      <w:pPr>
        <w:pStyle w:val="BodyText"/>
        <w:ind w:left="1134" w:hanging="567"/>
        <w:jc w:val="left"/>
        <w:rPr>
          <w:b/>
          <w:i/>
          <w:sz w:val="20"/>
        </w:rPr>
      </w:pPr>
      <w:r w:rsidRPr="00667920">
        <w:rPr>
          <w:b/>
          <w:i/>
          <w:sz w:val="20"/>
        </w:rPr>
        <w:t>314</w:t>
      </w:r>
      <w:r w:rsidRPr="00667920">
        <w:rPr>
          <w:b/>
          <w:i/>
          <w:sz w:val="20"/>
        </w:rPr>
        <w:tab/>
        <w:t>Scope of enforcement order</w:t>
      </w:r>
    </w:p>
    <w:p w14:paraId="52AF9C3D" w14:textId="77777777" w:rsidR="00667920" w:rsidRPr="00667920" w:rsidRDefault="00667920" w:rsidP="0056341B">
      <w:pPr>
        <w:pStyle w:val="BodyText"/>
        <w:ind w:left="1134" w:hanging="567"/>
        <w:jc w:val="left"/>
        <w:rPr>
          <w:i/>
          <w:sz w:val="20"/>
        </w:rPr>
      </w:pPr>
      <w:r w:rsidRPr="00667920">
        <w:rPr>
          <w:i/>
          <w:sz w:val="20"/>
        </w:rPr>
        <w:t>(1)</w:t>
      </w:r>
      <w:r w:rsidRPr="00667920">
        <w:rPr>
          <w:i/>
          <w:sz w:val="20"/>
        </w:rPr>
        <w:tab/>
        <w:t>An enforcement order is an order made under section 319 by the Environment Court that may do any 1 or more of the following:</w:t>
      </w:r>
    </w:p>
    <w:p w14:paraId="3609BD68" w14:textId="77777777" w:rsidR="00CE22C6" w:rsidRPr="00667920" w:rsidRDefault="00CE22C6" w:rsidP="0056341B">
      <w:pPr>
        <w:pStyle w:val="BodyText"/>
        <w:ind w:left="1701" w:hanging="567"/>
        <w:jc w:val="left"/>
        <w:rPr>
          <w:i/>
          <w:color w:val="000000"/>
          <w:sz w:val="20"/>
        </w:rPr>
      </w:pPr>
      <w:r w:rsidRPr="00667920">
        <w:rPr>
          <w:rStyle w:val="label"/>
          <w:i/>
          <w:color w:val="000000"/>
          <w:sz w:val="20"/>
        </w:rPr>
        <w:t>(a)</w:t>
      </w:r>
      <w:r w:rsidRPr="00667920">
        <w:rPr>
          <w:rStyle w:val="spc"/>
          <w:i/>
          <w:color w:val="000000"/>
          <w:sz w:val="20"/>
        </w:rPr>
        <w:t> </w:t>
      </w:r>
      <w:r w:rsidR="00667920">
        <w:rPr>
          <w:rStyle w:val="spc"/>
          <w:i/>
          <w:color w:val="000000"/>
          <w:sz w:val="20"/>
        </w:rPr>
        <w:tab/>
      </w:r>
      <w:r w:rsidRPr="00667920">
        <w:rPr>
          <w:i/>
          <w:color w:val="000000"/>
          <w:sz w:val="20"/>
        </w:rPr>
        <w:t>require a person to cease, or prohibit a person from commencing, anything done or to be done by or on behalf of that person, that, in the opinion of the court,—</w:t>
      </w:r>
    </w:p>
    <w:p w14:paraId="2EB4122E" w14:textId="77777777" w:rsidR="00CE22C6" w:rsidRPr="00667920" w:rsidRDefault="00CE22C6" w:rsidP="0056341B">
      <w:pPr>
        <w:pStyle w:val="labelled"/>
        <w:shd w:val="clear" w:color="auto" w:fill="FFFFFF"/>
        <w:ind w:left="2268" w:hanging="567"/>
        <w:rPr>
          <w:i/>
          <w:color w:val="000000"/>
          <w:sz w:val="20"/>
          <w:szCs w:val="20"/>
        </w:rPr>
      </w:pPr>
      <w:r w:rsidRPr="00667920">
        <w:rPr>
          <w:rStyle w:val="label"/>
          <w:i/>
          <w:color w:val="000000"/>
          <w:sz w:val="20"/>
          <w:szCs w:val="20"/>
        </w:rPr>
        <w:t>(i)</w:t>
      </w:r>
      <w:r w:rsidRPr="00667920">
        <w:rPr>
          <w:rStyle w:val="spc"/>
          <w:i/>
          <w:color w:val="000000"/>
          <w:sz w:val="20"/>
          <w:szCs w:val="20"/>
        </w:rPr>
        <w:t> </w:t>
      </w:r>
      <w:r w:rsidR="0056341B">
        <w:rPr>
          <w:rStyle w:val="spc"/>
          <w:i/>
          <w:color w:val="000000"/>
          <w:sz w:val="20"/>
          <w:szCs w:val="20"/>
        </w:rPr>
        <w:tab/>
      </w:r>
      <w:r w:rsidRPr="00667920">
        <w:rPr>
          <w:i/>
          <w:color w:val="000000"/>
          <w:sz w:val="20"/>
          <w:szCs w:val="20"/>
        </w:rPr>
        <w:t xml:space="preserve">contravenes or is likely to contravene this Act, </w:t>
      </w:r>
      <w:r w:rsidRPr="00667920">
        <w:rPr>
          <w:b/>
          <w:i/>
          <w:color w:val="000000"/>
          <w:sz w:val="20"/>
          <w:szCs w:val="20"/>
        </w:rPr>
        <w:t>any regulations</w:t>
      </w:r>
      <w:r w:rsidRPr="00667920">
        <w:rPr>
          <w:i/>
          <w:color w:val="000000"/>
          <w:sz w:val="20"/>
          <w:szCs w:val="20"/>
        </w:rPr>
        <w:t xml:space="preserve">, a rule in a plan, a rule in a proposed plan, a requirement for a designation or for a heritage order, or a resource consent, </w:t>
      </w:r>
      <w:r w:rsidR="00667920">
        <w:rPr>
          <w:i/>
          <w:color w:val="000000"/>
          <w:sz w:val="20"/>
          <w:szCs w:val="20"/>
        </w:rPr>
        <w:t>section 10</w:t>
      </w:r>
      <w:r w:rsidRPr="00667920">
        <w:rPr>
          <w:i/>
          <w:color w:val="000000"/>
          <w:sz w:val="20"/>
          <w:szCs w:val="20"/>
        </w:rPr>
        <w:t xml:space="preserve">(certain existing uses protected), or </w:t>
      </w:r>
      <w:r w:rsidR="00667920">
        <w:rPr>
          <w:i/>
          <w:color w:val="000000"/>
          <w:sz w:val="20"/>
          <w:szCs w:val="20"/>
        </w:rPr>
        <w:t>section 20A</w:t>
      </w:r>
      <w:r w:rsidRPr="00667920">
        <w:rPr>
          <w:i/>
          <w:color w:val="000000"/>
          <w:sz w:val="20"/>
          <w:szCs w:val="20"/>
        </w:rPr>
        <w:t xml:space="preserve"> (certain existing lawful activities allowed); or</w:t>
      </w:r>
    </w:p>
    <w:p w14:paraId="4D2A288E" w14:textId="77777777" w:rsidR="00CE22C6" w:rsidRPr="00667920" w:rsidRDefault="00CE22C6" w:rsidP="0056341B">
      <w:pPr>
        <w:pStyle w:val="labelled"/>
        <w:shd w:val="clear" w:color="auto" w:fill="FFFFFF"/>
        <w:ind w:left="2268" w:hanging="567"/>
        <w:rPr>
          <w:i/>
          <w:color w:val="000000"/>
          <w:sz w:val="20"/>
          <w:szCs w:val="20"/>
        </w:rPr>
      </w:pPr>
      <w:r w:rsidRPr="00667920">
        <w:rPr>
          <w:rStyle w:val="label"/>
          <w:i/>
          <w:color w:val="000000"/>
          <w:sz w:val="20"/>
          <w:szCs w:val="20"/>
        </w:rPr>
        <w:t>(ii)</w:t>
      </w:r>
      <w:r w:rsidRPr="00667920">
        <w:rPr>
          <w:rStyle w:val="spc"/>
          <w:i/>
          <w:color w:val="000000"/>
          <w:sz w:val="20"/>
          <w:szCs w:val="20"/>
        </w:rPr>
        <w:t> </w:t>
      </w:r>
      <w:r w:rsidR="0056341B">
        <w:rPr>
          <w:rStyle w:val="spc"/>
          <w:i/>
          <w:color w:val="000000"/>
          <w:sz w:val="20"/>
          <w:szCs w:val="20"/>
        </w:rPr>
        <w:tab/>
      </w:r>
      <w:r w:rsidRPr="00667920">
        <w:rPr>
          <w:i/>
          <w:color w:val="000000"/>
          <w:sz w:val="20"/>
          <w:szCs w:val="20"/>
        </w:rPr>
        <w:t>is or is likely to be noxious, dangerous, offensive, or objectionable to such an extent that it has or is likely to have an adverse effect on the environment.</w:t>
      </w:r>
    </w:p>
    <w:p w14:paraId="6562B21D" w14:textId="77777777" w:rsidR="00667920" w:rsidRDefault="00CE22C6" w:rsidP="00667920">
      <w:pPr>
        <w:pStyle w:val="Heading5"/>
      </w:pPr>
      <w:r w:rsidRPr="002126BA">
        <w:t xml:space="preserve">Environmental Infringement Notices </w:t>
      </w:r>
      <w:r w:rsidR="00675F61">
        <w:t>(Local Authority)</w:t>
      </w:r>
    </w:p>
    <w:p w14:paraId="1657FD45" w14:textId="77777777" w:rsidR="0056341B" w:rsidRDefault="0056341B" w:rsidP="0056341B">
      <w:r>
        <w:t xml:space="preserve">Environmental Infringement Notices (EINs) are instant fines under the RMA.  </w:t>
      </w:r>
    </w:p>
    <w:p w14:paraId="489C07C6" w14:textId="77777777" w:rsidR="00675F61" w:rsidRDefault="00675F61" w:rsidP="0056341B"/>
    <w:p w14:paraId="24E30A40" w14:textId="77777777" w:rsidR="00CE22C6" w:rsidRPr="00AF2284" w:rsidRDefault="00CE22C6" w:rsidP="00AF2284">
      <w:pPr>
        <w:ind w:left="1134" w:hanging="567"/>
        <w:rPr>
          <w:b/>
          <w:i/>
          <w:sz w:val="20"/>
        </w:rPr>
      </w:pPr>
      <w:r w:rsidRPr="00AF2284">
        <w:rPr>
          <w:b/>
          <w:i/>
          <w:sz w:val="20"/>
        </w:rPr>
        <w:t xml:space="preserve">343A </w:t>
      </w:r>
      <w:r w:rsidRPr="00AF2284">
        <w:rPr>
          <w:rStyle w:val="spc"/>
          <w:b/>
          <w:bCs/>
          <w:i/>
          <w:color w:val="000000"/>
          <w:sz w:val="20"/>
        </w:rPr>
        <w:t> </w:t>
      </w:r>
      <w:r w:rsidRPr="00AF2284">
        <w:rPr>
          <w:b/>
          <w:i/>
          <w:sz w:val="20"/>
        </w:rPr>
        <w:t>Infringement offences</w:t>
      </w:r>
    </w:p>
    <w:p w14:paraId="350D127E" w14:textId="77777777" w:rsidR="00CE22C6" w:rsidRPr="00667920" w:rsidRDefault="00CE22C6" w:rsidP="0056341B">
      <w:pPr>
        <w:pStyle w:val="label8"/>
        <w:shd w:val="clear" w:color="auto" w:fill="FFFFFF"/>
        <w:ind w:left="1701" w:hanging="567"/>
        <w:rPr>
          <w:i/>
          <w:color w:val="000000"/>
          <w:sz w:val="20"/>
          <w:szCs w:val="20"/>
        </w:rPr>
      </w:pPr>
      <w:r w:rsidRPr="00667920">
        <w:rPr>
          <w:i/>
          <w:color w:val="000000"/>
          <w:sz w:val="20"/>
          <w:szCs w:val="20"/>
        </w:rPr>
        <w:t xml:space="preserve">In </w:t>
      </w:r>
      <w:r w:rsidRPr="00667920">
        <w:rPr>
          <w:i/>
          <w:sz w:val="20"/>
          <w:szCs w:val="20"/>
          <w:shd w:val="clear" w:color="auto" w:fill="FFFFFF"/>
        </w:rPr>
        <w:t>sections 343B to 343D</w:t>
      </w:r>
      <w:r w:rsidR="00667920" w:rsidRPr="00667920">
        <w:rPr>
          <w:i/>
          <w:sz w:val="20"/>
          <w:szCs w:val="20"/>
        </w:rPr>
        <w:t xml:space="preserve"> </w:t>
      </w:r>
      <w:r w:rsidRPr="00667920">
        <w:rPr>
          <w:i/>
          <w:color w:val="000000"/>
          <w:sz w:val="20"/>
          <w:szCs w:val="20"/>
        </w:rPr>
        <w:t>—</w:t>
      </w:r>
    </w:p>
    <w:p w14:paraId="518B2C10" w14:textId="77777777" w:rsidR="0056341B" w:rsidRDefault="0056341B" w:rsidP="0056341B">
      <w:pPr>
        <w:pStyle w:val="text"/>
        <w:shd w:val="clear" w:color="auto" w:fill="FFFFFF"/>
        <w:ind w:left="1134" w:hanging="567"/>
        <w:rPr>
          <w:rStyle w:val="HTMLDefinition"/>
          <w:b/>
          <w:bCs/>
          <w:iCs w:val="0"/>
          <w:color w:val="000000"/>
          <w:sz w:val="20"/>
          <w:szCs w:val="20"/>
        </w:rPr>
      </w:pPr>
    </w:p>
    <w:p w14:paraId="632635CE" w14:textId="77777777" w:rsidR="00CE22C6" w:rsidRPr="00667920" w:rsidRDefault="00CE22C6" w:rsidP="0056341B">
      <w:pPr>
        <w:pStyle w:val="text"/>
        <w:shd w:val="clear" w:color="auto" w:fill="FFFFFF"/>
        <w:ind w:left="1134"/>
        <w:rPr>
          <w:i/>
          <w:color w:val="000000"/>
          <w:sz w:val="20"/>
          <w:szCs w:val="20"/>
        </w:rPr>
      </w:pPr>
      <w:r w:rsidRPr="00667920">
        <w:rPr>
          <w:rStyle w:val="HTMLDefinition"/>
          <w:b/>
          <w:bCs/>
          <w:iCs w:val="0"/>
          <w:color w:val="000000"/>
          <w:sz w:val="20"/>
          <w:szCs w:val="20"/>
        </w:rPr>
        <w:t>infringement offence</w:t>
      </w:r>
      <w:r w:rsidRPr="00667920">
        <w:rPr>
          <w:i/>
          <w:color w:val="000000"/>
          <w:sz w:val="20"/>
          <w:szCs w:val="20"/>
        </w:rPr>
        <w:t xml:space="preserve"> means an offence specified as such in regulations made under </w:t>
      </w:r>
      <w:r w:rsidRPr="00667920">
        <w:rPr>
          <w:i/>
          <w:sz w:val="20"/>
          <w:szCs w:val="20"/>
          <w:shd w:val="clear" w:color="auto" w:fill="FFFFFF"/>
        </w:rPr>
        <w:t>section 360(1)(ba)</w:t>
      </w:r>
      <w:r w:rsidRPr="00667920">
        <w:rPr>
          <w:i/>
          <w:sz w:val="20"/>
          <w:szCs w:val="20"/>
        </w:rPr>
        <w:t>.</w:t>
      </w:r>
    </w:p>
    <w:p w14:paraId="4BEB116D" w14:textId="77777777" w:rsidR="004B0B50" w:rsidRDefault="004B0B50" w:rsidP="004B0B50">
      <w:pPr>
        <w:ind w:left="1134" w:hanging="567"/>
        <w:rPr>
          <w:b/>
          <w:i/>
          <w:sz w:val="20"/>
        </w:rPr>
      </w:pPr>
    </w:p>
    <w:p w14:paraId="14086A87" w14:textId="77777777" w:rsidR="00CE22C6" w:rsidRPr="004B0B50" w:rsidRDefault="00CE22C6" w:rsidP="004B0B50">
      <w:pPr>
        <w:ind w:left="1134" w:hanging="567"/>
        <w:rPr>
          <w:b/>
          <w:i/>
          <w:sz w:val="20"/>
        </w:rPr>
      </w:pPr>
      <w:r w:rsidRPr="004B0B50">
        <w:rPr>
          <w:b/>
          <w:i/>
          <w:sz w:val="20"/>
        </w:rPr>
        <w:t>Section 360 -  Regulations</w:t>
      </w:r>
    </w:p>
    <w:p w14:paraId="21EB6E0C" w14:textId="77777777" w:rsidR="00CE22C6" w:rsidRPr="00E71322" w:rsidRDefault="00CE22C6" w:rsidP="0056341B">
      <w:pPr>
        <w:pStyle w:val="labelled"/>
        <w:shd w:val="clear" w:color="auto" w:fill="FFFFFF"/>
        <w:ind w:left="1134" w:hanging="567"/>
        <w:rPr>
          <w:i/>
          <w:color w:val="000000"/>
          <w:sz w:val="20"/>
          <w:szCs w:val="20"/>
        </w:rPr>
      </w:pPr>
      <w:r w:rsidRPr="00E71322">
        <w:rPr>
          <w:rStyle w:val="label"/>
          <w:i/>
          <w:color w:val="000000"/>
          <w:sz w:val="20"/>
          <w:szCs w:val="20"/>
        </w:rPr>
        <w:t>(1)</w:t>
      </w:r>
      <w:r w:rsidRPr="00E71322">
        <w:rPr>
          <w:rStyle w:val="spc"/>
          <w:i/>
          <w:color w:val="000000"/>
          <w:sz w:val="20"/>
          <w:szCs w:val="20"/>
        </w:rPr>
        <w:t> </w:t>
      </w:r>
      <w:r w:rsidR="0056341B">
        <w:rPr>
          <w:rStyle w:val="spc"/>
          <w:i/>
          <w:color w:val="000000"/>
          <w:sz w:val="20"/>
          <w:szCs w:val="20"/>
        </w:rPr>
        <w:tab/>
      </w:r>
      <w:r w:rsidRPr="00E71322">
        <w:rPr>
          <w:i/>
          <w:color w:val="000000"/>
          <w:sz w:val="20"/>
          <w:szCs w:val="20"/>
        </w:rPr>
        <w:t>The Governor-General may from time to time, by Order in Council, make regulations for all or any of the following purposes</w:t>
      </w:r>
    </w:p>
    <w:p w14:paraId="5FE99441" w14:textId="77777777" w:rsidR="00CE22C6" w:rsidRPr="00E71322" w:rsidRDefault="00CE22C6" w:rsidP="0056341B">
      <w:pPr>
        <w:pStyle w:val="labelled"/>
        <w:shd w:val="clear" w:color="auto" w:fill="FFFFFF"/>
        <w:ind w:left="1701" w:hanging="567"/>
        <w:rPr>
          <w:i/>
          <w:color w:val="000000"/>
          <w:sz w:val="20"/>
          <w:szCs w:val="20"/>
        </w:rPr>
      </w:pPr>
      <w:r w:rsidRPr="00E71322">
        <w:rPr>
          <w:rStyle w:val="label"/>
          <w:i/>
          <w:color w:val="000000"/>
          <w:sz w:val="20"/>
          <w:szCs w:val="20"/>
        </w:rPr>
        <w:t>(ba)</w:t>
      </w:r>
      <w:r w:rsidRPr="00E71322">
        <w:rPr>
          <w:rStyle w:val="spc"/>
          <w:i/>
          <w:color w:val="000000"/>
          <w:sz w:val="20"/>
          <w:szCs w:val="20"/>
        </w:rPr>
        <w:t> </w:t>
      </w:r>
      <w:r w:rsidR="00E71322">
        <w:rPr>
          <w:rStyle w:val="spc"/>
          <w:i/>
          <w:color w:val="000000"/>
          <w:sz w:val="20"/>
          <w:szCs w:val="20"/>
        </w:rPr>
        <w:tab/>
      </w:r>
      <w:r w:rsidRPr="00E71322">
        <w:rPr>
          <w:i/>
          <w:color w:val="000000"/>
          <w:sz w:val="20"/>
          <w:szCs w:val="20"/>
        </w:rPr>
        <w:t>prescribing those offences under this Act that constitute infringement offences against this Act</w:t>
      </w:r>
    </w:p>
    <w:p w14:paraId="1EE96FE9" w14:textId="77777777" w:rsidR="00CE22C6" w:rsidRDefault="00CE22C6" w:rsidP="005F3633"/>
    <w:p w14:paraId="7C76FF81" w14:textId="77777777" w:rsidR="005F3633" w:rsidRDefault="00FA2232" w:rsidP="005F3633">
      <w:r>
        <w:t xml:space="preserve">Schedule 1 </w:t>
      </w:r>
      <w:r w:rsidR="005F3633">
        <w:t>of the Resource Management (Infringement Offences) Regulations 1999 states that EINs can be issued for contravening section 15 of the RMA.  Section 15 of the RMA states:</w:t>
      </w:r>
    </w:p>
    <w:p w14:paraId="7C34EB1A" w14:textId="77777777" w:rsidR="005F3633" w:rsidRDefault="005F3633" w:rsidP="005F3633">
      <w:pPr>
        <w:ind w:left="1134" w:hanging="567"/>
        <w:rPr>
          <w:rStyle w:val="spc"/>
          <w:i/>
          <w:sz w:val="20"/>
        </w:rPr>
      </w:pPr>
      <w:r w:rsidRPr="005F3633">
        <w:rPr>
          <w:rStyle w:val="spc"/>
          <w:i/>
          <w:sz w:val="20"/>
        </w:rPr>
        <w:t> </w:t>
      </w:r>
    </w:p>
    <w:p w14:paraId="152C2C60" w14:textId="77777777" w:rsidR="005F3633" w:rsidRPr="005F3633" w:rsidRDefault="005F3633" w:rsidP="005F3633">
      <w:pPr>
        <w:ind w:left="1134" w:hanging="567"/>
        <w:rPr>
          <w:b/>
          <w:i/>
          <w:sz w:val="20"/>
        </w:rPr>
      </w:pPr>
      <w:r w:rsidRPr="005F3633">
        <w:rPr>
          <w:b/>
          <w:i/>
          <w:sz w:val="20"/>
        </w:rPr>
        <w:t>15</w:t>
      </w:r>
      <w:r w:rsidRPr="005F3633">
        <w:rPr>
          <w:b/>
          <w:i/>
          <w:sz w:val="20"/>
        </w:rPr>
        <w:tab/>
        <w:t>Discharge of contaminants into environment</w:t>
      </w:r>
    </w:p>
    <w:p w14:paraId="5AAF0FF4" w14:textId="77777777" w:rsidR="005F3633" w:rsidRPr="005F3633" w:rsidRDefault="005F3633" w:rsidP="005F3633">
      <w:pPr>
        <w:ind w:left="1134" w:hanging="567"/>
        <w:rPr>
          <w:i/>
          <w:sz w:val="20"/>
        </w:rPr>
      </w:pPr>
      <w:r w:rsidRPr="005F3633">
        <w:rPr>
          <w:rStyle w:val="label"/>
          <w:i/>
          <w:sz w:val="20"/>
        </w:rPr>
        <w:t>(1)</w:t>
      </w:r>
      <w:r w:rsidRPr="005F3633">
        <w:rPr>
          <w:rStyle w:val="spc"/>
          <w:i/>
          <w:sz w:val="20"/>
        </w:rPr>
        <w:t> </w:t>
      </w:r>
      <w:r>
        <w:rPr>
          <w:rStyle w:val="spc"/>
          <w:i/>
          <w:sz w:val="20"/>
        </w:rPr>
        <w:tab/>
      </w:r>
      <w:r w:rsidRPr="005F3633">
        <w:rPr>
          <w:i/>
          <w:sz w:val="20"/>
        </w:rPr>
        <w:t>No person may discharge any—</w:t>
      </w:r>
    </w:p>
    <w:p w14:paraId="0903DC82" w14:textId="77777777" w:rsidR="005F3633" w:rsidRPr="005F3633" w:rsidRDefault="005F3633" w:rsidP="005F3633">
      <w:pPr>
        <w:ind w:left="1701" w:hanging="567"/>
        <w:rPr>
          <w:i/>
          <w:sz w:val="20"/>
        </w:rPr>
      </w:pPr>
      <w:r w:rsidRPr="005F3633">
        <w:rPr>
          <w:rStyle w:val="label"/>
          <w:i/>
          <w:sz w:val="20"/>
        </w:rPr>
        <w:t>(a)</w:t>
      </w:r>
      <w:r w:rsidRPr="005F3633">
        <w:rPr>
          <w:rStyle w:val="spc"/>
          <w:i/>
          <w:sz w:val="20"/>
        </w:rPr>
        <w:t> </w:t>
      </w:r>
      <w:r>
        <w:rPr>
          <w:rStyle w:val="spc"/>
          <w:i/>
          <w:sz w:val="20"/>
        </w:rPr>
        <w:tab/>
      </w:r>
      <w:r w:rsidRPr="005F3633">
        <w:rPr>
          <w:i/>
          <w:sz w:val="20"/>
        </w:rPr>
        <w:t>contaminant or water into water; or</w:t>
      </w:r>
    </w:p>
    <w:p w14:paraId="742F2B09" w14:textId="77777777" w:rsidR="005F3633" w:rsidRPr="005F3633" w:rsidRDefault="005F3633" w:rsidP="005F3633">
      <w:pPr>
        <w:ind w:left="1701" w:hanging="567"/>
        <w:rPr>
          <w:i/>
          <w:sz w:val="20"/>
        </w:rPr>
      </w:pPr>
      <w:r w:rsidRPr="005F3633">
        <w:rPr>
          <w:rStyle w:val="label"/>
          <w:i/>
          <w:sz w:val="20"/>
        </w:rPr>
        <w:t>(b)</w:t>
      </w:r>
      <w:r w:rsidRPr="005F3633">
        <w:rPr>
          <w:rStyle w:val="spc"/>
          <w:i/>
          <w:sz w:val="20"/>
        </w:rPr>
        <w:t> </w:t>
      </w:r>
      <w:r>
        <w:rPr>
          <w:rStyle w:val="spc"/>
          <w:i/>
          <w:sz w:val="20"/>
        </w:rPr>
        <w:tab/>
      </w:r>
      <w:r w:rsidRPr="005F3633">
        <w:rPr>
          <w:i/>
          <w:sz w:val="20"/>
        </w:rPr>
        <w:t>contaminant onto or into land in circumstances which may result in that contaminant (or any other contaminant emanating as a result of natural processes from that contaminant) entering water; or</w:t>
      </w:r>
    </w:p>
    <w:p w14:paraId="5092E0DE" w14:textId="77777777" w:rsidR="005F3633" w:rsidRPr="005F3633" w:rsidRDefault="005F3633" w:rsidP="005F3633">
      <w:pPr>
        <w:ind w:left="1701" w:hanging="567"/>
        <w:rPr>
          <w:i/>
          <w:sz w:val="20"/>
        </w:rPr>
      </w:pPr>
      <w:r w:rsidRPr="005F3633">
        <w:rPr>
          <w:rStyle w:val="label"/>
          <w:i/>
          <w:sz w:val="20"/>
        </w:rPr>
        <w:t>(c)</w:t>
      </w:r>
      <w:r w:rsidRPr="005F3633">
        <w:rPr>
          <w:rStyle w:val="spc"/>
          <w:i/>
          <w:sz w:val="20"/>
        </w:rPr>
        <w:t> </w:t>
      </w:r>
      <w:r>
        <w:rPr>
          <w:rStyle w:val="spc"/>
          <w:i/>
          <w:sz w:val="20"/>
        </w:rPr>
        <w:tab/>
      </w:r>
      <w:r w:rsidRPr="005F3633">
        <w:rPr>
          <w:i/>
          <w:sz w:val="20"/>
        </w:rPr>
        <w:t xml:space="preserve">contaminant from any industrial or trade premises </w:t>
      </w:r>
      <w:r w:rsidRPr="005F3633">
        <w:rPr>
          <w:b/>
          <w:i/>
          <w:sz w:val="20"/>
        </w:rPr>
        <w:t>into air</w:t>
      </w:r>
      <w:r w:rsidRPr="005F3633">
        <w:rPr>
          <w:i/>
          <w:sz w:val="20"/>
        </w:rPr>
        <w:t>; or</w:t>
      </w:r>
    </w:p>
    <w:p w14:paraId="2DC9945E" w14:textId="77777777" w:rsidR="005F3633" w:rsidRPr="005F3633" w:rsidRDefault="005F3633" w:rsidP="005F3633">
      <w:pPr>
        <w:ind w:left="1701" w:hanging="567"/>
        <w:rPr>
          <w:i/>
          <w:sz w:val="20"/>
        </w:rPr>
      </w:pPr>
      <w:r w:rsidRPr="005F3633">
        <w:rPr>
          <w:rStyle w:val="label"/>
          <w:i/>
          <w:sz w:val="20"/>
        </w:rPr>
        <w:t>(d)</w:t>
      </w:r>
      <w:r w:rsidRPr="005F3633">
        <w:rPr>
          <w:rStyle w:val="spc"/>
          <w:i/>
          <w:sz w:val="20"/>
        </w:rPr>
        <w:t> </w:t>
      </w:r>
      <w:r>
        <w:rPr>
          <w:rStyle w:val="spc"/>
          <w:i/>
          <w:sz w:val="20"/>
        </w:rPr>
        <w:tab/>
      </w:r>
      <w:r w:rsidRPr="005F3633">
        <w:rPr>
          <w:i/>
          <w:sz w:val="20"/>
        </w:rPr>
        <w:t>contaminant from any industrial or trade premises onto or into land—</w:t>
      </w:r>
    </w:p>
    <w:p w14:paraId="294DAD52" w14:textId="77777777" w:rsidR="005F3633" w:rsidRPr="005F3633" w:rsidRDefault="005F3633" w:rsidP="005F3633">
      <w:pPr>
        <w:ind w:left="1134"/>
        <w:rPr>
          <w:i/>
          <w:sz w:val="20"/>
        </w:rPr>
      </w:pPr>
      <w:r w:rsidRPr="005F3633">
        <w:rPr>
          <w:i/>
          <w:sz w:val="20"/>
        </w:rPr>
        <w:t xml:space="preserve">unless the discharge </w:t>
      </w:r>
      <w:r w:rsidRPr="005F3633">
        <w:rPr>
          <w:b/>
          <w:i/>
          <w:sz w:val="20"/>
        </w:rPr>
        <w:t>is expressly allowed by a national environmental standard</w:t>
      </w:r>
      <w:r w:rsidRPr="005F3633">
        <w:rPr>
          <w:i/>
          <w:sz w:val="20"/>
        </w:rPr>
        <w:t xml:space="preserve"> or other regulations, a rule in a regional plan as well as a rule in a proposed regional plan for the same region (if there is one), or a resource consent.</w:t>
      </w:r>
    </w:p>
    <w:p w14:paraId="23FEEE18" w14:textId="77777777" w:rsidR="005F3633" w:rsidRPr="005F3633" w:rsidRDefault="005F3633" w:rsidP="005F3633">
      <w:pPr>
        <w:ind w:left="1134" w:hanging="567"/>
        <w:rPr>
          <w:i/>
          <w:sz w:val="20"/>
        </w:rPr>
      </w:pPr>
      <w:r w:rsidRPr="005F3633">
        <w:rPr>
          <w:rStyle w:val="label"/>
          <w:i/>
          <w:sz w:val="20"/>
        </w:rPr>
        <w:t>(2)</w:t>
      </w:r>
      <w:r w:rsidRPr="005F3633">
        <w:rPr>
          <w:rStyle w:val="spc"/>
          <w:i/>
          <w:sz w:val="20"/>
        </w:rPr>
        <w:t> </w:t>
      </w:r>
      <w:r>
        <w:rPr>
          <w:rStyle w:val="spc"/>
          <w:i/>
          <w:sz w:val="20"/>
        </w:rPr>
        <w:tab/>
      </w:r>
      <w:r w:rsidRPr="005F3633">
        <w:rPr>
          <w:i/>
          <w:sz w:val="20"/>
        </w:rPr>
        <w:t xml:space="preserve">No person may discharge a contaminant </w:t>
      </w:r>
      <w:r w:rsidRPr="005F3633">
        <w:rPr>
          <w:b/>
          <w:i/>
          <w:sz w:val="20"/>
        </w:rPr>
        <w:t>into the air</w:t>
      </w:r>
      <w:r w:rsidRPr="005F3633">
        <w:rPr>
          <w:i/>
          <w:sz w:val="20"/>
        </w:rPr>
        <w:t xml:space="preserve">, or into or onto land, from a place or any other source, whether moveable or not, in a manner that contravenes a </w:t>
      </w:r>
      <w:r w:rsidRPr="005F3633">
        <w:rPr>
          <w:b/>
          <w:i/>
          <w:sz w:val="20"/>
        </w:rPr>
        <w:t xml:space="preserve">national environmental standard </w:t>
      </w:r>
      <w:r w:rsidRPr="005F3633">
        <w:rPr>
          <w:i/>
          <w:sz w:val="20"/>
        </w:rPr>
        <w:t>unless the discharge—</w:t>
      </w:r>
    </w:p>
    <w:p w14:paraId="0600D741" w14:textId="77777777" w:rsidR="005F3633" w:rsidRPr="005F3633" w:rsidRDefault="005F3633" w:rsidP="005F3633">
      <w:pPr>
        <w:ind w:left="1701" w:hanging="567"/>
        <w:rPr>
          <w:i/>
          <w:sz w:val="20"/>
        </w:rPr>
      </w:pPr>
      <w:r w:rsidRPr="005F3633">
        <w:rPr>
          <w:rStyle w:val="label"/>
          <w:i/>
          <w:sz w:val="20"/>
        </w:rPr>
        <w:t>(a)</w:t>
      </w:r>
      <w:r w:rsidRPr="005F3633">
        <w:rPr>
          <w:rStyle w:val="spc"/>
          <w:i/>
          <w:sz w:val="20"/>
        </w:rPr>
        <w:t> </w:t>
      </w:r>
      <w:r>
        <w:rPr>
          <w:rStyle w:val="spc"/>
          <w:i/>
          <w:sz w:val="20"/>
        </w:rPr>
        <w:tab/>
      </w:r>
      <w:r w:rsidRPr="005F3633">
        <w:rPr>
          <w:i/>
          <w:sz w:val="20"/>
        </w:rPr>
        <w:t>is expressly allowed by other regulations; or</w:t>
      </w:r>
    </w:p>
    <w:p w14:paraId="694E857E" w14:textId="77777777" w:rsidR="005F3633" w:rsidRPr="005F3633" w:rsidRDefault="005F3633" w:rsidP="005F3633">
      <w:pPr>
        <w:ind w:left="1701" w:hanging="567"/>
        <w:rPr>
          <w:i/>
          <w:sz w:val="20"/>
        </w:rPr>
      </w:pPr>
      <w:r w:rsidRPr="005F3633">
        <w:rPr>
          <w:rStyle w:val="label"/>
          <w:i/>
          <w:sz w:val="20"/>
        </w:rPr>
        <w:t>(b)</w:t>
      </w:r>
      <w:r w:rsidRPr="005F3633">
        <w:rPr>
          <w:rStyle w:val="spc"/>
          <w:i/>
          <w:sz w:val="20"/>
        </w:rPr>
        <w:t> </w:t>
      </w:r>
      <w:r>
        <w:rPr>
          <w:rStyle w:val="spc"/>
          <w:i/>
          <w:sz w:val="20"/>
        </w:rPr>
        <w:tab/>
      </w:r>
      <w:r w:rsidRPr="005F3633">
        <w:rPr>
          <w:i/>
          <w:sz w:val="20"/>
        </w:rPr>
        <w:t>is expressly allowed by a resource consent; or</w:t>
      </w:r>
    </w:p>
    <w:p w14:paraId="04642B69" w14:textId="77777777" w:rsidR="005F3633" w:rsidRPr="005F3633" w:rsidRDefault="005F3633" w:rsidP="005F3633">
      <w:pPr>
        <w:ind w:left="1701" w:hanging="567"/>
        <w:rPr>
          <w:i/>
          <w:sz w:val="20"/>
        </w:rPr>
      </w:pPr>
      <w:r>
        <w:rPr>
          <w:rStyle w:val="label"/>
          <w:i/>
          <w:sz w:val="20"/>
        </w:rPr>
        <w:t>(c)</w:t>
      </w:r>
      <w:r>
        <w:rPr>
          <w:rStyle w:val="label"/>
          <w:i/>
          <w:sz w:val="20"/>
        </w:rPr>
        <w:tab/>
      </w:r>
      <w:r w:rsidRPr="005F3633">
        <w:rPr>
          <w:rStyle w:val="spc"/>
          <w:i/>
          <w:sz w:val="20"/>
        </w:rPr>
        <w:t> </w:t>
      </w:r>
      <w:r w:rsidRPr="005F3633">
        <w:rPr>
          <w:i/>
          <w:sz w:val="20"/>
        </w:rPr>
        <w:t xml:space="preserve">is an activity allowed by </w:t>
      </w:r>
      <w:hyperlink r:id="rId33" w:anchor="DLM232526" w:history="1">
        <w:r w:rsidRPr="005F3633">
          <w:rPr>
            <w:rStyle w:val="Hyperlink"/>
            <w:i/>
            <w:color w:val="auto"/>
            <w:sz w:val="20"/>
          </w:rPr>
          <w:t>section 20A</w:t>
        </w:r>
      </w:hyperlink>
      <w:r w:rsidRPr="005F3633">
        <w:rPr>
          <w:i/>
          <w:sz w:val="20"/>
        </w:rPr>
        <w:t>.</w:t>
      </w:r>
    </w:p>
    <w:p w14:paraId="11E21F8F" w14:textId="77777777" w:rsidR="005F3633" w:rsidRPr="005F3633" w:rsidRDefault="005F3633" w:rsidP="005F3633">
      <w:pPr>
        <w:ind w:left="1134" w:hanging="567"/>
        <w:rPr>
          <w:i/>
          <w:sz w:val="20"/>
        </w:rPr>
      </w:pPr>
      <w:r w:rsidRPr="005F3633">
        <w:rPr>
          <w:rStyle w:val="label"/>
          <w:i/>
          <w:sz w:val="20"/>
        </w:rPr>
        <w:t>(2A)</w:t>
      </w:r>
      <w:r w:rsidRPr="005F3633">
        <w:rPr>
          <w:rStyle w:val="spc"/>
          <w:i/>
          <w:sz w:val="20"/>
        </w:rPr>
        <w:t> </w:t>
      </w:r>
      <w:r>
        <w:rPr>
          <w:rStyle w:val="spc"/>
          <w:i/>
          <w:sz w:val="20"/>
        </w:rPr>
        <w:tab/>
      </w:r>
      <w:r w:rsidRPr="005F3633">
        <w:rPr>
          <w:i/>
          <w:sz w:val="20"/>
        </w:rPr>
        <w:t xml:space="preserve">No person may discharge a contaminant </w:t>
      </w:r>
      <w:r w:rsidRPr="005F3633">
        <w:rPr>
          <w:b/>
          <w:i/>
          <w:sz w:val="20"/>
        </w:rPr>
        <w:t>into the air</w:t>
      </w:r>
      <w:r w:rsidRPr="005F3633">
        <w:rPr>
          <w:i/>
          <w:sz w:val="20"/>
        </w:rPr>
        <w:t>, or into or onto land, from a place or any other source, whether moveable or not, in a manner that contravenes a regional rule unless the discharge—</w:t>
      </w:r>
    </w:p>
    <w:p w14:paraId="2AE15E35" w14:textId="77777777" w:rsidR="005F3633" w:rsidRPr="005F3633" w:rsidRDefault="005F3633" w:rsidP="005F3633">
      <w:pPr>
        <w:ind w:left="1701" w:hanging="567"/>
        <w:rPr>
          <w:i/>
          <w:sz w:val="20"/>
        </w:rPr>
      </w:pPr>
      <w:r w:rsidRPr="005F3633">
        <w:rPr>
          <w:rStyle w:val="label"/>
          <w:i/>
          <w:sz w:val="20"/>
        </w:rPr>
        <w:t>(a)</w:t>
      </w:r>
      <w:r>
        <w:rPr>
          <w:rStyle w:val="label"/>
          <w:i/>
          <w:sz w:val="20"/>
        </w:rPr>
        <w:tab/>
      </w:r>
      <w:r w:rsidRPr="005F3633">
        <w:rPr>
          <w:rStyle w:val="spc"/>
          <w:i/>
          <w:sz w:val="20"/>
        </w:rPr>
        <w:t> </w:t>
      </w:r>
      <w:r w:rsidRPr="005F3633">
        <w:rPr>
          <w:i/>
          <w:sz w:val="20"/>
        </w:rPr>
        <w:t xml:space="preserve">is expressly allowed by a </w:t>
      </w:r>
      <w:r w:rsidRPr="005F3633">
        <w:rPr>
          <w:b/>
          <w:i/>
          <w:sz w:val="20"/>
        </w:rPr>
        <w:t>national environmental standard</w:t>
      </w:r>
      <w:r w:rsidRPr="005F3633">
        <w:rPr>
          <w:i/>
          <w:sz w:val="20"/>
        </w:rPr>
        <w:t xml:space="preserve"> or other regulations; or</w:t>
      </w:r>
    </w:p>
    <w:p w14:paraId="22E7E601" w14:textId="77777777" w:rsidR="005F3633" w:rsidRPr="005F3633" w:rsidRDefault="005F3633" w:rsidP="005F3633">
      <w:pPr>
        <w:ind w:left="1701" w:hanging="567"/>
        <w:rPr>
          <w:i/>
          <w:sz w:val="20"/>
        </w:rPr>
      </w:pPr>
      <w:r w:rsidRPr="005F3633">
        <w:rPr>
          <w:rStyle w:val="label"/>
          <w:i/>
          <w:sz w:val="20"/>
        </w:rPr>
        <w:t>(b)</w:t>
      </w:r>
      <w:r w:rsidRPr="005F3633">
        <w:rPr>
          <w:rStyle w:val="spc"/>
          <w:i/>
          <w:sz w:val="20"/>
        </w:rPr>
        <w:t> </w:t>
      </w:r>
      <w:r>
        <w:rPr>
          <w:rStyle w:val="spc"/>
          <w:i/>
          <w:sz w:val="20"/>
        </w:rPr>
        <w:tab/>
      </w:r>
      <w:r w:rsidRPr="005F3633">
        <w:rPr>
          <w:i/>
          <w:sz w:val="20"/>
        </w:rPr>
        <w:t>is expressly allowed by a resource consent; or</w:t>
      </w:r>
    </w:p>
    <w:p w14:paraId="356F8A88" w14:textId="77777777" w:rsidR="005F3633" w:rsidRPr="005F3633" w:rsidRDefault="005F3633" w:rsidP="005F3633">
      <w:pPr>
        <w:ind w:left="1701" w:hanging="567"/>
        <w:rPr>
          <w:i/>
          <w:sz w:val="20"/>
        </w:rPr>
      </w:pPr>
      <w:r w:rsidRPr="005F3633">
        <w:rPr>
          <w:rStyle w:val="label"/>
          <w:i/>
          <w:sz w:val="20"/>
        </w:rPr>
        <w:t>(c)</w:t>
      </w:r>
      <w:r w:rsidRPr="005F3633">
        <w:rPr>
          <w:rStyle w:val="label"/>
          <w:i/>
          <w:sz w:val="20"/>
        </w:rPr>
        <w:tab/>
      </w:r>
      <w:r w:rsidRPr="005F3633">
        <w:rPr>
          <w:rStyle w:val="spc"/>
          <w:i/>
          <w:sz w:val="20"/>
        </w:rPr>
        <w:t> </w:t>
      </w:r>
      <w:r w:rsidRPr="005F3633">
        <w:rPr>
          <w:i/>
          <w:sz w:val="20"/>
        </w:rPr>
        <w:t xml:space="preserve">is an activity allowed by </w:t>
      </w:r>
      <w:hyperlink r:id="rId34" w:anchor="DLM232526" w:history="1">
        <w:r w:rsidRPr="005F3633">
          <w:rPr>
            <w:rStyle w:val="Hyperlink"/>
            <w:i/>
            <w:color w:val="auto"/>
            <w:sz w:val="20"/>
          </w:rPr>
          <w:t>section 20A</w:t>
        </w:r>
      </w:hyperlink>
      <w:r w:rsidRPr="005F3633">
        <w:rPr>
          <w:i/>
          <w:sz w:val="20"/>
        </w:rPr>
        <w:t>.</w:t>
      </w:r>
    </w:p>
    <w:p w14:paraId="132258E7" w14:textId="77777777" w:rsidR="005F3633" w:rsidRPr="005F3633" w:rsidRDefault="005F3633" w:rsidP="005F3633">
      <w:pPr>
        <w:ind w:left="1134" w:hanging="567"/>
        <w:rPr>
          <w:i/>
          <w:color w:val="000000"/>
          <w:sz w:val="20"/>
        </w:rPr>
      </w:pPr>
    </w:p>
    <w:p w14:paraId="27B95310" w14:textId="77777777" w:rsidR="005F3633" w:rsidRDefault="005F3633" w:rsidP="005F3633">
      <w:pPr>
        <w:pStyle w:val="BodyText"/>
      </w:pPr>
      <w:r>
        <w:t xml:space="preserve">The </w:t>
      </w:r>
      <w:r w:rsidR="00F423DE" w:rsidRPr="00F423DE">
        <w:t>National Environmental Standard</w:t>
      </w:r>
      <w:r w:rsidRPr="00F423DE">
        <w:t xml:space="preserve"> Progress Report (</w:t>
      </w:r>
      <w:r>
        <w:t>MfE, 2009</w:t>
      </w:r>
      <w:r w:rsidR="00F423DE">
        <w:t>b</w:t>
      </w:r>
      <w:r>
        <w:t>) identified that councils around New Zealand had issued 18 abatement notices, 81 EINs and undertaken two prose</w:t>
      </w:r>
      <w:r w:rsidR="00F423DE">
        <w:t xml:space="preserve">cutions for non-compliance with </w:t>
      </w:r>
      <w:r>
        <w:t>Regulations 6 to 12.</w:t>
      </w:r>
      <w:r w:rsidRPr="005C7D30">
        <w:t xml:space="preserve"> </w:t>
      </w:r>
    </w:p>
    <w:p w14:paraId="0BB448AF" w14:textId="77777777" w:rsidR="00006C58" w:rsidRDefault="00006C58" w:rsidP="005F3633">
      <w:pPr>
        <w:pStyle w:val="BodyText"/>
      </w:pPr>
    </w:p>
    <w:p w14:paraId="1E551A13" w14:textId="77777777" w:rsidR="004B0B50" w:rsidRPr="000A61B9" w:rsidRDefault="004B0B50" w:rsidP="004B0B50">
      <w:pPr>
        <w:pStyle w:val="Heading2"/>
      </w:pPr>
      <w:bookmarkStart w:id="28" w:name="_Toc300856593"/>
      <w:r>
        <w:t>2.5</w:t>
      </w:r>
      <w:r>
        <w:tab/>
      </w:r>
      <w:r w:rsidRPr="000A61B9">
        <w:t>Reporting requirements</w:t>
      </w:r>
      <w:bookmarkEnd w:id="28"/>
    </w:p>
    <w:p w14:paraId="41D5FCBB" w14:textId="77777777" w:rsidR="004B0B50" w:rsidRDefault="00BC2A4D" w:rsidP="004B0B50">
      <w:r>
        <w:t xml:space="preserve">The Minister for the Environment may, under section 27 of the RMA, </w:t>
      </w:r>
      <w:r w:rsidR="004B0B50">
        <w:t xml:space="preserve">request information </w:t>
      </w:r>
      <w:r>
        <w:t>on the implementation of the Regulations from regional council</w:t>
      </w:r>
      <w:r w:rsidR="00A167CA">
        <w:t xml:space="preserve">s at any time. </w:t>
      </w:r>
      <w:r>
        <w:t>Councils have 20 working days to respond.</w:t>
      </w:r>
    </w:p>
    <w:p w14:paraId="494D63C1" w14:textId="77777777" w:rsidR="00CB4921" w:rsidRDefault="00CB4921" w:rsidP="004B0B50"/>
    <w:p w14:paraId="38F8CA71" w14:textId="77777777" w:rsidR="00CB4921" w:rsidRDefault="00CB4921" w:rsidP="005F3633">
      <w:pPr>
        <w:pStyle w:val="BodyText"/>
        <w:sectPr w:rsidR="00CB4921">
          <w:pgSz w:w="11907" w:h="16840" w:code="9"/>
          <w:pgMar w:top="1701" w:right="1418" w:bottom="1701" w:left="1418" w:header="567" w:footer="567" w:gutter="567"/>
          <w:cols w:space="720"/>
        </w:sectPr>
      </w:pPr>
    </w:p>
    <w:p w14:paraId="3B7B1709" w14:textId="77777777" w:rsidR="00D06461" w:rsidRDefault="00D06461" w:rsidP="00E92E1D">
      <w:pPr>
        <w:pStyle w:val="Heading1"/>
        <w:ind w:left="567" w:hanging="567"/>
      </w:pPr>
      <w:bookmarkStart w:id="29" w:name="_Toc300856594"/>
      <w:r>
        <w:t>3</w:t>
      </w:r>
      <w:r>
        <w:tab/>
      </w:r>
      <w:r w:rsidR="00E92E1D">
        <w:t>Amb</w:t>
      </w:r>
      <w:r w:rsidR="00F013C3">
        <w:t>ient Air Quality Standards for C</w:t>
      </w:r>
      <w:r w:rsidR="00E92E1D">
        <w:t xml:space="preserve">arbon </w:t>
      </w:r>
      <w:r w:rsidR="003338FB">
        <w:t>Monoxide</w:t>
      </w:r>
      <w:r w:rsidR="00E92E1D">
        <w:t xml:space="preserve">, </w:t>
      </w:r>
      <w:r w:rsidR="00F013C3">
        <w:t>N</w:t>
      </w:r>
      <w:r w:rsidR="00E92E1D">
        <w:t xml:space="preserve">itrogen </w:t>
      </w:r>
      <w:r w:rsidR="003338FB">
        <w:t>Dioxide</w:t>
      </w:r>
      <w:r w:rsidR="00E92E1D">
        <w:t xml:space="preserve">, </w:t>
      </w:r>
      <w:r w:rsidR="00F013C3">
        <w:t xml:space="preserve">Ozone </w:t>
      </w:r>
      <w:r w:rsidR="00E92E1D">
        <w:t xml:space="preserve">and </w:t>
      </w:r>
      <w:r w:rsidR="00F013C3">
        <w:t xml:space="preserve">Sulphur </w:t>
      </w:r>
      <w:r w:rsidR="003338FB">
        <w:t>Dioxide</w:t>
      </w:r>
      <w:bookmarkEnd w:id="29"/>
      <w:r w:rsidR="003338FB">
        <w:t xml:space="preserve"> </w:t>
      </w:r>
    </w:p>
    <w:p w14:paraId="7C2F80C5" w14:textId="77777777" w:rsidR="00D06461" w:rsidRDefault="00E92E1D" w:rsidP="00E92E1D">
      <w:pPr>
        <w:pStyle w:val="Heading2"/>
      </w:pPr>
      <w:bookmarkStart w:id="30" w:name="_Toc300856595"/>
      <w:r>
        <w:t>3.1</w:t>
      </w:r>
      <w:r>
        <w:tab/>
        <w:t>Introduction</w:t>
      </w:r>
      <w:bookmarkEnd w:id="30"/>
    </w:p>
    <w:p w14:paraId="456BF0DD" w14:textId="77777777" w:rsidR="00E92E1D" w:rsidRDefault="00291BEE" w:rsidP="00C30E23">
      <w:pPr>
        <w:pStyle w:val="BodyText"/>
      </w:pPr>
      <w:r>
        <w:t>This section discusses the national ambient air quality standards (ambient standards) for New Zealand and provides guidance on how they should inform management of air quality unde</w:t>
      </w:r>
      <w:r w:rsidR="008238DA">
        <w:t>r</w:t>
      </w:r>
      <w:r w:rsidR="003C67B8">
        <w:t xml:space="preserve"> the RMA.</w:t>
      </w:r>
      <w:r w:rsidRPr="000D4355">
        <w:t xml:space="preserve"> </w:t>
      </w:r>
      <w:r w:rsidR="000D4355" w:rsidRPr="000D4355">
        <w:t xml:space="preserve">The primary purpose of the ambient standards is to provide a guaranteed level of protection for the health of all New Zealanders. </w:t>
      </w:r>
      <w:r>
        <w:t xml:space="preserve">The ambient standards (see section </w:t>
      </w:r>
      <w:r w:rsidRPr="002C5765">
        <w:t>3.</w:t>
      </w:r>
      <w:r w:rsidR="00D33D11" w:rsidRPr="002C5765">
        <w:t>3</w:t>
      </w:r>
      <w:r>
        <w:t xml:space="preserve">) </w:t>
      </w:r>
      <w:r w:rsidR="00256D82">
        <w:t>we</w:t>
      </w:r>
      <w:r>
        <w:t xml:space="preserve">re based largely upon the </w:t>
      </w:r>
      <w:r w:rsidR="00256D82">
        <w:t>2002</w:t>
      </w:r>
      <w:r>
        <w:t xml:space="preserve"> </w:t>
      </w:r>
      <w:r w:rsidRPr="002C5765">
        <w:t>Ambient Air Quality Guidelines</w:t>
      </w:r>
      <w:r w:rsidRPr="00291BEE">
        <w:rPr>
          <w:i/>
        </w:rPr>
        <w:t xml:space="preserve"> </w:t>
      </w:r>
      <w:r>
        <w:t>(M</w:t>
      </w:r>
      <w:r w:rsidR="00D15F58">
        <w:t>fE</w:t>
      </w:r>
      <w:r>
        <w:t>, 2002</w:t>
      </w:r>
      <w:r w:rsidR="00E51FBD">
        <w:t>a</w:t>
      </w:r>
      <w:r>
        <w:t xml:space="preserve">) and the relationship between the two is discussed in section </w:t>
      </w:r>
      <w:r w:rsidR="00D33D11" w:rsidRPr="00154F12">
        <w:t>3.3.2</w:t>
      </w:r>
      <w:r>
        <w:t>.</w:t>
      </w:r>
    </w:p>
    <w:p w14:paraId="59042C52" w14:textId="77777777" w:rsidR="007A0563" w:rsidRDefault="007A0563" w:rsidP="00C30E23">
      <w:pPr>
        <w:pStyle w:val="BodyText"/>
      </w:pPr>
    </w:p>
    <w:p w14:paraId="10251E0F" w14:textId="77777777" w:rsidR="007A0563" w:rsidRDefault="007A0563" w:rsidP="00154F12">
      <w:pPr>
        <w:pStyle w:val="BodyText"/>
        <w:shd w:val="clear" w:color="auto" w:fill="D9D9D9"/>
      </w:pPr>
      <w:r>
        <w:t>The PM</w:t>
      </w:r>
      <w:r w:rsidRPr="007D70EA">
        <w:rPr>
          <w:vertAlign w:val="subscript"/>
        </w:rPr>
        <w:t>10</w:t>
      </w:r>
      <w:r>
        <w:t xml:space="preserve"> </w:t>
      </w:r>
      <w:r w:rsidR="00D752E1">
        <w:t>Regulation</w:t>
      </w:r>
      <w:r>
        <w:t xml:space="preserve">s were significantly modified by the 2011 amendments. To </w:t>
      </w:r>
      <w:r w:rsidR="007D70EA">
        <w:t xml:space="preserve">highlight </w:t>
      </w:r>
      <w:r>
        <w:t>the revisions, PM</w:t>
      </w:r>
      <w:r w:rsidRPr="007A0563">
        <w:rPr>
          <w:vertAlign w:val="subscript"/>
        </w:rPr>
        <w:t>10</w:t>
      </w:r>
      <w:r>
        <w:t xml:space="preserve"> has been removed from this chapter and placed in a separate chapter (Chapter 4</w:t>
      </w:r>
      <w:r w:rsidR="007D70EA">
        <w:t>)</w:t>
      </w:r>
      <w:r>
        <w:t>.  The revisions include split dates for achieving the PM</w:t>
      </w:r>
      <w:r w:rsidRPr="007A0563">
        <w:rPr>
          <w:vertAlign w:val="subscript"/>
        </w:rPr>
        <w:t>10</w:t>
      </w:r>
      <w:r>
        <w:t xml:space="preserve"> ambient standards (section </w:t>
      </w:r>
      <w:r w:rsidR="00154F12">
        <w:t>4.4</w:t>
      </w:r>
      <w:r>
        <w:t xml:space="preserve">), </w:t>
      </w:r>
      <w:r w:rsidR="00857BCC">
        <w:t>‘</w:t>
      </w:r>
      <w:r>
        <w:t>offset</w:t>
      </w:r>
      <w:r w:rsidR="00857BCC">
        <w:t>’</w:t>
      </w:r>
      <w:r>
        <w:t xml:space="preserve"> conditions for new consents</w:t>
      </w:r>
      <w:r w:rsidR="00154F12">
        <w:t xml:space="preserve"> (section 4.10.</w:t>
      </w:r>
      <w:r w:rsidR="00EC442B">
        <w:t>3</w:t>
      </w:r>
      <w:r w:rsidR="00154F12">
        <w:t>)</w:t>
      </w:r>
      <w:r>
        <w:t xml:space="preserve"> that discharge PM</w:t>
      </w:r>
      <w:r w:rsidRPr="007A0563">
        <w:rPr>
          <w:vertAlign w:val="subscript"/>
        </w:rPr>
        <w:t>10</w:t>
      </w:r>
      <w:r>
        <w:t xml:space="preserve"> in </w:t>
      </w:r>
      <w:r w:rsidR="00636E8F">
        <w:t>‘</w:t>
      </w:r>
      <w:r>
        <w:t>polluted</w:t>
      </w:r>
      <w:r w:rsidR="00636E8F">
        <w:t>’</w:t>
      </w:r>
      <w:r>
        <w:t xml:space="preserve"> airsheds (section </w:t>
      </w:r>
      <w:r w:rsidR="00154F12">
        <w:t>4.10.</w:t>
      </w:r>
      <w:r w:rsidR="00EC442B">
        <w:t>2</w:t>
      </w:r>
      <w:r>
        <w:t xml:space="preserve">) and detailed monitoring requirements (section </w:t>
      </w:r>
      <w:r w:rsidR="00154F12">
        <w:t>4.6</w:t>
      </w:r>
      <w:r>
        <w:t>).</w:t>
      </w:r>
    </w:p>
    <w:p w14:paraId="7AFED7DF" w14:textId="77777777" w:rsidR="00291BEE" w:rsidRDefault="00291BEE" w:rsidP="00C30E23">
      <w:pPr>
        <w:pStyle w:val="BodyText"/>
      </w:pPr>
    </w:p>
    <w:p w14:paraId="1DAC8F95" w14:textId="77777777" w:rsidR="00291BEE" w:rsidRDefault="00291BEE" w:rsidP="00C30E23">
      <w:pPr>
        <w:pStyle w:val="BodyText"/>
      </w:pPr>
      <w:r>
        <w:t xml:space="preserve">The ambient standards are the minimum requirements that outdoor air quality should meet in order to guarantee a set level of protection for human health and the environment. The standards are </w:t>
      </w:r>
      <w:r w:rsidRPr="00291BEE">
        <w:rPr>
          <w:i/>
        </w:rPr>
        <w:t>ambient</w:t>
      </w:r>
      <w:r>
        <w:t>, that is, they apply outdoors.</w:t>
      </w:r>
      <w:r w:rsidR="00BD33EF">
        <w:t xml:space="preserve"> Details of where the ambient standards do and do not apply are given in section </w:t>
      </w:r>
      <w:r w:rsidR="00D33D11" w:rsidRPr="00154F12">
        <w:t>3.4</w:t>
      </w:r>
      <w:r w:rsidR="00BD33EF">
        <w:t>.</w:t>
      </w:r>
    </w:p>
    <w:p w14:paraId="000D0D7E" w14:textId="77777777" w:rsidR="00BD33EF" w:rsidRDefault="00BD33EF" w:rsidP="00C30E23">
      <w:pPr>
        <w:pStyle w:val="BodyText"/>
      </w:pPr>
    </w:p>
    <w:p w14:paraId="0FCB3D65" w14:textId="77777777" w:rsidR="00BD33EF" w:rsidRDefault="00BD33EF" w:rsidP="00C30E23">
      <w:pPr>
        <w:pStyle w:val="BodyText"/>
      </w:pPr>
      <w:r>
        <w:t xml:space="preserve">The </w:t>
      </w:r>
      <w:r w:rsidR="00671120">
        <w:t xml:space="preserve">Regulations </w:t>
      </w:r>
      <w:r>
        <w:t>place a requirement on regional councils to monitor air quality and to repo</w:t>
      </w:r>
      <w:r w:rsidR="00A167CA">
        <w:t xml:space="preserve">rt exceedances to the public. </w:t>
      </w:r>
      <w:r>
        <w:t>Regional councils are not required to monitor for each of the five ambient standards everywhere; councils only need to monitor those contaminants likely t</w:t>
      </w:r>
      <w:r w:rsidR="00256D82">
        <w:t xml:space="preserve">o be exceeded in each airshed. </w:t>
      </w:r>
      <w:r>
        <w:t xml:space="preserve">Minimum monitoring requirements for effective air quality management are outlined in section </w:t>
      </w:r>
      <w:r w:rsidR="00D33D11" w:rsidRPr="001D458C">
        <w:t>3.5</w:t>
      </w:r>
      <w:r>
        <w:t>.</w:t>
      </w:r>
    </w:p>
    <w:p w14:paraId="02FEFC07" w14:textId="77777777" w:rsidR="00BD33EF" w:rsidRDefault="00BD33EF" w:rsidP="00C30E23">
      <w:pPr>
        <w:pStyle w:val="BodyText"/>
      </w:pPr>
    </w:p>
    <w:p w14:paraId="0B173962" w14:textId="77777777" w:rsidR="00256D82" w:rsidRDefault="00BD33EF" w:rsidP="00BD33EF">
      <w:r>
        <w:t>In August 2005, the definition of an airshed was amended so that all regions of New Zealand are airsheds and the ambie</w:t>
      </w:r>
      <w:r w:rsidR="00A167CA">
        <w:t xml:space="preserve">nt standards apply everywhere. </w:t>
      </w:r>
      <w:r>
        <w:t xml:space="preserve">In addition to this, the </w:t>
      </w:r>
      <w:r w:rsidRPr="001F25C4">
        <w:t xml:space="preserve">Minister of the Environment </w:t>
      </w:r>
      <w:r>
        <w:t>has</w:t>
      </w:r>
      <w:r w:rsidRPr="00E57B14">
        <w:t xml:space="preserve"> gazetted</w:t>
      </w:r>
      <w:r>
        <w:t xml:space="preserve"> separate airsheds inside each region on behalf of the regional councils and unitary authorities </w:t>
      </w:r>
      <w:r w:rsidRPr="001F25C4">
        <w:t xml:space="preserve">(see </w:t>
      </w:r>
      <w:r w:rsidRPr="00B6334F">
        <w:t xml:space="preserve">section </w:t>
      </w:r>
      <w:r w:rsidRPr="001D458C">
        <w:t>3.</w:t>
      </w:r>
      <w:r w:rsidR="00D33D11" w:rsidRPr="001D458C">
        <w:t>4.1</w:t>
      </w:r>
      <w:r w:rsidRPr="001F25C4">
        <w:t>)</w:t>
      </w:r>
      <w:r>
        <w:t xml:space="preserve">. </w:t>
      </w:r>
      <w:r w:rsidR="00394CAB">
        <w:t>Generally, t</w:t>
      </w:r>
      <w:r>
        <w:t>hese separate airsheds are areas that are known, or likely</w:t>
      </w:r>
      <w:r w:rsidR="00256D82">
        <w:t>,</w:t>
      </w:r>
      <w:r>
        <w:t xml:space="preserve"> to </w:t>
      </w:r>
      <w:r w:rsidR="00752687">
        <w:t>breach</w:t>
      </w:r>
      <w:r>
        <w:t xml:space="preserve"> the ambient standards and to which resour</w:t>
      </w:r>
      <w:r w:rsidR="008C485A">
        <w:t>ce consent restrictions apply.</w:t>
      </w:r>
    </w:p>
    <w:p w14:paraId="150125AA" w14:textId="77777777" w:rsidR="00256D82" w:rsidRDefault="00256D82" w:rsidP="00BD33EF"/>
    <w:p w14:paraId="680EA07D" w14:textId="77777777" w:rsidR="00BD33EF" w:rsidRDefault="00BD33EF" w:rsidP="00BD33EF">
      <w:r w:rsidRPr="001F25C4">
        <w:t xml:space="preserve">The </w:t>
      </w:r>
      <w:r w:rsidR="00671120" w:rsidRPr="001F25C4">
        <w:t>Regulation</w:t>
      </w:r>
      <w:r w:rsidR="00671120">
        <w:t>s</w:t>
      </w:r>
      <w:r w:rsidR="00671120" w:rsidRPr="001F25C4">
        <w:t xml:space="preserve"> </w:t>
      </w:r>
      <w:r w:rsidRPr="001F25C4">
        <w:t>ha</w:t>
      </w:r>
      <w:r>
        <w:t>ve</w:t>
      </w:r>
      <w:r w:rsidRPr="001F25C4">
        <w:t xml:space="preserve"> different requirements for different pollutants when making decisions on resource consent applications</w:t>
      </w:r>
      <w:r w:rsidR="003C67B8">
        <w:t xml:space="preserve">. </w:t>
      </w:r>
      <w:r w:rsidRPr="001F25C4">
        <w:t xml:space="preserve">Details of the regulatory requirements for each contaminant are given in </w:t>
      </w:r>
      <w:r w:rsidRPr="001D458C">
        <w:t xml:space="preserve">section </w:t>
      </w:r>
      <w:r w:rsidR="00D33D11" w:rsidRPr="001D458C">
        <w:t>3.9.1</w:t>
      </w:r>
      <w:r w:rsidRPr="001D458C">
        <w:t xml:space="preserve"> </w:t>
      </w:r>
      <w:r w:rsidR="001D458C" w:rsidRPr="001D458C">
        <w:t xml:space="preserve">(carbon monoxide, nitrogen dioxide and ozone) </w:t>
      </w:r>
      <w:r w:rsidR="00D33D11" w:rsidRPr="001D458C">
        <w:t>and section 3.9.2</w:t>
      </w:r>
      <w:r w:rsidR="001D458C" w:rsidRPr="001D458C">
        <w:t xml:space="preserve"> (</w:t>
      </w:r>
      <w:r w:rsidR="001D458C">
        <w:t>sulphur dioxide)</w:t>
      </w:r>
      <w:r>
        <w:t>.</w:t>
      </w:r>
    </w:p>
    <w:p w14:paraId="142FCD91" w14:textId="77777777" w:rsidR="00BD33EF" w:rsidRDefault="00BD33EF" w:rsidP="00BD33EF"/>
    <w:p w14:paraId="08EDEFEC" w14:textId="77777777" w:rsidR="00BD33EF" w:rsidRDefault="00BD33EF" w:rsidP="00BD33EF">
      <w:r>
        <w:t xml:space="preserve">The </w:t>
      </w:r>
      <w:r w:rsidR="00D87D86">
        <w:t>June</w:t>
      </w:r>
      <w:r>
        <w:t xml:space="preserve"> 2011 amendments </w:t>
      </w:r>
      <w:r w:rsidR="00394CAB">
        <w:t xml:space="preserve">changed the </w:t>
      </w:r>
      <w:r w:rsidR="00256D82">
        <w:t xml:space="preserve">definition of </w:t>
      </w:r>
      <w:r w:rsidR="00394CAB">
        <w:t>permissible exceedances and</w:t>
      </w:r>
      <w:r w:rsidR="00256D82">
        <w:t xml:space="preserve"> made explicit provision</w:t>
      </w:r>
      <w:r w:rsidR="005752A8">
        <w:t xml:space="preserve"> for exceptional circumstances</w:t>
      </w:r>
      <w:r w:rsidR="00E336B0">
        <w:t>.</w:t>
      </w:r>
    </w:p>
    <w:p w14:paraId="2B19E5B6" w14:textId="77777777" w:rsidR="002848E1" w:rsidRDefault="002848E1" w:rsidP="00BD33EF"/>
    <w:p w14:paraId="1B8E3AB4" w14:textId="77777777" w:rsidR="00BD33EF" w:rsidRDefault="00BD33EF" w:rsidP="00BD33EF">
      <w:r w:rsidRPr="001D458C">
        <w:t>Section 3.</w:t>
      </w:r>
      <w:r w:rsidR="001D458C" w:rsidRPr="001D458C">
        <w:t>11</w:t>
      </w:r>
      <w:r w:rsidRPr="006D5585">
        <w:t xml:space="preserve"> focuses on the implementation of the </w:t>
      </w:r>
      <w:r w:rsidR="00671120" w:rsidRPr="006D5585">
        <w:t xml:space="preserve">Regulations </w:t>
      </w:r>
      <w:r w:rsidRPr="006D5585">
        <w:t>and outlines how they will work in practice for regional councils and territorial authorities</w:t>
      </w:r>
      <w:r w:rsidRPr="006D5585">
        <w:rPr>
          <w:color w:val="FF0000"/>
        </w:rPr>
        <w:t>.</w:t>
      </w:r>
      <w:r w:rsidR="00A167CA">
        <w:t xml:space="preserve"> </w:t>
      </w:r>
      <w:r w:rsidRPr="006D5585">
        <w:t xml:space="preserve">Additional discussion on resource consents is provided in </w:t>
      </w:r>
      <w:r w:rsidRPr="001D458C">
        <w:t>section 3.</w:t>
      </w:r>
      <w:r w:rsidR="001D458C" w:rsidRPr="001D458C">
        <w:t>10.4</w:t>
      </w:r>
      <w:r w:rsidRPr="001D458C">
        <w:t xml:space="preserve"> (existing consents) and section 3.</w:t>
      </w:r>
      <w:r w:rsidR="001D458C" w:rsidRPr="001D458C">
        <w:t>10.5</w:t>
      </w:r>
      <w:r w:rsidRPr="001D458C">
        <w:t xml:space="preserve"> (new consents)</w:t>
      </w:r>
      <w:r w:rsidR="00A44246" w:rsidRPr="001D458C">
        <w:t>.</w:t>
      </w:r>
      <w:r w:rsidR="00A44246">
        <w:t xml:space="preserve"> </w:t>
      </w:r>
    </w:p>
    <w:p w14:paraId="3A6EDF16" w14:textId="77777777" w:rsidR="00E92E1D" w:rsidRPr="006B066F" w:rsidRDefault="00E92E1D" w:rsidP="00E92E1D">
      <w:pPr>
        <w:pStyle w:val="Heading2"/>
      </w:pPr>
      <w:bookmarkStart w:id="31" w:name="_Toc300856596"/>
      <w:r w:rsidRPr="006B066F">
        <w:t>3.2</w:t>
      </w:r>
      <w:r w:rsidRPr="006B066F">
        <w:tab/>
      </w:r>
      <w:r w:rsidR="002017F2" w:rsidRPr="006B066F">
        <w:t xml:space="preserve">Adverse </w:t>
      </w:r>
      <w:r w:rsidR="00516FDF" w:rsidRPr="006B066F">
        <w:t>e</w:t>
      </w:r>
      <w:r w:rsidR="002017F2" w:rsidRPr="006B066F">
        <w:t>ffects</w:t>
      </w:r>
      <w:bookmarkEnd w:id="31"/>
    </w:p>
    <w:p w14:paraId="4A7124B6" w14:textId="77777777" w:rsidR="006B066F" w:rsidRPr="00ED749E" w:rsidRDefault="006B066F" w:rsidP="006B066F">
      <w:pPr>
        <w:pStyle w:val="Heading3"/>
      </w:pPr>
      <w:r w:rsidRPr="00ED749E">
        <w:t>3.2.1</w:t>
      </w:r>
      <w:r w:rsidRPr="00ED749E">
        <w:tab/>
        <w:t xml:space="preserve">Carbon </w:t>
      </w:r>
      <w:r w:rsidR="001D458C" w:rsidRPr="00ED749E">
        <w:t xml:space="preserve">monoxide </w:t>
      </w:r>
      <w:r w:rsidRPr="00ED749E">
        <w:t>(CO)</w:t>
      </w:r>
    </w:p>
    <w:p w14:paraId="719A2C29" w14:textId="77777777" w:rsidR="006B066F" w:rsidRPr="00ED749E" w:rsidRDefault="006B066F" w:rsidP="006B066F">
      <w:r w:rsidRPr="00ED749E">
        <w:t>Carbon monoxide is a colourless, odourless and tasteless gas and is produced both by natural processes (eg, volcanoes, fires and metabolism of organisms) and by human activities (eg, incomplete combustion of carbon-containing f</w:t>
      </w:r>
      <w:r w:rsidR="00A167CA">
        <w:t>uels and industrial processes).</w:t>
      </w:r>
      <w:r>
        <w:t xml:space="preserve"> </w:t>
      </w:r>
      <w:r w:rsidRPr="00ED749E">
        <w:t>The most common sources of carbon monoxide are from the incomplete combustion of fossil fuels such as petrol used by cars, and from wood and coal, which is commonly burnt in fires for home heating (domestic fires). Tobacco smoke and indoor gas fires are also common sources of carbon monoxide.</w:t>
      </w:r>
    </w:p>
    <w:p w14:paraId="429D1D20" w14:textId="77777777" w:rsidR="006B066F" w:rsidRPr="00ED749E" w:rsidRDefault="006B066F" w:rsidP="006B066F"/>
    <w:p w14:paraId="207334C3" w14:textId="77777777" w:rsidR="006B066F" w:rsidRPr="00ED749E" w:rsidRDefault="006B066F" w:rsidP="006B066F">
      <w:r w:rsidRPr="00ED749E">
        <w:t xml:space="preserve">Carbon monoxide </w:t>
      </w:r>
      <w:r>
        <w:t>interferes with the blood’s ability to absorb and circulate oxygen in the body.</w:t>
      </w:r>
      <w:r w:rsidRPr="00ED749E">
        <w:t xml:space="preserve"> </w:t>
      </w:r>
      <w:r w:rsidR="00256D82">
        <w:t xml:space="preserve">It is </w:t>
      </w:r>
      <w:r>
        <w:t>relatively toxic.</w:t>
      </w:r>
      <w:r w:rsidRPr="00ED749E">
        <w:t xml:space="preserve"> Low exposure to carbon monoxide can cause dizziness, nausea, confusion and disorientation and can also reduce performance while doing exercise. At very high levels loss of consciousness</w:t>
      </w:r>
      <w:r>
        <w:t>, collapse, coma</w:t>
      </w:r>
      <w:r w:rsidRPr="00ED749E">
        <w:t xml:space="preserve"> and death can occur. Middle-aged and elderly people with heart disease and the foetuses of pregnant </w:t>
      </w:r>
      <w:r w:rsidR="00256D82">
        <w:t xml:space="preserve">women </w:t>
      </w:r>
      <w:r w:rsidRPr="00ED749E">
        <w:t>are the groups most sensitive to carbon monoxide.</w:t>
      </w:r>
    </w:p>
    <w:p w14:paraId="7EBBD209" w14:textId="77777777" w:rsidR="006B066F" w:rsidRPr="00ED749E" w:rsidRDefault="006B066F" w:rsidP="006B066F"/>
    <w:p w14:paraId="0675A221" w14:textId="77777777" w:rsidR="006B066F" w:rsidRPr="00ED749E" w:rsidRDefault="006B066F" w:rsidP="006B066F">
      <w:r w:rsidRPr="00ED749E">
        <w:t>Carbon monoxide levels are generally highest in urban areas along</w:t>
      </w:r>
      <w:r w:rsidR="000D4355">
        <w:t>,</w:t>
      </w:r>
      <w:r w:rsidRPr="00ED749E">
        <w:t xml:space="preserve"> or close to</w:t>
      </w:r>
      <w:r w:rsidR="000D4355">
        <w:t>,</w:t>
      </w:r>
      <w:r w:rsidRPr="00ED749E">
        <w:t xml:space="preserve"> busy roads. Carbon monoxide can cause localised effects along congested roads and urban-wide effects during winter temperature inversion conditions. </w:t>
      </w:r>
    </w:p>
    <w:p w14:paraId="69D96D08" w14:textId="77777777" w:rsidR="006B066F" w:rsidRPr="00ED749E" w:rsidRDefault="006B066F" w:rsidP="006B066F">
      <w:pPr>
        <w:pStyle w:val="Heading3"/>
      </w:pPr>
      <w:r w:rsidRPr="00ED749E">
        <w:t>3.2.2</w:t>
      </w:r>
      <w:r w:rsidRPr="00ED749E">
        <w:tab/>
        <w:t xml:space="preserve">Nitrogen </w:t>
      </w:r>
      <w:r w:rsidR="001D458C" w:rsidRPr="00ED749E">
        <w:t xml:space="preserve">dioxide </w:t>
      </w:r>
      <w:r w:rsidRPr="00ED749E">
        <w:t>(NO</w:t>
      </w:r>
      <w:r w:rsidRPr="00ED749E">
        <w:rPr>
          <w:vertAlign w:val="subscript"/>
        </w:rPr>
        <w:t>2</w:t>
      </w:r>
      <w:r w:rsidRPr="00ED749E">
        <w:t>)</w:t>
      </w:r>
    </w:p>
    <w:p w14:paraId="5538A9B7" w14:textId="77777777" w:rsidR="006B066F" w:rsidRPr="00ED749E" w:rsidRDefault="006B066F" w:rsidP="006B066F">
      <w:r w:rsidRPr="00ED749E">
        <w:t>Nitrogen dioxide is a reddish-brown, pungent, acidic gas that is co</w:t>
      </w:r>
      <w:r w:rsidR="00A167CA">
        <w:t>rrosive and strongly oxidising.</w:t>
      </w:r>
      <w:r>
        <w:t xml:space="preserve"> </w:t>
      </w:r>
      <w:r w:rsidRPr="00ED749E">
        <w:t>Nitrogen dioxide is not usuall</w:t>
      </w:r>
      <w:r w:rsidR="00FD76FC">
        <w:t>y discharged directly into air.</w:t>
      </w:r>
      <w:r>
        <w:t xml:space="preserve"> Rather, n</w:t>
      </w:r>
      <w:r w:rsidRPr="00ED749E">
        <w:t>itrogen dioxide forms when nitrogen oxide (NO) and other nitrogen oxides (NO</w:t>
      </w:r>
      <w:r w:rsidRPr="00ED749E">
        <w:rPr>
          <w:vertAlign w:val="subscript"/>
        </w:rPr>
        <w:t>x</w:t>
      </w:r>
      <w:r w:rsidRPr="00ED749E">
        <w:t>) react with other chemicals in the air to form nitrogen dioxide</w:t>
      </w:r>
      <w:r>
        <w:t xml:space="preserve"> (NO</w:t>
      </w:r>
      <w:r w:rsidRPr="00ED749E">
        <w:rPr>
          <w:vertAlign w:val="subscript"/>
        </w:rPr>
        <w:t>2</w:t>
      </w:r>
      <w:r>
        <w:t>)</w:t>
      </w:r>
      <w:r w:rsidRPr="00ED749E">
        <w:t xml:space="preserve">. The main source of anthropogenic nitrogen dioxide is the combustion of fossil fuels (coal, gas and oil), especially petrol used in cars. In </w:t>
      </w:r>
      <w:r>
        <w:t>Auckland</w:t>
      </w:r>
      <w:r w:rsidR="00A167CA">
        <w:t>,</w:t>
      </w:r>
      <w:r>
        <w:t xml:space="preserve"> transport</w:t>
      </w:r>
      <w:r w:rsidRPr="00ED749E">
        <w:t xml:space="preserve"> contribute</w:t>
      </w:r>
      <w:r>
        <w:t>s</w:t>
      </w:r>
      <w:r w:rsidRPr="00ED749E">
        <w:t xml:space="preserve"> 8</w:t>
      </w:r>
      <w:r>
        <w:t>3</w:t>
      </w:r>
      <w:r w:rsidR="004C7B6C">
        <w:t xml:space="preserve">% </w:t>
      </w:r>
      <w:r w:rsidRPr="00ED749E">
        <w:t>of ambient nitrogen dioxide</w:t>
      </w:r>
      <w:r>
        <w:t xml:space="preserve"> (</w:t>
      </w:r>
      <w:r w:rsidR="00FD2F5E">
        <w:t>ARC</w:t>
      </w:r>
      <w:r>
        <w:t xml:space="preserve">, </w:t>
      </w:r>
      <w:r w:rsidRPr="001D458C">
        <w:t>2006</w:t>
      </w:r>
      <w:r>
        <w:t>)</w:t>
      </w:r>
      <w:r w:rsidRPr="00ED749E">
        <w:t xml:space="preserve">. </w:t>
      </w:r>
    </w:p>
    <w:p w14:paraId="79D3BB33" w14:textId="77777777" w:rsidR="006B066F" w:rsidRPr="00ED749E" w:rsidRDefault="006B066F" w:rsidP="006B066F"/>
    <w:p w14:paraId="4AC19F0B" w14:textId="77777777" w:rsidR="006B066F" w:rsidRPr="00ED749E" w:rsidRDefault="006B066F" w:rsidP="006B066F">
      <w:r w:rsidRPr="00ED749E">
        <w:t>The main health effect of nitrogen dioxid</w:t>
      </w:r>
      <w:r w:rsidR="00A167CA">
        <w:t>e is on the respiratory system.</w:t>
      </w:r>
      <w:r>
        <w:t xml:space="preserve"> </w:t>
      </w:r>
      <w:r w:rsidRPr="00ED749E">
        <w:t>Nitrogen dioxide can decrease the lungs’ defences against bacteria, making them more susceptible to infections, and can also aggravate asthma. Young children, asthmatics of all ages (but especially children), and adults with heart and respiratory disorders are most sensitive to nitrogen dioxide.</w:t>
      </w:r>
    </w:p>
    <w:p w14:paraId="00FF4B3B" w14:textId="77777777" w:rsidR="006B066F" w:rsidRPr="00ED749E" w:rsidRDefault="006B066F" w:rsidP="006B066F"/>
    <w:p w14:paraId="5CF5CEEE" w14:textId="77777777" w:rsidR="006B066F" w:rsidRDefault="006B066F" w:rsidP="006B066F">
      <w:r>
        <w:t>Research shows t</w:t>
      </w:r>
      <w:r w:rsidRPr="00ED749E">
        <w:t>here is an association between nitrogen dioxide concentrations in the air and increases in daily mortality and hospital admissions for respiratory disease.</w:t>
      </w:r>
      <w:r>
        <w:t xml:space="preserve"> However, the health effects of nitrogen dioxide can be difficult to separate from those of particulate matter because they come from the same sources and are general</w:t>
      </w:r>
      <w:r w:rsidR="000D4355">
        <w:t>ly always present together (</w:t>
      </w:r>
      <w:r w:rsidR="00A167CA">
        <w:t>ie</w:t>
      </w:r>
      <w:r w:rsidR="000D4355">
        <w:t>,</w:t>
      </w:r>
      <w:r>
        <w:t xml:space="preserve"> they are highly correlated)</w:t>
      </w:r>
      <w:r w:rsidR="000D4355">
        <w:t>.</w:t>
      </w:r>
      <w:r>
        <w:t xml:space="preserve"> The World Health Organisation (</w:t>
      </w:r>
      <w:r w:rsidRPr="001D458C">
        <w:t>2006</w:t>
      </w:r>
      <w:r>
        <w:t>) concluded that:</w:t>
      </w:r>
    </w:p>
    <w:p w14:paraId="5D1058A7" w14:textId="77777777" w:rsidR="006B066F" w:rsidRDefault="006B066F" w:rsidP="006B066F">
      <w:pPr>
        <w:ind w:left="397"/>
      </w:pPr>
    </w:p>
    <w:p w14:paraId="5725DBF4" w14:textId="77777777" w:rsidR="006B066F" w:rsidRPr="006B066F" w:rsidRDefault="006B066F" w:rsidP="006B066F">
      <w:pPr>
        <w:ind w:left="397"/>
        <w:rPr>
          <w:i/>
          <w:sz w:val="20"/>
        </w:rPr>
      </w:pPr>
      <w:r w:rsidRPr="006B066F">
        <w:rPr>
          <w:i/>
          <w:sz w:val="20"/>
        </w:rPr>
        <w:t xml:space="preserve">The Southern California Children’s Health Study provides evidence of the effect of nitrogen dioxide on lung function growth, and suggests that lung function values below the 80% predicted might be as much as five times more likely in polluted communities than in </w:t>
      </w:r>
      <w:r w:rsidR="003C67B8">
        <w:rPr>
          <w:i/>
          <w:sz w:val="20"/>
        </w:rPr>
        <w:t>communities with low pollution.</w:t>
      </w:r>
      <w:r w:rsidRPr="006B066F">
        <w:rPr>
          <w:i/>
          <w:sz w:val="20"/>
        </w:rPr>
        <w:t xml:space="preserve"> Given the fact that lung function values persist throughout life, these decrements will have a lifelong impact on the health of those affect</w:t>
      </w:r>
      <w:r w:rsidR="003C67B8">
        <w:rPr>
          <w:i/>
          <w:sz w:val="20"/>
        </w:rPr>
        <w:t>ed.</w:t>
      </w:r>
      <w:r w:rsidRPr="006B066F">
        <w:rPr>
          <w:i/>
          <w:sz w:val="20"/>
        </w:rPr>
        <w:t xml:space="preserve"> Evidence from Europe supports an association between nitrogen dioxid</w:t>
      </w:r>
      <w:r w:rsidR="003C67B8">
        <w:rPr>
          <w:i/>
          <w:sz w:val="20"/>
        </w:rPr>
        <w:t xml:space="preserve">e and lung function in adults. </w:t>
      </w:r>
      <w:r w:rsidRPr="006B066F">
        <w:rPr>
          <w:i/>
          <w:sz w:val="20"/>
        </w:rPr>
        <w:t>However, doubt remains as to whether those effects are attributable to nitrogen dioxide per se, as other highly correlated measure</w:t>
      </w:r>
      <w:r w:rsidR="000D4355">
        <w:rPr>
          <w:i/>
          <w:sz w:val="20"/>
        </w:rPr>
        <w:t>s</w:t>
      </w:r>
      <w:r w:rsidRPr="006B066F">
        <w:rPr>
          <w:i/>
          <w:sz w:val="20"/>
        </w:rPr>
        <w:t xml:space="preserve"> of traffic-related PM showed associations of similar strength.</w:t>
      </w:r>
    </w:p>
    <w:p w14:paraId="6273FEF3" w14:textId="77777777" w:rsidR="006B066F" w:rsidRDefault="006B066F" w:rsidP="006B066F"/>
    <w:p w14:paraId="17088BEB" w14:textId="77777777" w:rsidR="006B066F" w:rsidRPr="00ED749E" w:rsidRDefault="006B066F" w:rsidP="006B066F">
      <w:r w:rsidRPr="00ED749E">
        <w:t>Nitrogen dioxide can cause brown haze and reduce visibility. Nitrogen dioxide at high concentrations is also toxic to plants and can be corrosive to building materials.</w:t>
      </w:r>
    </w:p>
    <w:p w14:paraId="3DEC6F78" w14:textId="77777777" w:rsidR="006B066F" w:rsidRPr="00ED749E" w:rsidRDefault="006B066F" w:rsidP="006B066F"/>
    <w:p w14:paraId="327D11CE" w14:textId="77777777" w:rsidR="006B066F" w:rsidRPr="00BA648A" w:rsidRDefault="006B066F" w:rsidP="006B066F">
      <w:pPr>
        <w:rPr>
          <w:highlight w:val="magenta"/>
        </w:rPr>
      </w:pPr>
      <w:r w:rsidRPr="00ED749E">
        <w:t>Nitrogen dioxide can be both a localised problem around congested roads and also an urban-wide problem from a variety of combustion sources.</w:t>
      </w:r>
    </w:p>
    <w:p w14:paraId="0320E30E" w14:textId="77777777" w:rsidR="006B066F" w:rsidRPr="00E17A12" w:rsidRDefault="006B066F" w:rsidP="006B066F">
      <w:pPr>
        <w:pStyle w:val="Heading3"/>
      </w:pPr>
      <w:r w:rsidRPr="00E17A12">
        <w:t>3.2.3</w:t>
      </w:r>
      <w:r w:rsidRPr="00E17A12">
        <w:tab/>
        <w:t>Ozone (O</w:t>
      </w:r>
      <w:r w:rsidRPr="00E17A12">
        <w:rPr>
          <w:vertAlign w:val="subscript"/>
        </w:rPr>
        <w:t>3</w:t>
      </w:r>
      <w:r w:rsidRPr="00E17A12">
        <w:t>)</w:t>
      </w:r>
    </w:p>
    <w:p w14:paraId="1FB3540C" w14:textId="77777777" w:rsidR="006B066F" w:rsidRPr="00E17A12" w:rsidRDefault="006B066F" w:rsidP="006B066F">
      <w:r w:rsidRPr="00E17A12">
        <w:t xml:space="preserve">Ozone is a secondary pollutant formed by the photochemical reaction of primary pollutants nitrogen oxides and volatile organic compounds (VOCs) and often produces photochemical smog. </w:t>
      </w:r>
      <w:r>
        <w:t xml:space="preserve"> </w:t>
      </w:r>
      <w:r w:rsidRPr="00E17A12">
        <w:t>The primary pollutants are produced mainly from motor-vehicle emissions, other combustion sources, and industrial and domestic use of solvents and coatings.</w:t>
      </w:r>
    </w:p>
    <w:p w14:paraId="3DAC2089" w14:textId="77777777" w:rsidR="006B066F" w:rsidRPr="00E17A12" w:rsidRDefault="006B066F" w:rsidP="006B066F"/>
    <w:p w14:paraId="0F68FFE3" w14:textId="77777777" w:rsidR="006B066F" w:rsidRDefault="006B066F" w:rsidP="006B066F">
      <w:r w:rsidRPr="00E17A12">
        <w:t xml:space="preserve">Studies show a wide variety of health effects from exposure to ozone including increased daily mortality, respiratory and cardiovascular disease. </w:t>
      </w:r>
      <w:r>
        <w:t xml:space="preserve"> </w:t>
      </w:r>
    </w:p>
    <w:p w14:paraId="4A2D7251" w14:textId="77777777" w:rsidR="006B066F" w:rsidRDefault="006B066F" w:rsidP="006B066F"/>
    <w:p w14:paraId="4C8778DF" w14:textId="77777777" w:rsidR="006B066F" w:rsidRDefault="006B066F" w:rsidP="006B066F">
      <w:pPr>
        <w:rPr>
          <w:szCs w:val="22"/>
          <w:lang w:eastAsia="en-NZ"/>
        </w:rPr>
      </w:pPr>
      <w:r w:rsidRPr="00E17A12">
        <w:t>In the short term</w:t>
      </w:r>
      <w:r>
        <w:t xml:space="preserve"> (up to 8 hours)</w:t>
      </w:r>
      <w:r w:rsidRPr="00E17A12">
        <w:t xml:space="preserve"> </w:t>
      </w:r>
      <w:r>
        <w:t>ozone induces lung function decrements including cough, pain on deep inspir</w:t>
      </w:r>
      <w:r w:rsidR="003C67B8">
        <w:t xml:space="preserve">ation and shortness of breath. </w:t>
      </w:r>
      <w:r w:rsidRPr="008D6AF5">
        <w:rPr>
          <w:szCs w:val="22"/>
          <w:lang w:eastAsia="en-NZ"/>
        </w:rPr>
        <w:t xml:space="preserve">These effects are reversible, with improvement and recovery to baseline varying from a few hours to 24 to 48 hours after an elevated ozone exposure. </w:t>
      </w:r>
      <w:r>
        <w:rPr>
          <w:szCs w:val="22"/>
          <w:lang w:eastAsia="en-NZ"/>
        </w:rPr>
        <w:t xml:space="preserve"> </w:t>
      </w:r>
      <w:r>
        <w:t xml:space="preserve">Ozone can also cause </w:t>
      </w:r>
      <w:r w:rsidRPr="00E17A12">
        <w:t>irritation to eyes, nose and throat</w:t>
      </w:r>
      <w:r>
        <w:t>,</w:t>
      </w:r>
      <w:r w:rsidRPr="00E17A12">
        <w:t xml:space="preserve"> </w:t>
      </w:r>
      <w:r>
        <w:t>headaches and</w:t>
      </w:r>
      <w:r w:rsidRPr="00E17A12">
        <w:t xml:space="preserve"> </w:t>
      </w:r>
      <w:r>
        <w:t>i</w:t>
      </w:r>
      <w:r w:rsidRPr="00E17A12">
        <w:t>t contributes to asthma.</w:t>
      </w:r>
    </w:p>
    <w:p w14:paraId="0434EEFD" w14:textId="77777777" w:rsidR="006B066F" w:rsidRDefault="006B066F" w:rsidP="006B066F">
      <w:pPr>
        <w:rPr>
          <w:szCs w:val="22"/>
          <w:lang w:eastAsia="en-NZ"/>
        </w:rPr>
      </w:pPr>
    </w:p>
    <w:p w14:paraId="7DC10991" w14:textId="77777777" w:rsidR="006B066F" w:rsidRDefault="006B066F" w:rsidP="006B066F">
      <w:pPr>
        <w:rPr>
          <w:szCs w:val="22"/>
          <w:lang w:eastAsia="en-NZ"/>
        </w:rPr>
      </w:pPr>
      <w:r w:rsidRPr="008D6AF5">
        <w:rPr>
          <w:szCs w:val="22"/>
          <w:lang w:eastAsia="en-NZ"/>
        </w:rPr>
        <w:t>Current thinking is that both symptom and lung function changes are due to stimulation of airway neural receptors and transmission to the central nervous system via afferent vagal nerve pathways</w:t>
      </w:r>
      <w:r>
        <w:rPr>
          <w:szCs w:val="22"/>
          <w:lang w:eastAsia="en-NZ"/>
        </w:rPr>
        <w:t xml:space="preserve"> </w:t>
      </w:r>
      <w:r>
        <w:t xml:space="preserve">(USEPA, </w:t>
      </w:r>
      <w:r w:rsidRPr="006E74A3">
        <w:t>2011</w:t>
      </w:r>
      <w:r w:rsidR="006E74A3" w:rsidRPr="006E74A3">
        <w:t>a</w:t>
      </w:r>
      <w:r>
        <w:t>)</w:t>
      </w:r>
      <w:r w:rsidRPr="008D6AF5">
        <w:rPr>
          <w:szCs w:val="22"/>
          <w:lang w:eastAsia="en-NZ"/>
        </w:rPr>
        <w:t>. Although ozone exposure results in some airway narrowing, neural inhibition of inspiratory effort at high lung volumes is believed to be the primary cause of the predominant physiological effect, being unable to inhale t</w:t>
      </w:r>
      <w:r>
        <w:rPr>
          <w:szCs w:val="22"/>
          <w:lang w:eastAsia="en-NZ"/>
        </w:rPr>
        <w:t>o total lung capacity</w:t>
      </w:r>
      <w:r w:rsidRPr="008D6AF5">
        <w:rPr>
          <w:szCs w:val="22"/>
          <w:lang w:eastAsia="en-NZ"/>
        </w:rPr>
        <w:t xml:space="preserve">. </w:t>
      </w:r>
    </w:p>
    <w:p w14:paraId="7198FF93" w14:textId="77777777" w:rsidR="006B066F" w:rsidRDefault="006B066F" w:rsidP="006B066F">
      <w:pPr>
        <w:rPr>
          <w:szCs w:val="22"/>
          <w:lang w:eastAsia="en-NZ"/>
        </w:rPr>
      </w:pPr>
    </w:p>
    <w:p w14:paraId="1591AD01" w14:textId="77777777" w:rsidR="006B066F" w:rsidRPr="00E17A12" w:rsidRDefault="006B066F" w:rsidP="006B066F">
      <w:r w:rsidRPr="00E17A12">
        <w:t>The groups most sensitive to ozone are people with asthma and lung disease, healthy adults exercising for long periods of time outdoors, and older people, particularly those with heart disease.</w:t>
      </w:r>
    </w:p>
    <w:p w14:paraId="10A6C9EC" w14:textId="77777777" w:rsidR="006B066F" w:rsidRDefault="006B066F" w:rsidP="006B066F"/>
    <w:p w14:paraId="699D0BF1" w14:textId="77777777" w:rsidR="006B066F" w:rsidRDefault="006B066F" w:rsidP="006B066F">
      <w:r>
        <w:t xml:space="preserve">There is some preliminary epidemiologic evidence that long-term ozone exposure may result in the induction of new asthma (USEPA, </w:t>
      </w:r>
      <w:r w:rsidRPr="006E74A3">
        <w:t>2011</w:t>
      </w:r>
      <w:r w:rsidR="006E74A3" w:rsidRPr="006E74A3">
        <w:t>a</w:t>
      </w:r>
      <w:r w:rsidR="003C67B8">
        <w:t xml:space="preserve">). </w:t>
      </w:r>
      <w:r>
        <w:t>This is supported by animal toxicological evidence that co-exposure to ozone can enhance sensitisation to known allergens.  New data in nonhuman primates also indicate that exposure very early in life during respiratory tract maturation may have profound effects upon the distribution and function of va</w:t>
      </w:r>
      <w:r w:rsidR="003C67B8">
        <w:t>rious cell types in the airway.</w:t>
      </w:r>
      <w:r>
        <w:t xml:space="preserve"> This suggests that young children may be especially susceptible to effects of ozone on lung development.</w:t>
      </w:r>
    </w:p>
    <w:p w14:paraId="48E01902" w14:textId="77777777" w:rsidR="006B066F" w:rsidRPr="008D6AF5" w:rsidRDefault="006B066F" w:rsidP="006B066F">
      <w:pPr>
        <w:rPr>
          <w:sz w:val="24"/>
          <w:szCs w:val="24"/>
          <w:lang w:eastAsia="en-NZ"/>
        </w:rPr>
      </w:pPr>
    </w:p>
    <w:p w14:paraId="582C3040" w14:textId="77777777" w:rsidR="006B066F" w:rsidRPr="00E17A12" w:rsidRDefault="006B066F" w:rsidP="006B066F">
      <w:r w:rsidRPr="00E17A12">
        <w:t xml:space="preserve">Ozone and other chemicals formed by photochemical reactions are </w:t>
      </w:r>
      <w:r>
        <w:t xml:space="preserve">also </w:t>
      </w:r>
      <w:r w:rsidRPr="00E17A12">
        <w:t xml:space="preserve">toxic to plants in high concentrations. They can affect photosynthesis and plant respiration, reduce growth </w:t>
      </w:r>
      <w:r w:rsidR="003C67B8">
        <w:t>rates, and affect reproduction.</w:t>
      </w:r>
      <w:r>
        <w:t xml:space="preserve"> </w:t>
      </w:r>
      <w:r w:rsidRPr="00E17A12">
        <w:t>Ozone is corrosive to most materials at high concentrations,</w:t>
      </w:r>
      <w:r w:rsidR="003C67B8">
        <w:t xml:space="preserve"> including plastics and metals.</w:t>
      </w:r>
      <w:r>
        <w:t xml:space="preserve"> </w:t>
      </w:r>
      <w:r w:rsidRPr="00E17A12">
        <w:t>Photochemical reactions in the atmosphere produce fine particles, such as sulphates, nitrates and organic aerosols in the air. These contaminants scatter light and can affect visibility.</w:t>
      </w:r>
    </w:p>
    <w:p w14:paraId="3243EEE1" w14:textId="77777777" w:rsidR="006B066F" w:rsidRPr="00E17A12" w:rsidRDefault="006B066F" w:rsidP="006B066F"/>
    <w:p w14:paraId="732FE93B" w14:textId="77777777" w:rsidR="006B066F" w:rsidRPr="00BA648A" w:rsidRDefault="006B066F" w:rsidP="006B066F">
      <w:pPr>
        <w:rPr>
          <w:highlight w:val="magenta"/>
        </w:rPr>
      </w:pPr>
      <w:r w:rsidRPr="00E17A12">
        <w:t>Because ozone forms over time, the highest concentrations are usually found in areas away from the urban areas such as major cities where the primary pollutants are released.</w:t>
      </w:r>
    </w:p>
    <w:p w14:paraId="10135ED1" w14:textId="77777777" w:rsidR="006B066F" w:rsidRPr="007A20DF" w:rsidRDefault="006B066F" w:rsidP="006B066F">
      <w:pPr>
        <w:pStyle w:val="Heading3"/>
      </w:pPr>
      <w:r w:rsidRPr="007A20DF">
        <w:t>3.2.4</w:t>
      </w:r>
      <w:r w:rsidRPr="007A20DF">
        <w:tab/>
        <w:t xml:space="preserve">Sulphur </w:t>
      </w:r>
      <w:r w:rsidR="006E74A3" w:rsidRPr="007A20DF">
        <w:t xml:space="preserve">dioxide </w:t>
      </w:r>
      <w:r w:rsidRPr="007A20DF">
        <w:t>(SO</w:t>
      </w:r>
      <w:r w:rsidRPr="007A20DF">
        <w:rPr>
          <w:vertAlign w:val="subscript"/>
        </w:rPr>
        <w:t>2</w:t>
      </w:r>
      <w:r w:rsidRPr="007A20DF">
        <w:t>)</w:t>
      </w:r>
    </w:p>
    <w:p w14:paraId="52293E6F" w14:textId="77777777" w:rsidR="006B066F" w:rsidRPr="007A20DF" w:rsidRDefault="006B066F" w:rsidP="006B066F">
      <w:r w:rsidRPr="007A20DF">
        <w:t>Sulphur dioxide is a colourless, soluble gas with a characteristic pungent smell, which forms sulphuric</w:t>
      </w:r>
      <w:r w:rsidR="003C67B8">
        <w:t xml:space="preserve"> acid when combined with water.</w:t>
      </w:r>
      <w:r>
        <w:t xml:space="preserve"> </w:t>
      </w:r>
      <w:r w:rsidRPr="007A20DF">
        <w:t>Sulphur dioxide is produced mainly from the combustion of sulphur containing fossil fuels such as coal and oil (eg</w:t>
      </w:r>
      <w:r w:rsidR="000D4355">
        <w:t xml:space="preserve">, </w:t>
      </w:r>
      <w:r>
        <w:t>ship</w:t>
      </w:r>
      <w:r w:rsidR="000D4355">
        <w:t>s</w:t>
      </w:r>
      <w:r>
        <w:t xml:space="preserve"> burning heavy fuel oil or </w:t>
      </w:r>
      <w:r w:rsidRPr="007A20DF">
        <w:t>coal being burnt in a domestic fire). Sulphur dioxide is also produced from some industrial processes, such as fertiliser manufacturing, aluminium smelting and steel making. Natural sources of sulphur dioxide include geothermal activity</w:t>
      </w:r>
      <w:r>
        <w:t xml:space="preserve"> and volcanoes</w:t>
      </w:r>
      <w:r w:rsidRPr="007A20DF">
        <w:t>.</w:t>
      </w:r>
    </w:p>
    <w:p w14:paraId="134CFF3E" w14:textId="77777777" w:rsidR="006B066F" w:rsidRPr="007A20DF" w:rsidRDefault="006B066F" w:rsidP="006B066F"/>
    <w:p w14:paraId="0BE8BBFA" w14:textId="77777777" w:rsidR="006B066F" w:rsidRDefault="006B066F" w:rsidP="006B066F">
      <w:r w:rsidRPr="007A20DF">
        <w:t>Sulphur dioxide can cause respiratory problems, such as bronchitis, and it can irrit</w:t>
      </w:r>
      <w:r w:rsidR="003C67B8">
        <w:t>ate the nose, throat and lungs.</w:t>
      </w:r>
      <w:r>
        <w:t xml:space="preserve"> </w:t>
      </w:r>
      <w:r w:rsidRPr="007A20DF">
        <w:t xml:space="preserve">It may cause coughing, wheezing, phlegm and asthma attacks. The effects are exacerbated </w:t>
      </w:r>
      <w:r>
        <w:t>by</w:t>
      </w:r>
      <w:r w:rsidR="003C67B8">
        <w:t xml:space="preserve"> exercising.</w:t>
      </w:r>
      <w:r w:rsidRPr="007A20DF">
        <w:t xml:space="preserve"> Healthy children, adults with lung disease and asthmatics are the groups most sensitive to sulphur dioxide.</w:t>
      </w:r>
    </w:p>
    <w:p w14:paraId="7A80201C" w14:textId="77777777" w:rsidR="006B066F" w:rsidRDefault="006B066F" w:rsidP="006B066F"/>
    <w:p w14:paraId="205CDE84" w14:textId="77777777" w:rsidR="006B066F" w:rsidRDefault="006B066F" w:rsidP="006B066F">
      <w:r>
        <w:t>Historically, day-to-day changes in mortality, morbidity or lung function associated with 24-hour average concentrations of sulphur dioxide were based on epidemiological studies in which people were expo</w:t>
      </w:r>
      <w:r w:rsidR="003C67B8">
        <w:t>sed to a mixture of pollutants.</w:t>
      </w:r>
      <w:r>
        <w:t xml:space="preserve"> It was difficult, therefore, to separate the contributions of each to the effects. More recent evidence, however, shows separate and independent adverse public health effects for particul</w:t>
      </w:r>
      <w:r w:rsidR="003C67B8">
        <w:t>ate matter and sulphur dioxide.</w:t>
      </w:r>
      <w:r>
        <w:t xml:space="preserve"> An important Hong Kong study showed a substantial reduction in all-age mortality and childhood respiratory disease following a reduction in short-term sulphur dioxide levels due to major reductions in the sulphur content of fuel (</w:t>
      </w:r>
      <w:r w:rsidRPr="006E74A3">
        <w:t>WHO, 2006</w:t>
      </w:r>
      <w:r>
        <w:t>). Other studies in Canada and the US show no evidence for a sulphur dioxid</w:t>
      </w:r>
      <w:r w:rsidR="00FD2F5E">
        <w:t>e threshold concentration (ie,</w:t>
      </w:r>
      <w:r>
        <w:t xml:space="preserve"> levels below which no effects were observed). This has led to a significant revision downwards of the World Health Organisation guideline for sulphur dioxide (</w:t>
      </w:r>
      <w:r w:rsidRPr="006E74A3">
        <w:t>WHO, 2006</w:t>
      </w:r>
      <w:r>
        <w:t>).</w:t>
      </w:r>
    </w:p>
    <w:p w14:paraId="25D129AC" w14:textId="77777777" w:rsidR="006B066F" w:rsidRDefault="006B066F" w:rsidP="006B066F"/>
    <w:p w14:paraId="64387C68" w14:textId="77777777" w:rsidR="006B066F" w:rsidRDefault="006B066F" w:rsidP="006B066F">
      <w:r w:rsidRPr="007A20DF">
        <w:t>Sulphur dioxide can cause problems over urban areas or more locally around industrial discharges.</w:t>
      </w:r>
    </w:p>
    <w:p w14:paraId="66098236" w14:textId="77777777" w:rsidR="00006C58" w:rsidRDefault="00006C58" w:rsidP="006B066F"/>
    <w:p w14:paraId="15D5490E" w14:textId="77777777" w:rsidR="00E92E1D" w:rsidRDefault="00E92E1D" w:rsidP="00E92E1D">
      <w:pPr>
        <w:pStyle w:val="Heading2"/>
      </w:pPr>
      <w:bookmarkStart w:id="32" w:name="_Toc300856597"/>
      <w:r>
        <w:t>3.3</w:t>
      </w:r>
      <w:r>
        <w:tab/>
        <w:t>The ambient air quality standards</w:t>
      </w:r>
      <w:bookmarkEnd w:id="32"/>
    </w:p>
    <w:p w14:paraId="32606618" w14:textId="77777777" w:rsidR="00646E36" w:rsidRDefault="00646E36" w:rsidP="00646E36">
      <w:pPr>
        <w:pStyle w:val="Heading3"/>
      </w:pPr>
      <w:r>
        <w:t>3.3.1</w:t>
      </w:r>
      <w:r>
        <w:tab/>
        <w:t>What are the ambient standards?</w:t>
      </w:r>
    </w:p>
    <w:p w14:paraId="37396F8D" w14:textId="77777777" w:rsidR="00646E36" w:rsidRDefault="00646E36" w:rsidP="00646E36"/>
    <w:p w14:paraId="31793CFB" w14:textId="77777777" w:rsidR="00646E36" w:rsidRPr="007E5581" w:rsidRDefault="00646E36" w:rsidP="007E5581">
      <w:pPr>
        <w:ind w:left="1134" w:hanging="567"/>
        <w:rPr>
          <w:b/>
          <w:i/>
          <w:sz w:val="20"/>
        </w:rPr>
      </w:pPr>
      <w:r w:rsidRPr="007E5581">
        <w:rPr>
          <w:b/>
          <w:i/>
          <w:sz w:val="20"/>
        </w:rPr>
        <w:t>13</w:t>
      </w:r>
      <w:r w:rsidRPr="007E5581">
        <w:rPr>
          <w:b/>
          <w:i/>
          <w:sz w:val="20"/>
        </w:rPr>
        <w:tab/>
        <w:t>Ambient air quality standards</w:t>
      </w:r>
    </w:p>
    <w:p w14:paraId="13252AF9" w14:textId="77777777" w:rsidR="00646E36" w:rsidRPr="007E5581" w:rsidRDefault="00646E36" w:rsidP="007E5581">
      <w:pPr>
        <w:ind w:left="1134" w:hanging="567"/>
        <w:rPr>
          <w:i/>
          <w:sz w:val="20"/>
        </w:rPr>
      </w:pPr>
      <w:r w:rsidRPr="007E5581">
        <w:rPr>
          <w:i/>
          <w:sz w:val="20"/>
        </w:rPr>
        <w:t>(1)</w:t>
      </w:r>
      <w:r w:rsidRPr="007E5581">
        <w:rPr>
          <w:i/>
          <w:sz w:val="20"/>
        </w:rPr>
        <w:tab/>
        <w:t>The ambient air quality standard for a contaminant specified in the first column of the table in Schedule 1 is that the contaminant must not exceed its threshold concentration in an airshed unless the exceedance is a permissible exceedance.</w:t>
      </w:r>
    </w:p>
    <w:p w14:paraId="13EE585E" w14:textId="77777777" w:rsidR="00646E36" w:rsidRPr="007E5581" w:rsidRDefault="00646E36" w:rsidP="007E5581">
      <w:pPr>
        <w:ind w:left="1134" w:hanging="567"/>
        <w:rPr>
          <w:i/>
          <w:sz w:val="20"/>
        </w:rPr>
      </w:pPr>
      <w:r w:rsidRPr="007E5581">
        <w:rPr>
          <w:i/>
          <w:sz w:val="20"/>
        </w:rPr>
        <w:t>(2)</w:t>
      </w:r>
      <w:r w:rsidRPr="007E5581">
        <w:rPr>
          <w:i/>
          <w:sz w:val="20"/>
        </w:rPr>
        <w:tab/>
        <w:t>The ambient air quality standard for a contaminant is breached if the contaminant exceeds its threshold concentration in an airshed and the exceedance is not a permissible exceedance.</w:t>
      </w:r>
    </w:p>
    <w:p w14:paraId="39C0D3AF" w14:textId="77777777" w:rsidR="00646E36" w:rsidRPr="007E5581" w:rsidRDefault="00646E36" w:rsidP="007E5581">
      <w:pPr>
        <w:ind w:left="1134" w:hanging="567"/>
        <w:rPr>
          <w:i/>
          <w:sz w:val="20"/>
        </w:rPr>
      </w:pPr>
      <w:r w:rsidRPr="007E5581">
        <w:rPr>
          <w:i/>
          <w:sz w:val="20"/>
        </w:rPr>
        <w:t>(3)</w:t>
      </w:r>
      <w:r w:rsidRPr="007E5581">
        <w:rPr>
          <w:i/>
          <w:sz w:val="20"/>
        </w:rPr>
        <w:tab/>
        <w:t>In these regulations, -</w:t>
      </w:r>
    </w:p>
    <w:p w14:paraId="3585A9A1" w14:textId="77777777" w:rsidR="00646E36" w:rsidRPr="007E5581" w:rsidRDefault="00646E36" w:rsidP="007E5581">
      <w:pPr>
        <w:ind w:left="1701" w:hanging="567"/>
        <w:rPr>
          <w:i/>
          <w:sz w:val="20"/>
        </w:rPr>
      </w:pPr>
      <w:r w:rsidRPr="007E5581">
        <w:rPr>
          <w:b/>
          <w:i/>
          <w:sz w:val="20"/>
        </w:rPr>
        <w:t>exceedance</w:t>
      </w:r>
      <w:r w:rsidRPr="007E5581">
        <w:rPr>
          <w:i/>
          <w:sz w:val="20"/>
        </w:rPr>
        <w:t>, for a contaminant, means an instance where the contaminant exceeds its threshold concentration in an airshed</w:t>
      </w:r>
    </w:p>
    <w:p w14:paraId="63C96326" w14:textId="77777777" w:rsidR="00646E36" w:rsidRPr="007E5581" w:rsidRDefault="00646E36" w:rsidP="007E5581">
      <w:pPr>
        <w:ind w:left="1701" w:hanging="567"/>
        <w:rPr>
          <w:i/>
          <w:sz w:val="20"/>
        </w:rPr>
      </w:pPr>
      <w:r w:rsidRPr="007E5581">
        <w:rPr>
          <w:b/>
          <w:i/>
          <w:sz w:val="20"/>
        </w:rPr>
        <w:t>permissible exceedance</w:t>
      </w:r>
      <w:r w:rsidRPr="007E5581">
        <w:rPr>
          <w:i/>
          <w:sz w:val="20"/>
        </w:rPr>
        <w:t>, for a contaminant, means 1 of the number of exceedances allowed for the contaminant in an airshed as specified in the third column of the table in Schedule 1</w:t>
      </w:r>
    </w:p>
    <w:p w14:paraId="3FED8498" w14:textId="77777777" w:rsidR="00646E36" w:rsidRDefault="00646E36" w:rsidP="007E5581">
      <w:pPr>
        <w:ind w:left="1701" w:hanging="567"/>
        <w:rPr>
          <w:i/>
          <w:sz w:val="20"/>
        </w:rPr>
      </w:pPr>
      <w:r w:rsidRPr="007E5581">
        <w:rPr>
          <w:b/>
          <w:i/>
          <w:sz w:val="20"/>
        </w:rPr>
        <w:t>threshold concentration</w:t>
      </w:r>
      <w:r w:rsidRPr="007E5581">
        <w:rPr>
          <w:i/>
          <w:sz w:val="20"/>
        </w:rPr>
        <w:t>, for a contaminant, means the concentration of the contaminant specified in the second column on the table in Schedule 1 calculated as a mean for the time period specified in th</w:t>
      </w:r>
      <w:r w:rsidR="005C6A8E">
        <w:rPr>
          <w:i/>
          <w:sz w:val="20"/>
        </w:rPr>
        <w:t>at</w:t>
      </w:r>
      <w:r w:rsidRPr="007E5581">
        <w:rPr>
          <w:i/>
          <w:sz w:val="20"/>
        </w:rPr>
        <w:t xml:space="preserve"> column.</w:t>
      </w:r>
    </w:p>
    <w:p w14:paraId="16048241" w14:textId="77777777" w:rsidR="0091495E" w:rsidRDefault="0091495E" w:rsidP="007E5581">
      <w:pPr>
        <w:ind w:left="1701" w:hanging="567"/>
        <w:rPr>
          <w:b/>
          <w:sz w:val="20"/>
        </w:rPr>
      </w:pPr>
    </w:p>
    <w:p w14:paraId="4605B295" w14:textId="77777777" w:rsidR="0091495E" w:rsidRPr="002010BA" w:rsidRDefault="002010BA" w:rsidP="001B7E06">
      <w:pPr>
        <w:keepNext/>
        <w:ind w:left="1134" w:hanging="567"/>
        <w:rPr>
          <w:b/>
          <w:i/>
          <w:sz w:val="20"/>
        </w:rPr>
      </w:pPr>
      <w:r w:rsidRPr="002010BA">
        <w:rPr>
          <w:b/>
          <w:i/>
          <w:sz w:val="20"/>
        </w:rPr>
        <w:t>Schedule 1</w:t>
      </w:r>
    </w:p>
    <w:p w14:paraId="63A0D618" w14:textId="77777777" w:rsidR="005E3A86" w:rsidRDefault="005E3A86" w:rsidP="001B7E06">
      <w:pPr>
        <w:pStyle w:val="HTMLPreformatted"/>
        <w:keepNext/>
        <w:tabs>
          <w:tab w:val="clear" w:pos="916"/>
          <w:tab w:val="clear" w:pos="7328"/>
          <w:tab w:val="clear" w:pos="8244"/>
          <w:tab w:val="clear" w:pos="9160"/>
          <w:tab w:val="clear" w:pos="10076"/>
          <w:tab w:val="left" w:pos="480"/>
        </w:tabs>
        <w:rPr>
          <w:rFonts w:ascii="Times New Roman" w:hAnsi="Times New Roman" w:cs="Times New Roman"/>
          <w:b/>
          <w:i/>
        </w:rPr>
      </w:pPr>
    </w:p>
    <w:p w14:paraId="2C423A00" w14:textId="77777777" w:rsidR="005E3A86" w:rsidRPr="005E3A86" w:rsidRDefault="005E3A86" w:rsidP="001B7E06">
      <w:pPr>
        <w:pStyle w:val="HTMLPreformatted"/>
        <w:keepNext/>
        <w:tabs>
          <w:tab w:val="clear" w:pos="916"/>
          <w:tab w:val="clear" w:pos="7328"/>
          <w:tab w:val="clear" w:pos="8244"/>
          <w:tab w:val="clear" w:pos="9160"/>
          <w:tab w:val="clear" w:pos="10076"/>
          <w:tab w:val="left" w:pos="480"/>
        </w:tabs>
        <w:ind w:left="1701" w:hanging="567"/>
        <w:rPr>
          <w:rFonts w:ascii="Times New Roman" w:hAnsi="Times New Roman" w:cs="Times New Roman"/>
          <w:b/>
          <w:i/>
        </w:rPr>
      </w:pPr>
      <w:r w:rsidRPr="005E3A86">
        <w:rPr>
          <w:rFonts w:ascii="Times New Roman" w:hAnsi="Times New Roman" w:cs="Times New Roman"/>
          <w:b/>
          <w:i/>
        </w:rPr>
        <w:t>Ambient air quality standards for contaminants</w:t>
      </w:r>
    </w:p>
    <w:p w14:paraId="03B7DF54" w14:textId="77777777" w:rsidR="009804F0" w:rsidRDefault="009804F0"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p>
    <w:p w14:paraId="3FFF5E60"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i/>
        </w:rPr>
        <w:t>In the following table,---</w:t>
      </w:r>
    </w:p>
    <w:p w14:paraId="42D45FF1"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p>
    <w:p w14:paraId="68717CEF"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b/>
          <w:i/>
        </w:rPr>
        <w:t>1-hour mean</w:t>
      </w:r>
      <w:r w:rsidRPr="005E3A86">
        <w:rPr>
          <w:rFonts w:ascii="Times New Roman" w:hAnsi="Times New Roman" w:cs="Times New Roman"/>
          <w:i/>
        </w:rPr>
        <w:t>---</w:t>
      </w:r>
    </w:p>
    <w:p w14:paraId="64D2DB9A"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i/>
        </w:rPr>
        <w:t xml:space="preserve">    (a)    means a mean calculated every hour on the hour for the preceding hour; and</w:t>
      </w:r>
    </w:p>
    <w:p w14:paraId="083F89AD"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i/>
        </w:rPr>
        <w:t xml:space="preserve">    (b)    in relation to a contaminant at a particular location for a particular hour, means the mean of not more than 10-minute means, collected not less than once every 10 seconds, for the contaminant at that location during that hour</w:t>
      </w:r>
    </w:p>
    <w:p w14:paraId="08916673"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p>
    <w:p w14:paraId="4D1410E2"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b/>
          <w:i/>
        </w:rPr>
      </w:pPr>
      <w:r w:rsidRPr="005E3A86">
        <w:rPr>
          <w:rFonts w:ascii="Times New Roman" w:hAnsi="Times New Roman" w:cs="Times New Roman"/>
          <w:b/>
          <w:i/>
        </w:rPr>
        <w:t>24-hour mean---</w:t>
      </w:r>
    </w:p>
    <w:p w14:paraId="15D89668"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i/>
        </w:rPr>
        <w:t xml:space="preserve">    (a)    means a mean calculated every 24 hours at midnight for the preceding 24 hours; and</w:t>
      </w:r>
    </w:p>
    <w:p w14:paraId="310EC144"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r w:rsidRPr="005E3A86">
        <w:rPr>
          <w:rFonts w:ascii="Times New Roman" w:hAnsi="Times New Roman" w:cs="Times New Roman"/>
          <w:i/>
        </w:rPr>
        <w:t xml:space="preserve">    (b)   in relation to a contaminant at a particular location for a particular 24-hour period, means---</w:t>
      </w:r>
    </w:p>
    <w:p w14:paraId="1E190AFF" w14:textId="77777777" w:rsidR="005E3A86" w:rsidRPr="005E3A86" w:rsidRDefault="005E3A86" w:rsidP="003B07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426"/>
        <w:rPr>
          <w:rFonts w:ascii="Times New Roman" w:hAnsi="Times New Roman" w:cs="Times New Roman"/>
          <w:i/>
        </w:rPr>
      </w:pPr>
      <w:r w:rsidRPr="005E3A86">
        <w:rPr>
          <w:rFonts w:ascii="Times New Roman" w:hAnsi="Times New Roman" w:cs="Times New Roman"/>
          <w:i/>
        </w:rPr>
        <w:t>(i)    the mean level at which the contaminant is recorded in the air, by continuous sampling of the air at that location, throughout that 24-hour period; or</w:t>
      </w:r>
    </w:p>
    <w:p w14:paraId="41C7A271" w14:textId="77777777" w:rsidR="005E3A86" w:rsidRPr="005E3A86" w:rsidRDefault="005E3A86" w:rsidP="003B07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426"/>
        <w:rPr>
          <w:rFonts w:ascii="Times New Roman" w:hAnsi="Times New Roman" w:cs="Times New Roman"/>
          <w:i/>
        </w:rPr>
      </w:pPr>
      <w:r w:rsidRPr="005E3A86">
        <w:rPr>
          <w:rFonts w:ascii="Times New Roman" w:hAnsi="Times New Roman" w:cs="Times New Roman"/>
          <w:i/>
        </w:rPr>
        <w:t>(ii)   the mean of the 1-hour means for that contaminant at that location for the preceding 24 hours</w:t>
      </w:r>
    </w:p>
    <w:p w14:paraId="22AF9FAC" w14:textId="77777777" w:rsidR="005E3A86" w:rsidRPr="005E3A86" w:rsidRDefault="005E3A86" w:rsidP="005E3A86">
      <w:pPr>
        <w:pStyle w:val="HTMLPreformatted"/>
        <w:tabs>
          <w:tab w:val="clear" w:pos="916"/>
          <w:tab w:val="clear" w:pos="7328"/>
          <w:tab w:val="clear" w:pos="8244"/>
          <w:tab w:val="clear" w:pos="9160"/>
          <w:tab w:val="clear" w:pos="10076"/>
          <w:tab w:val="left" w:pos="480"/>
        </w:tabs>
        <w:ind w:left="1701" w:hanging="567"/>
        <w:rPr>
          <w:rFonts w:ascii="Times New Roman" w:hAnsi="Times New Roman" w:cs="Times New Roman"/>
          <w:i/>
        </w:rPr>
      </w:pPr>
    </w:p>
    <w:p w14:paraId="468D3C10" w14:textId="77777777" w:rsidR="005E3A86" w:rsidRPr="005E3A86" w:rsidRDefault="005E3A86" w:rsidP="003B0729">
      <w:pPr>
        <w:pStyle w:val="HTMLPreformatted"/>
        <w:tabs>
          <w:tab w:val="clear" w:pos="916"/>
          <w:tab w:val="clear" w:pos="1832"/>
          <w:tab w:val="clear" w:pos="7328"/>
          <w:tab w:val="clear" w:pos="8244"/>
          <w:tab w:val="clear" w:pos="9160"/>
          <w:tab w:val="clear" w:pos="10076"/>
          <w:tab w:val="left" w:pos="480"/>
          <w:tab w:val="left" w:pos="1418"/>
        </w:tabs>
        <w:ind w:left="1701" w:hanging="567"/>
        <w:rPr>
          <w:rFonts w:ascii="Times New Roman" w:hAnsi="Times New Roman" w:cs="Times New Roman"/>
          <w:i/>
        </w:rPr>
      </w:pPr>
      <w:r w:rsidRPr="005E3A86">
        <w:rPr>
          <w:rFonts w:ascii="Times New Roman" w:hAnsi="Times New Roman" w:cs="Times New Roman"/>
          <w:b/>
          <w:i/>
        </w:rPr>
        <w:t>running 8-hour mean</w:t>
      </w:r>
      <w:r w:rsidRPr="005E3A86">
        <w:rPr>
          <w:rFonts w:ascii="Times New Roman" w:hAnsi="Times New Roman" w:cs="Times New Roman"/>
          <w:i/>
        </w:rPr>
        <w:t>---</w:t>
      </w:r>
    </w:p>
    <w:p w14:paraId="3345FC98" w14:textId="77777777" w:rsidR="005E3A86" w:rsidRPr="005E3A86" w:rsidRDefault="005E3A86" w:rsidP="003B0729">
      <w:pPr>
        <w:pStyle w:val="HTMLPreformatted"/>
        <w:tabs>
          <w:tab w:val="clear" w:pos="916"/>
          <w:tab w:val="clear" w:pos="1832"/>
          <w:tab w:val="clear" w:pos="7328"/>
          <w:tab w:val="clear" w:pos="8244"/>
          <w:tab w:val="clear" w:pos="9160"/>
          <w:tab w:val="clear" w:pos="10076"/>
          <w:tab w:val="left" w:pos="-2694"/>
          <w:tab w:val="left" w:pos="240"/>
        </w:tabs>
        <w:ind w:left="1843" w:hanging="425"/>
        <w:rPr>
          <w:rFonts w:ascii="Times New Roman" w:hAnsi="Times New Roman" w:cs="Times New Roman"/>
          <w:i/>
        </w:rPr>
      </w:pPr>
      <w:r w:rsidRPr="005E3A86">
        <w:rPr>
          <w:rFonts w:ascii="Times New Roman" w:hAnsi="Times New Roman" w:cs="Times New Roman"/>
          <w:i/>
        </w:rPr>
        <w:t xml:space="preserve">(a)  </w:t>
      </w:r>
      <w:r w:rsidR="003B0729">
        <w:rPr>
          <w:rFonts w:ascii="Times New Roman" w:hAnsi="Times New Roman" w:cs="Times New Roman"/>
          <w:i/>
        </w:rPr>
        <w:tab/>
      </w:r>
      <w:r w:rsidRPr="005E3A86">
        <w:rPr>
          <w:rFonts w:ascii="Times New Roman" w:hAnsi="Times New Roman" w:cs="Times New Roman"/>
          <w:i/>
        </w:rPr>
        <w:t>means a mean calculated every hour on the hour for that hour and the preceding 7 hours to give 1 running 8-hour mean per hour; and</w:t>
      </w:r>
    </w:p>
    <w:p w14:paraId="1EF81156" w14:textId="77777777" w:rsidR="005E3A86" w:rsidRPr="005E3A86" w:rsidRDefault="005E3A86" w:rsidP="003B0729">
      <w:pPr>
        <w:pStyle w:val="HTMLPreformatted"/>
        <w:tabs>
          <w:tab w:val="clear" w:pos="916"/>
          <w:tab w:val="clear" w:pos="7328"/>
          <w:tab w:val="clear" w:pos="8244"/>
          <w:tab w:val="clear" w:pos="9160"/>
          <w:tab w:val="clear" w:pos="10076"/>
          <w:tab w:val="left" w:pos="-2694"/>
          <w:tab w:val="left" w:pos="480"/>
        </w:tabs>
        <w:ind w:left="1843" w:hanging="425"/>
        <w:rPr>
          <w:rFonts w:ascii="Times New Roman" w:hAnsi="Times New Roman" w:cs="Times New Roman"/>
          <w:i/>
        </w:rPr>
      </w:pPr>
      <w:r w:rsidRPr="005E3A86">
        <w:rPr>
          <w:rFonts w:ascii="Times New Roman" w:hAnsi="Times New Roman" w:cs="Times New Roman"/>
          <w:i/>
        </w:rPr>
        <w:t>(b)</w:t>
      </w:r>
      <w:r w:rsidR="003B0729">
        <w:rPr>
          <w:rFonts w:ascii="Times New Roman" w:hAnsi="Times New Roman" w:cs="Times New Roman"/>
          <w:i/>
        </w:rPr>
        <w:tab/>
      </w:r>
      <w:r w:rsidRPr="005E3A86">
        <w:rPr>
          <w:rFonts w:ascii="Times New Roman" w:hAnsi="Times New Roman" w:cs="Times New Roman"/>
          <w:i/>
        </w:rPr>
        <w:t xml:space="preserve"> in relation to a contaminant at a particular location for a particular hour, means the mean of the 1-hour means for that contaminant at that location for that hour and the preceding 7 hours.</w:t>
      </w:r>
    </w:p>
    <w:p w14:paraId="2DBDD9F9" w14:textId="77777777" w:rsidR="005E3A86" w:rsidRPr="0091495E" w:rsidRDefault="005E3A86" w:rsidP="007E5581">
      <w:pPr>
        <w:ind w:left="1701" w:hanging="567"/>
        <w:rPr>
          <w:sz w:val="20"/>
        </w:rPr>
      </w:pPr>
    </w:p>
    <w:tbl>
      <w:tblPr>
        <w:tblW w:w="74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00"/>
        <w:gridCol w:w="1993"/>
      </w:tblGrid>
      <w:tr w:rsidR="0091495E" w:rsidRPr="00324A39" w14:paraId="1599FC83" w14:textId="77777777" w:rsidTr="0024650C">
        <w:tc>
          <w:tcPr>
            <w:tcW w:w="1985" w:type="dxa"/>
          </w:tcPr>
          <w:p w14:paraId="675FF51B" w14:textId="77777777" w:rsidR="0091495E" w:rsidRPr="0024650C" w:rsidRDefault="0091495E" w:rsidP="0024650C">
            <w:pPr>
              <w:jc w:val="left"/>
              <w:rPr>
                <w:b/>
                <w:i/>
                <w:sz w:val="20"/>
              </w:rPr>
            </w:pPr>
            <w:r w:rsidRPr="0024650C">
              <w:rPr>
                <w:b/>
                <w:i/>
                <w:sz w:val="20"/>
              </w:rPr>
              <w:t>Contaminant</w:t>
            </w:r>
          </w:p>
        </w:tc>
        <w:tc>
          <w:tcPr>
            <w:tcW w:w="3500" w:type="dxa"/>
          </w:tcPr>
          <w:p w14:paraId="674AE9DE" w14:textId="77777777" w:rsidR="0091495E" w:rsidRPr="0024650C" w:rsidRDefault="0091495E" w:rsidP="0024650C">
            <w:pPr>
              <w:jc w:val="left"/>
              <w:rPr>
                <w:b/>
                <w:i/>
                <w:sz w:val="20"/>
              </w:rPr>
            </w:pPr>
            <w:r w:rsidRPr="0024650C">
              <w:rPr>
                <w:b/>
                <w:i/>
                <w:sz w:val="20"/>
              </w:rPr>
              <w:t>Threshold concentration</w:t>
            </w:r>
          </w:p>
        </w:tc>
        <w:tc>
          <w:tcPr>
            <w:tcW w:w="1993" w:type="dxa"/>
            <w:tcBorders>
              <w:left w:val="nil"/>
            </w:tcBorders>
          </w:tcPr>
          <w:p w14:paraId="3FFADA6A" w14:textId="77777777" w:rsidR="0091495E" w:rsidRPr="0024650C" w:rsidRDefault="0091495E" w:rsidP="0024650C">
            <w:pPr>
              <w:jc w:val="left"/>
              <w:rPr>
                <w:b/>
                <w:i/>
                <w:sz w:val="20"/>
              </w:rPr>
            </w:pPr>
            <w:r w:rsidRPr="0024650C">
              <w:rPr>
                <w:b/>
                <w:i/>
                <w:sz w:val="20"/>
              </w:rPr>
              <w:t>Number of exceedances allowed</w:t>
            </w:r>
          </w:p>
        </w:tc>
      </w:tr>
      <w:tr w:rsidR="0091495E" w:rsidRPr="00483605" w14:paraId="6644B52C" w14:textId="77777777" w:rsidTr="0024650C">
        <w:tc>
          <w:tcPr>
            <w:tcW w:w="1985" w:type="dxa"/>
          </w:tcPr>
          <w:p w14:paraId="4F78E590" w14:textId="77777777" w:rsidR="0091495E" w:rsidRPr="0024650C" w:rsidRDefault="0091495E" w:rsidP="0024650C">
            <w:pPr>
              <w:jc w:val="left"/>
              <w:rPr>
                <w:i/>
                <w:sz w:val="20"/>
              </w:rPr>
            </w:pPr>
            <w:r w:rsidRPr="0024650C">
              <w:rPr>
                <w:i/>
                <w:sz w:val="20"/>
              </w:rPr>
              <w:t>Carbon monoxide (CO)</w:t>
            </w:r>
          </w:p>
        </w:tc>
        <w:tc>
          <w:tcPr>
            <w:tcW w:w="3500" w:type="dxa"/>
          </w:tcPr>
          <w:p w14:paraId="6C0B9316" w14:textId="77777777" w:rsidR="0091495E" w:rsidRPr="0024650C" w:rsidRDefault="0091495E" w:rsidP="0024650C">
            <w:pPr>
              <w:jc w:val="left"/>
              <w:rPr>
                <w:i/>
                <w:sz w:val="20"/>
              </w:rPr>
            </w:pPr>
            <w:r w:rsidRPr="0024650C">
              <w:rPr>
                <w:i/>
                <w:sz w:val="20"/>
              </w:rPr>
              <w:t>10 milligrams per cubic metre expressed as a running 8-hour mean</w:t>
            </w:r>
          </w:p>
        </w:tc>
        <w:tc>
          <w:tcPr>
            <w:tcW w:w="1993" w:type="dxa"/>
            <w:tcBorders>
              <w:left w:val="nil"/>
            </w:tcBorders>
          </w:tcPr>
          <w:p w14:paraId="1316A1AA" w14:textId="77777777" w:rsidR="0091495E" w:rsidRPr="0024650C" w:rsidRDefault="0091495E" w:rsidP="0024650C">
            <w:pPr>
              <w:jc w:val="left"/>
              <w:rPr>
                <w:i/>
                <w:sz w:val="20"/>
              </w:rPr>
            </w:pPr>
            <w:r w:rsidRPr="0024650C">
              <w:rPr>
                <w:i/>
                <w:sz w:val="20"/>
              </w:rPr>
              <w:t>1 in a 12-month period</w:t>
            </w:r>
          </w:p>
        </w:tc>
      </w:tr>
      <w:tr w:rsidR="0091495E" w:rsidRPr="00483605" w14:paraId="0C1F216E" w14:textId="77777777" w:rsidTr="0024650C">
        <w:tc>
          <w:tcPr>
            <w:tcW w:w="1985" w:type="dxa"/>
          </w:tcPr>
          <w:p w14:paraId="74E73E96" w14:textId="77777777" w:rsidR="0091495E" w:rsidRPr="0024650C" w:rsidRDefault="0091495E" w:rsidP="0024650C">
            <w:pPr>
              <w:jc w:val="left"/>
              <w:rPr>
                <w:i/>
                <w:sz w:val="20"/>
              </w:rPr>
            </w:pPr>
            <w:r w:rsidRPr="0024650C">
              <w:rPr>
                <w:i/>
                <w:sz w:val="20"/>
              </w:rPr>
              <w:t>Nitrogen dioxide (NO</w:t>
            </w:r>
            <w:r w:rsidRPr="0024650C">
              <w:rPr>
                <w:i/>
                <w:sz w:val="20"/>
                <w:vertAlign w:val="subscript"/>
              </w:rPr>
              <w:t>2</w:t>
            </w:r>
            <w:r w:rsidRPr="0024650C">
              <w:rPr>
                <w:i/>
                <w:sz w:val="20"/>
              </w:rPr>
              <w:t>)</w:t>
            </w:r>
          </w:p>
        </w:tc>
        <w:tc>
          <w:tcPr>
            <w:tcW w:w="3500" w:type="dxa"/>
          </w:tcPr>
          <w:p w14:paraId="6658E605" w14:textId="77777777" w:rsidR="0091495E" w:rsidRPr="0024650C" w:rsidRDefault="0091495E" w:rsidP="0024650C">
            <w:pPr>
              <w:jc w:val="left"/>
              <w:rPr>
                <w:i/>
                <w:sz w:val="20"/>
              </w:rPr>
            </w:pPr>
            <w:r w:rsidRPr="0024650C">
              <w:rPr>
                <w:i/>
                <w:sz w:val="20"/>
              </w:rPr>
              <w:t>200 micrograms per cubic metre expressed as a 1-hour mean</w:t>
            </w:r>
          </w:p>
        </w:tc>
        <w:tc>
          <w:tcPr>
            <w:tcW w:w="1993" w:type="dxa"/>
            <w:tcBorders>
              <w:left w:val="nil"/>
            </w:tcBorders>
          </w:tcPr>
          <w:p w14:paraId="7B7D2C73" w14:textId="77777777" w:rsidR="0091495E" w:rsidRPr="0024650C" w:rsidRDefault="0091495E" w:rsidP="0024650C">
            <w:pPr>
              <w:jc w:val="left"/>
              <w:rPr>
                <w:i/>
                <w:sz w:val="20"/>
              </w:rPr>
            </w:pPr>
            <w:r w:rsidRPr="0024650C">
              <w:rPr>
                <w:i/>
                <w:sz w:val="20"/>
              </w:rPr>
              <w:t>9 in a 12-month period</w:t>
            </w:r>
          </w:p>
        </w:tc>
      </w:tr>
      <w:tr w:rsidR="0091495E" w:rsidRPr="00483605" w14:paraId="55B265F4" w14:textId="77777777" w:rsidTr="0024650C">
        <w:tc>
          <w:tcPr>
            <w:tcW w:w="1985" w:type="dxa"/>
          </w:tcPr>
          <w:p w14:paraId="215230EF" w14:textId="77777777" w:rsidR="0091495E" w:rsidRPr="0024650C" w:rsidRDefault="0091495E" w:rsidP="0024650C">
            <w:pPr>
              <w:jc w:val="left"/>
              <w:rPr>
                <w:i/>
                <w:sz w:val="20"/>
              </w:rPr>
            </w:pPr>
            <w:r w:rsidRPr="0024650C">
              <w:rPr>
                <w:i/>
                <w:sz w:val="20"/>
              </w:rPr>
              <w:t>Ozone (O</w:t>
            </w:r>
            <w:r w:rsidRPr="0024650C">
              <w:rPr>
                <w:i/>
                <w:sz w:val="20"/>
                <w:vertAlign w:val="subscript"/>
              </w:rPr>
              <w:t>3</w:t>
            </w:r>
            <w:r w:rsidRPr="0024650C">
              <w:rPr>
                <w:i/>
                <w:sz w:val="20"/>
              </w:rPr>
              <w:t>)</w:t>
            </w:r>
          </w:p>
        </w:tc>
        <w:tc>
          <w:tcPr>
            <w:tcW w:w="3500" w:type="dxa"/>
          </w:tcPr>
          <w:p w14:paraId="692C0E99" w14:textId="77777777" w:rsidR="0091495E" w:rsidRPr="0024650C" w:rsidRDefault="0091495E" w:rsidP="0024650C">
            <w:pPr>
              <w:jc w:val="left"/>
              <w:rPr>
                <w:i/>
                <w:sz w:val="20"/>
              </w:rPr>
            </w:pPr>
            <w:r w:rsidRPr="0024650C">
              <w:rPr>
                <w:i/>
                <w:sz w:val="20"/>
              </w:rPr>
              <w:t>150 micrograms per cubic metre expressed as a 1-hour mean</w:t>
            </w:r>
          </w:p>
        </w:tc>
        <w:tc>
          <w:tcPr>
            <w:tcW w:w="1993" w:type="dxa"/>
            <w:tcBorders>
              <w:left w:val="nil"/>
            </w:tcBorders>
          </w:tcPr>
          <w:p w14:paraId="5A38F240" w14:textId="77777777" w:rsidR="0091495E" w:rsidRPr="0024650C" w:rsidRDefault="0091495E" w:rsidP="0024650C">
            <w:pPr>
              <w:jc w:val="left"/>
              <w:rPr>
                <w:i/>
                <w:sz w:val="20"/>
              </w:rPr>
            </w:pPr>
            <w:r w:rsidRPr="0024650C">
              <w:rPr>
                <w:i/>
                <w:sz w:val="20"/>
              </w:rPr>
              <w:t>None</w:t>
            </w:r>
          </w:p>
        </w:tc>
      </w:tr>
      <w:tr w:rsidR="0091495E" w:rsidRPr="00483605" w14:paraId="3110E9FB" w14:textId="77777777" w:rsidTr="0024650C">
        <w:tc>
          <w:tcPr>
            <w:tcW w:w="1985" w:type="dxa"/>
          </w:tcPr>
          <w:p w14:paraId="37FE2047" w14:textId="77777777" w:rsidR="0091495E" w:rsidRPr="0024650C" w:rsidRDefault="0091495E" w:rsidP="0024650C">
            <w:pPr>
              <w:jc w:val="left"/>
              <w:rPr>
                <w:i/>
                <w:sz w:val="20"/>
              </w:rPr>
            </w:pPr>
            <w:r w:rsidRPr="0024650C">
              <w:rPr>
                <w:i/>
                <w:sz w:val="20"/>
              </w:rPr>
              <w:t>PM</w:t>
            </w:r>
            <w:r w:rsidRPr="0024650C">
              <w:rPr>
                <w:i/>
                <w:sz w:val="20"/>
                <w:vertAlign w:val="subscript"/>
              </w:rPr>
              <w:t>10</w:t>
            </w:r>
          </w:p>
        </w:tc>
        <w:tc>
          <w:tcPr>
            <w:tcW w:w="3500" w:type="dxa"/>
          </w:tcPr>
          <w:p w14:paraId="2B290715" w14:textId="77777777" w:rsidR="0091495E" w:rsidRPr="0024650C" w:rsidRDefault="0091495E" w:rsidP="0024650C">
            <w:pPr>
              <w:jc w:val="left"/>
              <w:rPr>
                <w:i/>
                <w:sz w:val="20"/>
              </w:rPr>
            </w:pPr>
            <w:r w:rsidRPr="0024650C">
              <w:rPr>
                <w:i/>
                <w:sz w:val="20"/>
              </w:rPr>
              <w:t>50 micrograms per cubic metre expressed as a 24-hour mean</w:t>
            </w:r>
          </w:p>
        </w:tc>
        <w:tc>
          <w:tcPr>
            <w:tcW w:w="1993" w:type="dxa"/>
            <w:tcBorders>
              <w:left w:val="nil"/>
            </w:tcBorders>
          </w:tcPr>
          <w:p w14:paraId="60016873" w14:textId="77777777" w:rsidR="0091495E" w:rsidRPr="0024650C" w:rsidRDefault="0091495E" w:rsidP="0024650C">
            <w:pPr>
              <w:jc w:val="left"/>
              <w:rPr>
                <w:i/>
                <w:sz w:val="20"/>
              </w:rPr>
            </w:pPr>
            <w:r w:rsidRPr="0024650C">
              <w:rPr>
                <w:i/>
                <w:sz w:val="20"/>
              </w:rPr>
              <w:t>1 in a 12-month period</w:t>
            </w:r>
          </w:p>
        </w:tc>
      </w:tr>
      <w:tr w:rsidR="0091495E" w:rsidRPr="00483605" w14:paraId="10B45E52" w14:textId="77777777" w:rsidTr="0024650C">
        <w:tc>
          <w:tcPr>
            <w:tcW w:w="1985" w:type="dxa"/>
            <w:tcBorders>
              <w:bottom w:val="nil"/>
            </w:tcBorders>
          </w:tcPr>
          <w:p w14:paraId="70ED12BB" w14:textId="77777777" w:rsidR="0091495E" w:rsidRPr="0024650C" w:rsidRDefault="0091495E" w:rsidP="0024650C">
            <w:pPr>
              <w:jc w:val="left"/>
              <w:rPr>
                <w:i/>
                <w:sz w:val="20"/>
              </w:rPr>
            </w:pPr>
            <w:r w:rsidRPr="0024650C">
              <w:rPr>
                <w:i/>
                <w:sz w:val="20"/>
              </w:rPr>
              <w:t>Sulphur dioxide (SO</w:t>
            </w:r>
            <w:r w:rsidRPr="0024650C">
              <w:rPr>
                <w:i/>
                <w:sz w:val="20"/>
                <w:vertAlign w:val="subscript"/>
              </w:rPr>
              <w:t>2</w:t>
            </w:r>
            <w:r w:rsidRPr="0024650C">
              <w:rPr>
                <w:i/>
                <w:sz w:val="20"/>
              </w:rPr>
              <w:t>)</w:t>
            </w:r>
          </w:p>
        </w:tc>
        <w:tc>
          <w:tcPr>
            <w:tcW w:w="3500" w:type="dxa"/>
            <w:tcBorders>
              <w:bottom w:val="nil"/>
            </w:tcBorders>
          </w:tcPr>
          <w:p w14:paraId="51F473E3" w14:textId="77777777" w:rsidR="0091495E" w:rsidRPr="0024650C" w:rsidRDefault="0091495E" w:rsidP="0024650C">
            <w:pPr>
              <w:jc w:val="left"/>
              <w:rPr>
                <w:i/>
                <w:sz w:val="20"/>
              </w:rPr>
            </w:pPr>
            <w:r w:rsidRPr="0024650C">
              <w:rPr>
                <w:i/>
                <w:sz w:val="20"/>
              </w:rPr>
              <w:t>350 micrograms per cubic metre expressed as a 1-hour mean</w:t>
            </w:r>
          </w:p>
        </w:tc>
        <w:tc>
          <w:tcPr>
            <w:tcW w:w="1993" w:type="dxa"/>
            <w:tcBorders>
              <w:left w:val="nil"/>
              <w:bottom w:val="nil"/>
            </w:tcBorders>
          </w:tcPr>
          <w:p w14:paraId="2A0EB14B" w14:textId="77777777" w:rsidR="0091495E" w:rsidRPr="0024650C" w:rsidRDefault="0091495E" w:rsidP="0024650C">
            <w:pPr>
              <w:jc w:val="left"/>
              <w:rPr>
                <w:i/>
                <w:sz w:val="20"/>
              </w:rPr>
            </w:pPr>
            <w:r w:rsidRPr="0024650C">
              <w:rPr>
                <w:i/>
                <w:sz w:val="20"/>
              </w:rPr>
              <w:t>9 in a 12-month period</w:t>
            </w:r>
          </w:p>
        </w:tc>
      </w:tr>
      <w:tr w:rsidR="0091495E" w:rsidRPr="00483605" w14:paraId="773E173E" w14:textId="77777777" w:rsidTr="0024650C">
        <w:tc>
          <w:tcPr>
            <w:tcW w:w="1985" w:type="dxa"/>
            <w:tcBorders>
              <w:top w:val="nil"/>
            </w:tcBorders>
          </w:tcPr>
          <w:p w14:paraId="72931B9F" w14:textId="77777777" w:rsidR="0091495E" w:rsidRPr="0024650C" w:rsidRDefault="0091495E" w:rsidP="0024650C">
            <w:pPr>
              <w:jc w:val="left"/>
              <w:rPr>
                <w:i/>
                <w:sz w:val="20"/>
              </w:rPr>
            </w:pPr>
          </w:p>
        </w:tc>
        <w:tc>
          <w:tcPr>
            <w:tcW w:w="3500" w:type="dxa"/>
            <w:tcBorders>
              <w:top w:val="nil"/>
            </w:tcBorders>
          </w:tcPr>
          <w:p w14:paraId="10978692" w14:textId="77777777" w:rsidR="0091495E" w:rsidRPr="0024650C" w:rsidRDefault="0091495E" w:rsidP="0024650C">
            <w:pPr>
              <w:jc w:val="left"/>
              <w:rPr>
                <w:i/>
                <w:sz w:val="20"/>
              </w:rPr>
            </w:pPr>
            <w:r w:rsidRPr="0024650C">
              <w:rPr>
                <w:i/>
                <w:sz w:val="20"/>
              </w:rPr>
              <w:t>570 micrograms per cubic metre expressed as a 1-hour mean</w:t>
            </w:r>
          </w:p>
        </w:tc>
        <w:tc>
          <w:tcPr>
            <w:tcW w:w="1993" w:type="dxa"/>
            <w:tcBorders>
              <w:top w:val="nil"/>
              <w:left w:val="nil"/>
            </w:tcBorders>
          </w:tcPr>
          <w:p w14:paraId="2012406B" w14:textId="77777777" w:rsidR="0091495E" w:rsidRPr="0024650C" w:rsidRDefault="0091495E" w:rsidP="0024650C">
            <w:pPr>
              <w:jc w:val="left"/>
              <w:rPr>
                <w:i/>
                <w:sz w:val="20"/>
              </w:rPr>
            </w:pPr>
            <w:r w:rsidRPr="0024650C">
              <w:rPr>
                <w:i/>
                <w:sz w:val="20"/>
              </w:rPr>
              <w:t>None</w:t>
            </w:r>
          </w:p>
        </w:tc>
      </w:tr>
    </w:tbl>
    <w:p w14:paraId="240EA594" w14:textId="77777777" w:rsidR="00324A39" w:rsidRDefault="00324A39" w:rsidP="00324A39"/>
    <w:p w14:paraId="60F2E293" w14:textId="77777777" w:rsidR="00D75457" w:rsidRDefault="00D75457" w:rsidP="00D75457">
      <w:r w:rsidRPr="001F25C4">
        <w:t>Schedule 1 of the Regulation sets out ambient air quality concentration limits for the following pollutants:</w:t>
      </w:r>
    </w:p>
    <w:p w14:paraId="60EB0A00" w14:textId="77777777" w:rsidR="00D75457" w:rsidRPr="006D5585" w:rsidRDefault="00D75457" w:rsidP="00152DF6">
      <w:pPr>
        <w:pStyle w:val="Bullet"/>
        <w:numPr>
          <w:ilvl w:val="0"/>
          <w:numId w:val="9"/>
        </w:numPr>
      </w:pPr>
      <w:r w:rsidRPr="006D5585">
        <w:t>carbon monoxide (CO)</w:t>
      </w:r>
    </w:p>
    <w:p w14:paraId="33EB91B8" w14:textId="77777777" w:rsidR="00D75457" w:rsidRPr="006D5585" w:rsidRDefault="00D75457" w:rsidP="00152DF6">
      <w:pPr>
        <w:pStyle w:val="Bullet"/>
        <w:numPr>
          <w:ilvl w:val="0"/>
          <w:numId w:val="9"/>
        </w:numPr>
      </w:pPr>
      <w:r w:rsidRPr="006D5585">
        <w:t>nitrogen dioxide (NO</w:t>
      </w:r>
      <w:r w:rsidRPr="009804F0">
        <w:rPr>
          <w:vertAlign w:val="subscript"/>
        </w:rPr>
        <w:t>2</w:t>
      </w:r>
      <w:r w:rsidRPr="006D5585">
        <w:t>)</w:t>
      </w:r>
    </w:p>
    <w:p w14:paraId="6F421303" w14:textId="77777777" w:rsidR="00D75457" w:rsidRPr="006D5585" w:rsidRDefault="00D75457" w:rsidP="00152DF6">
      <w:pPr>
        <w:pStyle w:val="Bullet"/>
        <w:numPr>
          <w:ilvl w:val="0"/>
          <w:numId w:val="9"/>
        </w:numPr>
      </w:pPr>
      <w:r w:rsidRPr="006D5585">
        <w:t>ozone (O</w:t>
      </w:r>
      <w:r w:rsidRPr="009804F0">
        <w:rPr>
          <w:vertAlign w:val="subscript"/>
        </w:rPr>
        <w:t>3</w:t>
      </w:r>
      <w:r w:rsidRPr="006D5585">
        <w:t>)</w:t>
      </w:r>
    </w:p>
    <w:p w14:paraId="54E04BC1" w14:textId="77777777" w:rsidR="00D75457" w:rsidRPr="006D5585" w:rsidRDefault="00D75457" w:rsidP="00152DF6">
      <w:pPr>
        <w:pStyle w:val="Bullet"/>
        <w:numPr>
          <w:ilvl w:val="0"/>
          <w:numId w:val="9"/>
        </w:numPr>
      </w:pPr>
      <w:r w:rsidRPr="006D5585">
        <w:t xml:space="preserve">particulate matter that is less than 10 </w:t>
      </w:r>
      <w:r w:rsidR="00432F87">
        <w:t>micrometres</w:t>
      </w:r>
      <w:r w:rsidRPr="006D5585">
        <w:t xml:space="preserve"> in diameter (PM</w:t>
      </w:r>
      <w:r w:rsidRPr="009804F0">
        <w:rPr>
          <w:vertAlign w:val="subscript"/>
        </w:rPr>
        <w:t>10</w:t>
      </w:r>
      <w:r w:rsidRPr="006D5585">
        <w:t>)</w:t>
      </w:r>
      <w:r w:rsidR="00CD25D8">
        <w:t>,</w:t>
      </w:r>
      <w:r w:rsidRPr="006D5585">
        <w:t xml:space="preserve"> discussed in </w:t>
      </w:r>
      <w:r w:rsidR="00074CA6">
        <w:br/>
      </w:r>
      <w:r w:rsidRPr="006D5585">
        <w:t>Chapter 4</w:t>
      </w:r>
    </w:p>
    <w:p w14:paraId="3BC71A15" w14:textId="77777777" w:rsidR="00D75457" w:rsidRPr="006D5585" w:rsidRDefault="00D75457" w:rsidP="00152DF6">
      <w:pPr>
        <w:pStyle w:val="Bullet"/>
        <w:numPr>
          <w:ilvl w:val="0"/>
          <w:numId w:val="9"/>
        </w:numPr>
      </w:pPr>
      <w:r w:rsidRPr="006D5585">
        <w:t>sulphur dioxide (SO</w:t>
      </w:r>
      <w:r w:rsidRPr="009804F0">
        <w:rPr>
          <w:vertAlign w:val="subscript"/>
        </w:rPr>
        <w:t>2</w:t>
      </w:r>
      <w:r w:rsidRPr="006D5585">
        <w:t>).</w:t>
      </w:r>
    </w:p>
    <w:p w14:paraId="604071D7" w14:textId="77777777" w:rsidR="00D75457" w:rsidRDefault="00D75457" w:rsidP="00D75457"/>
    <w:p w14:paraId="235C399F" w14:textId="77777777" w:rsidR="00D75457" w:rsidRPr="001F25C4" w:rsidRDefault="00D75457" w:rsidP="00D75457">
      <w:r>
        <w:t xml:space="preserve">As detailed in </w:t>
      </w:r>
      <w:r w:rsidR="00256D82">
        <w:t xml:space="preserve">Regulation </w:t>
      </w:r>
      <w:r>
        <w:t>13</w:t>
      </w:r>
      <w:r w:rsidR="00B83A4C">
        <w:t>,</w:t>
      </w:r>
      <w:r>
        <w:t xml:space="preserve"> t</w:t>
      </w:r>
      <w:r w:rsidRPr="001F25C4">
        <w:t>he ambient air quality standards comprise these concentrations specified for a particular time average with a specified number of permissible exceedances each year</w:t>
      </w:r>
      <w:r>
        <w:t xml:space="preserve">. </w:t>
      </w:r>
      <w:r w:rsidR="00B83A4C">
        <w:t>T</w:t>
      </w:r>
      <w:r w:rsidRPr="004649E6">
        <w:t>able</w:t>
      </w:r>
      <w:r w:rsidR="00B83A4C">
        <w:t xml:space="preserve"> </w:t>
      </w:r>
      <w:r w:rsidR="009804F0" w:rsidRPr="00B83A4C">
        <w:t>3</w:t>
      </w:r>
      <w:r>
        <w:t xml:space="preserve"> </w:t>
      </w:r>
      <w:r w:rsidR="00B83A4C">
        <w:t>summarises the ambient air quality standards that apply</w:t>
      </w:r>
      <w:r w:rsidRPr="001F25C4">
        <w:t>.</w:t>
      </w:r>
    </w:p>
    <w:p w14:paraId="241B4D8C" w14:textId="77777777" w:rsidR="00D75457" w:rsidRDefault="00D75457" w:rsidP="00D75457"/>
    <w:p w14:paraId="467AC3F5" w14:textId="77777777" w:rsidR="00D75457" w:rsidRDefault="00D75457" w:rsidP="00407749">
      <w:pPr>
        <w:pStyle w:val="Tableheading"/>
      </w:pPr>
      <w:bookmarkStart w:id="33" w:name="_Toc222291436"/>
      <w:bookmarkStart w:id="34" w:name="_Toc222291585"/>
      <w:bookmarkStart w:id="35" w:name="_Toc222291844"/>
      <w:bookmarkStart w:id="36" w:name="_Toc222291997"/>
      <w:bookmarkStart w:id="37" w:name="_Toc222292278"/>
      <w:bookmarkStart w:id="38" w:name="_Toc222301581"/>
      <w:bookmarkStart w:id="39" w:name="_Toc377645809"/>
      <w:r>
        <w:t xml:space="preserve">Table </w:t>
      </w:r>
      <w:r w:rsidR="009804F0" w:rsidRPr="00B83A4C">
        <w:t>3</w:t>
      </w:r>
      <w:r>
        <w:t>:</w:t>
      </w:r>
      <w:r>
        <w:tab/>
        <w:t>Ambient air quality standards from 1 September 2005</w:t>
      </w:r>
      <w:bookmarkEnd w:id="33"/>
      <w:bookmarkEnd w:id="34"/>
      <w:bookmarkEnd w:id="35"/>
      <w:bookmarkEnd w:id="36"/>
      <w:bookmarkEnd w:id="37"/>
      <w:bookmarkEnd w:id="38"/>
      <w:bookmarkEnd w:id="39"/>
    </w:p>
    <w:tbl>
      <w:tblPr>
        <w:tblW w:w="0" w:type="auto"/>
        <w:tblInd w:w="108" w:type="dxa"/>
        <w:tblBorders>
          <w:top w:val="single" w:sz="8" w:space="0" w:color="auto"/>
          <w:bottom w:val="single" w:sz="8" w:space="0" w:color="auto"/>
        </w:tblBorders>
        <w:tblLayout w:type="fixed"/>
        <w:tblLook w:val="01E0" w:firstRow="1" w:lastRow="1" w:firstColumn="1" w:lastColumn="1" w:noHBand="0" w:noVBand="0"/>
      </w:tblPr>
      <w:tblGrid>
        <w:gridCol w:w="2268"/>
        <w:gridCol w:w="1560"/>
        <w:gridCol w:w="1984"/>
        <w:gridCol w:w="2693"/>
      </w:tblGrid>
      <w:tr w:rsidR="00D75457" w:rsidRPr="00182FF8" w14:paraId="59B44AD9" w14:textId="77777777">
        <w:trPr>
          <w:cantSplit/>
        </w:trPr>
        <w:tc>
          <w:tcPr>
            <w:tcW w:w="2268" w:type="dxa"/>
            <w:tcBorders>
              <w:top w:val="single" w:sz="8" w:space="0" w:color="auto"/>
              <w:bottom w:val="single" w:sz="8" w:space="0" w:color="auto"/>
            </w:tcBorders>
          </w:tcPr>
          <w:p w14:paraId="6EBC6E82" w14:textId="77777777" w:rsidR="00D75457" w:rsidRPr="00182FF8" w:rsidRDefault="00D75457" w:rsidP="004D199C">
            <w:pPr>
              <w:pStyle w:val="TableText"/>
              <w:jc w:val="center"/>
              <w:rPr>
                <w:b/>
              </w:rPr>
            </w:pPr>
            <w:r w:rsidRPr="00182FF8">
              <w:rPr>
                <w:b/>
              </w:rPr>
              <w:t>Pollutant</w:t>
            </w:r>
          </w:p>
        </w:tc>
        <w:tc>
          <w:tcPr>
            <w:tcW w:w="1560" w:type="dxa"/>
            <w:tcBorders>
              <w:top w:val="single" w:sz="8" w:space="0" w:color="auto"/>
              <w:bottom w:val="single" w:sz="8" w:space="0" w:color="auto"/>
            </w:tcBorders>
          </w:tcPr>
          <w:p w14:paraId="4DE86FA1" w14:textId="77777777" w:rsidR="00D75457" w:rsidRPr="00182FF8" w:rsidRDefault="00B83A4C" w:rsidP="004D199C">
            <w:pPr>
              <w:pStyle w:val="TableText"/>
              <w:jc w:val="center"/>
              <w:rPr>
                <w:b/>
              </w:rPr>
            </w:pPr>
            <w:r>
              <w:rPr>
                <w:b/>
              </w:rPr>
              <w:t>Threshold concentration</w:t>
            </w:r>
          </w:p>
        </w:tc>
        <w:tc>
          <w:tcPr>
            <w:tcW w:w="1984" w:type="dxa"/>
            <w:tcBorders>
              <w:top w:val="single" w:sz="8" w:space="0" w:color="auto"/>
              <w:bottom w:val="single" w:sz="8" w:space="0" w:color="auto"/>
            </w:tcBorders>
          </w:tcPr>
          <w:p w14:paraId="690F5DCF" w14:textId="77777777" w:rsidR="00D75457" w:rsidRPr="00182FF8" w:rsidRDefault="00D75457" w:rsidP="004D199C">
            <w:pPr>
              <w:pStyle w:val="TableText"/>
              <w:jc w:val="center"/>
              <w:rPr>
                <w:b/>
              </w:rPr>
            </w:pPr>
            <w:r w:rsidRPr="00182FF8">
              <w:rPr>
                <w:b/>
              </w:rPr>
              <w:t>Time average</w:t>
            </w:r>
          </w:p>
        </w:tc>
        <w:tc>
          <w:tcPr>
            <w:tcW w:w="2693" w:type="dxa"/>
            <w:tcBorders>
              <w:top w:val="single" w:sz="8" w:space="0" w:color="auto"/>
              <w:bottom w:val="single" w:sz="8" w:space="0" w:color="auto"/>
            </w:tcBorders>
          </w:tcPr>
          <w:p w14:paraId="0D8EC4BD" w14:textId="77777777" w:rsidR="00AF5170" w:rsidRDefault="00D75457" w:rsidP="00AF5170">
            <w:pPr>
              <w:pStyle w:val="TableText"/>
              <w:jc w:val="center"/>
              <w:rPr>
                <w:b/>
              </w:rPr>
            </w:pPr>
            <w:r w:rsidRPr="00182FF8">
              <w:rPr>
                <w:b/>
              </w:rPr>
              <w:t>Allowable exceed</w:t>
            </w:r>
            <w:r>
              <w:rPr>
                <w:b/>
              </w:rPr>
              <w:t>a</w:t>
            </w:r>
            <w:r w:rsidRPr="00182FF8">
              <w:rPr>
                <w:b/>
              </w:rPr>
              <w:t xml:space="preserve">nces </w:t>
            </w:r>
            <w:r w:rsidR="00AF5170">
              <w:rPr>
                <w:b/>
              </w:rPr>
              <w:t xml:space="preserve">in </w:t>
            </w:r>
          </w:p>
          <w:p w14:paraId="391E47C6" w14:textId="77777777" w:rsidR="00D75457" w:rsidRPr="00182FF8" w:rsidRDefault="00AF5170" w:rsidP="00AF5170">
            <w:pPr>
              <w:pStyle w:val="TableText"/>
              <w:jc w:val="center"/>
              <w:rPr>
                <w:b/>
              </w:rPr>
            </w:pPr>
            <w:r>
              <w:rPr>
                <w:b/>
              </w:rPr>
              <w:t>12-month period</w:t>
            </w:r>
          </w:p>
        </w:tc>
      </w:tr>
      <w:tr w:rsidR="00D75457" w14:paraId="4482756D" w14:textId="77777777">
        <w:trPr>
          <w:cantSplit/>
        </w:trPr>
        <w:tc>
          <w:tcPr>
            <w:tcW w:w="2268" w:type="dxa"/>
            <w:tcBorders>
              <w:top w:val="single" w:sz="8" w:space="0" w:color="auto"/>
            </w:tcBorders>
          </w:tcPr>
          <w:p w14:paraId="74A85174" w14:textId="77777777" w:rsidR="00D75457" w:rsidRDefault="00D75457" w:rsidP="004D199C">
            <w:pPr>
              <w:pStyle w:val="TableText"/>
            </w:pPr>
            <w:r>
              <w:t>Carbon monoxide (CO)</w:t>
            </w:r>
          </w:p>
        </w:tc>
        <w:tc>
          <w:tcPr>
            <w:tcW w:w="1560" w:type="dxa"/>
            <w:tcBorders>
              <w:top w:val="single" w:sz="8" w:space="0" w:color="auto"/>
            </w:tcBorders>
          </w:tcPr>
          <w:p w14:paraId="7849BB2F" w14:textId="77777777" w:rsidR="00D75457" w:rsidRDefault="00D75457" w:rsidP="00E20DB5">
            <w:pPr>
              <w:pStyle w:val="TableText"/>
              <w:tabs>
                <w:tab w:val="decimal" w:pos="582"/>
              </w:tabs>
            </w:pPr>
            <w:r>
              <w:t>10 m</w:t>
            </w:r>
            <w:r w:rsidR="00E20DB5">
              <w:t>g.m</w:t>
            </w:r>
            <w:r w:rsidR="00E20DB5" w:rsidRPr="00E20DB5">
              <w:rPr>
                <w:vertAlign w:val="superscript"/>
              </w:rPr>
              <w:t>-</w:t>
            </w:r>
            <w:r w:rsidR="00E20DB5">
              <w:t>³</w:t>
            </w:r>
          </w:p>
        </w:tc>
        <w:tc>
          <w:tcPr>
            <w:tcW w:w="1984" w:type="dxa"/>
            <w:tcBorders>
              <w:top w:val="single" w:sz="8" w:space="0" w:color="auto"/>
            </w:tcBorders>
          </w:tcPr>
          <w:p w14:paraId="3F9EF794" w14:textId="77777777" w:rsidR="00D75457" w:rsidRDefault="00D75457" w:rsidP="004D199C">
            <w:pPr>
              <w:pStyle w:val="TableText"/>
              <w:tabs>
                <w:tab w:val="decimal" w:pos="659"/>
              </w:tabs>
            </w:pPr>
            <w:r>
              <w:t>8-hours (running mean)</w:t>
            </w:r>
          </w:p>
        </w:tc>
        <w:tc>
          <w:tcPr>
            <w:tcW w:w="2693" w:type="dxa"/>
            <w:tcBorders>
              <w:top w:val="single" w:sz="8" w:space="0" w:color="auto"/>
            </w:tcBorders>
          </w:tcPr>
          <w:p w14:paraId="508CCC32" w14:textId="77777777" w:rsidR="00D75457" w:rsidRDefault="00D75457" w:rsidP="004D199C">
            <w:pPr>
              <w:pStyle w:val="TableText"/>
              <w:jc w:val="center"/>
            </w:pPr>
            <w:r>
              <w:t>1</w:t>
            </w:r>
          </w:p>
        </w:tc>
      </w:tr>
      <w:tr w:rsidR="00D75457" w14:paraId="10970D4E" w14:textId="77777777">
        <w:trPr>
          <w:cantSplit/>
        </w:trPr>
        <w:tc>
          <w:tcPr>
            <w:tcW w:w="2268" w:type="dxa"/>
          </w:tcPr>
          <w:p w14:paraId="5BDFB994" w14:textId="77777777" w:rsidR="00D75457" w:rsidRDefault="00D75457" w:rsidP="004D199C">
            <w:pPr>
              <w:pStyle w:val="TableText"/>
            </w:pPr>
            <w:r>
              <w:t>Nitrogen dioxide (NO</w:t>
            </w:r>
            <w:r>
              <w:rPr>
                <w:vertAlign w:val="subscript"/>
              </w:rPr>
              <w:t>2</w:t>
            </w:r>
            <w:r>
              <w:t>)</w:t>
            </w:r>
          </w:p>
        </w:tc>
        <w:tc>
          <w:tcPr>
            <w:tcW w:w="1560" w:type="dxa"/>
          </w:tcPr>
          <w:p w14:paraId="30DF3A95" w14:textId="77777777" w:rsidR="00D75457" w:rsidRDefault="00E20DB5" w:rsidP="004D199C">
            <w:pPr>
              <w:pStyle w:val="TableText"/>
              <w:tabs>
                <w:tab w:val="decimal" w:pos="582"/>
              </w:tabs>
            </w:pPr>
            <w:r>
              <w:t>200 µg.</w:t>
            </w:r>
            <w:r w:rsidR="00D75457">
              <w:t>m</w:t>
            </w:r>
            <w:r w:rsidRPr="00E20DB5">
              <w:rPr>
                <w:vertAlign w:val="superscript"/>
              </w:rPr>
              <w:t>-</w:t>
            </w:r>
            <w:r w:rsidR="00D75457">
              <w:t>³</w:t>
            </w:r>
          </w:p>
        </w:tc>
        <w:tc>
          <w:tcPr>
            <w:tcW w:w="1984" w:type="dxa"/>
          </w:tcPr>
          <w:p w14:paraId="7ED73B78" w14:textId="77777777" w:rsidR="00D75457" w:rsidRDefault="00D75457" w:rsidP="004D199C">
            <w:pPr>
              <w:pStyle w:val="TableText"/>
              <w:tabs>
                <w:tab w:val="decimal" w:pos="659"/>
              </w:tabs>
            </w:pPr>
            <w:r>
              <w:t>1-hour</w:t>
            </w:r>
          </w:p>
        </w:tc>
        <w:tc>
          <w:tcPr>
            <w:tcW w:w="2693" w:type="dxa"/>
          </w:tcPr>
          <w:p w14:paraId="22116687" w14:textId="77777777" w:rsidR="00D75457" w:rsidRDefault="00D75457" w:rsidP="004D199C">
            <w:pPr>
              <w:pStyle w:val="TableText"/>
              <w:jc w:val="center"/>
            </w:pPr>
            <w:r>
              <w:t>9</w:t>
            </w:r>
          </w:p>
        </w:tc>
      </w:tr>
      <w:tr w:rsidR="00E20DB5" w14:paraId="5B75F32D" w14:textId="77777777">
        <w:trPr>
          <w:cantSplit/>
        </w:trPr>
        <w:tc>
          <w:tcPr>
            <w:tcW w:w="2268" w:type="dxa"/>
          </w:tcPr>
          <w:p w14:paraId="0DE62F06" w14:textId="77777777" w:rsidR="00E20DB5" w:rsidRDefault="00E20DB5" w:rsidP="004D199C">
            <w:pPr>
              <w:pStyle w:val="TableText"/>
            </w:pPr>
            <w:r>
              <w:t>PM</w:t>
            </w:r>
            <w:r w:rsidRPr="00E20DB5">
              <w:rPr>
                <w:vertAlign w:val="subscript"/>
              </w:rPr>
              <w:t>10</w:t>
            </w:r>
          </w:p>
        </w:tc>
        <w:tc>
          <w:tcPr>
            <w:tcW w:w="1560" w:type="dxa"/>
          </w:tcPr>
          <w:p w14:paraId="52A6A9CF" w14:textId="77777777" w:rsidR="00E20DB5" w:rsidRDefault="00E20DB5" w:rsidP="004D199C">
            <w:pPr>
              <w:pStyle w:val="TableText"/>
              <w:tabs>
                <w:tab w:val="decimal" w:pos="582"/>
              </w:tabs>
            </w:pPr>
            <w:r>
              <w:t>50 µg.m</w:t>
            </w:r>
            <w:r w:rsidRPr="00E20DB5">
              <w:rPr>
                <w:vertAlign w:val="superscript"/>
              </w:rPr>
              <w:t>-</w:t>
            </w:r>
            <w:r>
              <w:t>³</w:t>
            </w:r>
          </w:p>
        </w:tc>
        <w:tc>
          <w:tcPr>
            <w:tcW w:w="1984" w:type="dxa"/>
          </w:tcPr>
          <w:p w14:paraId="5ECD3F9E" w14:textId="77777777" w:rsidR="00E20DB5" w:rsidRDefault="00E20DB5" w:rsidP="004D199C">
            <w:pPr>
              <w:pStyle w:val="TableText"/>
              <w:tabs>
                <w:tab w:val="decimal" w:pos="659"/>
              </w:tabs>
            </w:pPr>
            <w:r>
              <w:t>24-hours</w:t>
            </w:r>
          </w:p>
        </w:tc>
        <w:tc>
          <w:tcPr>
            <w:tcW w:w="2693" w:type="dxa"/>
          </w:tcPr>
          <w:p w14:paraId="030E6CF0" w14:textId="77777777" w:rsidR="00E20DB5" w:rsidRDefault="00E20DB5" w:rsidP="004D199C">
            <w:pPr>
              <w:pStyle w:val="TableText"/>
              <w:jc w:val="center"/>
            </w:pPr>
            <w:r>
              <w:t>1</w:t>
            </w:r>
          </w:p>
        </w:tc>
      </w:tr>
      <w:tr w:rsidR="00D75457" w14:paraId="3FAD2C16" w14:textId="77777777">
        <w:trPr>
          <w:cantSplit/>
        </w:trPr>
        <w:tc>
          <w:tcPr>
            <w:tcW w:w="2268" w:type="dxa"/>
          </w:tcPr>
          <w:p w14:paraId="56FEE3D5" w14:textId="77777777" w:rsidR="00D75457" w:rsidRDefault="00D75457" w:rsidP="004D199C">
            <w:pPr>
              <w:pStyle w:val="TableText"/>
            </w:pPr>
            <w:r>
              <w:t>Ozone (O</w:t>
            </w:r>
            <w:r>
              <w:rPr>
                <w:vertAlign w:val="subscript"/>
              </w:rPr>
              <w:t>3</w:t>
            </w:r>
            <w:r>
              <w:t>)</w:t>
            </w:r>
          </w:p>
        </w:tc>
        <w:tc>
          <w:tcPr>
            <w:tcW w:w="1560" w:type="dxa"/>
          </w:tcPr>
          <w:p w14:paraId="0B775519" w14:textId="77777777" w:rsidR="00D75457" w:rsidRDefault="00D75457" w:rsidP="004D199C">
            <w:pPr>
              <w:pStyle w:val="TableText"/>
              <w:tabs>
                <w:tab w:val="decimal" w:pos="582"/>
              </w:tabs>
            </w:pPr>
            <w:r>
              <w:t xml:space="preserve">150 </w:t>
            </w:r>
            <w:r w:rsidR="00E20DB5">
              <w:t>µg.m</w:t>
            </w:r>
            <w:r w:rsidR="00E20DB5" w:rsidRPr="00E20DB5">
              <w:rPr>
                <w:vertAlign w:val="superscript"/>
              </w:rPr>
              <w:t>-</w:t>
            </w:r>
            <w:r w:rsidR="00E20DB5">
              <w:t>³</w:t>
            </w:r>
          </w:p>
        </w:tc>
        <w:tc>
          <w:tcPr>
            <w:tcW w:w="1984" w:type="dxa"/>
          </w:tcPr>
          <w:p w14:paraId="7C085713" w14:textId="77777777" w:rsidR="00D75457" w:rsidRDefault="00D75457" w:rsidP="004D199C">
            <w:pPr>
              <w:pStyle w:val="TableText"/>
              <w:tabs>
                <w:tab w:val="decimal" w:pos="659"/>
              </w:tabs>
            </w:pPr>
            <w:r>
              <w:t>1-hour</w:t>
            </w:r>
          </w:p>
        </w:tc>
        <w:tc>
          <w:tcPr>
            <w:tcW w:w="2693" w:type="dxa"/>
          </w:tcPr>
          <w:p w14:paraId="6701808A" w14:textId="77777777" w:rsidR="00D75457" w:rsidRDefault="00D75457" w:rsidP="004D199C">
            <w:pPr>
              <w:pStyle w:val="TableText"/>
              <w:jc w:val="center"/>
            </w:pPr>
            <w:r>
              <w:t>0</w:t>
            </w:r>
          </w:p>
        </w:tc>
      </w:tr>
      <w:tr w:rsidR="00D75457" w14:paraId="45759552" w14:textId="77777777">
        <w:trPr>
          <w:cantSplit/>
        </w:trPr>
        <w:tc>
          <w:tcPr>
            <w:tcW w:w="2268" w:type="dxa"/>
          </w:tcPr>
          <w:p w14:paraId="71812ECB" w14:textId="77777777" w:rsidR="00D75457" w:rsidRDefault="00D75457" w:rsidP="004D199C">
            <w:pPr>
              <w:pStyle w:val="TableText"/>
            </w:pPr>
            <w:r>
              <w:t>Sulphur dioxide (SO</w:t>
            </w:r>
            <w:r>
              <w:rPr>
                <w:vertAlign w:val="subscript"/>
              </w:rPr>
              <w:t>2</w:t>
            </w:r>
            <w:r>
              <w:t>)</w:t>
            </w:r>
          </w:p>
        </w:tc>
        <w:tc>
          <w:tcPr>
            <w:tcW w:w="1560" w:type="dxa"/>
          </w:tcPr>
          <w:p w14:paraId="03ED03AE" w14:textId="77777777" w:rsidR="00D75457" w:rsidRDefault="00D75457" w:rsidP="004D199C">
            <w:pPr>
              <w:pStyle w:val="TableText"/>
              <w:tabs>
                <w:tab w:val="decimal" w:pos="582"/>
              </w:tabs>
            </w:pPr>
            <w:r>
              <w:t xml:space="preserve">350 </w:t>
            </w:r>
            <w:r w:rsidR="00E20DB5">
              <w:t>µg.m</w:t>
            </w:r>
            <w:r w:rsidR="00E20DB5" w:rsidRPr="00E20DB5">
              <w:rPr>
                <w:vertAlign w:val="superscript"/>
              </w:rPr>
              <w:t>-</w:t>
            </w:r>
            <w:r w:rsidR="00E20DB5">
              <w:t>³</w:t>
            </w:r>
            <w:r>
              <w:br/>
              <w:t xml:space="preserve">570 </w:t>
            </w:r>
            <w:r w:rsidR="00E20DB5">
              <w:t>µg.m</w:t>
            </w:r>
            <w:r w:rsidR="00E20DB5" w:rsidRPr="00E20DB5">
              <w:rPr>
                <w:vertAlign w:val="superscript"/>
              </w:rPr>
              <w:t>-</w:t>
            </w:r>
            <w:r w:rsidR="00E20DB5">
              <w:t>³</w:t>
            </w:r>
          </w:p>
        </w:tc>
        <w:tc>
          <w:tcPr>
            <w:tcW w:w="1984" w:type="dxa"/>
          </w:tcPr>
          <w:p w14:paraId="36B2ED46" w14:textId="77777777" w:rsidR="00D75457" w:rsidRDefault="00D75457" w:rsidP="004D199C">
            <w:pPr>
              <w:pStyle w:val="TableText"/>
              <w:tabs>
                <w:tab w:val="decimal" w:pos="659"/>
              </w:tabs>
            </w:pPr>
            <w:r>
              <w:t>1-hour</w:t>
            </w:r>
            <w:r>
              <w:br/>
              <w:t>1-hour</w:t>
            </w:r>
          </w:p>
        </w:tc>
        <w:tc>
          <w:tcPr>
            <w:tcW w:w="2693" w:type="dxa"/>
          </w:tcPr>
          <w:p w14:paraId="09455FB7" w14:textId="77777777" w:rsidR="00D75457" w:rsidRDefault="00D75457" w:rsidP="004D199C">
            <w:pPr>
              <w:pStyle w:val="TableText"/>
              <w:jc w:val="center"/>
            </w:pPr>
            <w:r>
              <w:t>9</w:t>
            </w:r>
            <w:r>
              <w:br/>
              <w:t>0</w:t>
            </w:r>
          </w:p>
        </w:tc>
      </w:tr>
    </w:tbl>
    <w:p w14:paraId="4AEE3A36" w14:textId="77777777" w:rsidR="00D75457" w:rsidRDefault="00D75457" w:rsidP="00D75457"/>
    <w:p w14:paraId="303C1823" w14:textId="77777777" w:rsidR="00D75457" w:rsidRPr="001F25C4" w:rsidRDefault="00D75457" w:rsidP="00D75457">
      <w:r w:rsidRPr="001F25C4">
        <w:t xml:space="preserve">The </w:t>
      </w:r>
      <w:r w:rsidR="00671120">
        <w:t xml:space="preserve">Regulations </w:t>
      </w:r>
      <w:r>
        <w:t>summarised i</w:t>
      </w:r>
      <w:r w:rsidRPr="001F25C4">
        <w:t xml:space="preserve">n </w:t>
      </w:r>
      <w:r w:rsidR="000D4355">
        <w:t>t</w:t>
      </w:r>
      <w:r w:rsidRPr="004649E6">
        <w:t xml:space="preserve">able </w:t>
      </w:r>
      <w:r w:rsidR="009804F0" w:rsidRPr="00B83A4C">
        <w:t>3</w:t>
      </w:r>
      <w:r w:rsidRPr="001F25C4">
        <w:t xml:space="preserve"> </w:t>
      </w:r>
      <w:r>
        <w:t>specify</w:t>
      </w:r>
      <w:r w:rsidRPr="001F25C4">
        <w:t xml:space="preserve"> the following:</w:t>
      </w:r>
    </w:p>
    <w:p w14:paraId="0C76CD7C" w14:textId="77777777" w:rsidR="00D75457" w:rsidRPr="001F25C4" w:rsidRDefault="00D75457" w:rsidP="00152DF6">
      <w:pPr>
        <w:pStyle w:val="Bullet"/>
        <w:numPr>
          <w:ilvl w:val="0"/>
          <w:numId w:val="9"/>
        </w:numPr>
      </w:pPr>
      <w:r>
        <w:t>a</w:t>
      </w:r>
      <w:r w:rsidRPr="001F25C4">
        <w:t>n ambient air quality concentration of 10 mg</w:t>
      </w:r>
      <w:r w:rsidR="009804F0">
        <w:t>.</w:t>
      </w:r>
      <w:r w:rsidRPr="001F25C4">
        <w:t>m</w:t>
      </w:r>
      <w:r w:rsidR="009804F0" w:rsidRPr="009804F0">
        <w:rPr>
          <w:vertAlign w:val="superscript"/>
        </w:rPr>
        <w:t>-</w:t>
      </w:r>
      <w:r w:rsidRPr="009804F0">
        <w:rPr>
          <w:vertAlign w:val="superscript"/>
        </w:rPr>
        <w:t>3</w:t>
      </w:r>
      <w:r w:rsidRPr="001F25C4">
        <w:t xml:space="preserve"> (eight hour average) for</w:t>
      </w:r>
      <w:r w:rsidRPr="00D144F0">
        <w:t xml:space="preserve"> carbon monoxide (CO)</w:t>
      </w:r>
      <w:r>
        <w:t xml:space="preserve"> to</w:t>
      </w:r>
      <w:r w:rsidRPr="001F25C4">
        <w:t xml:space="preserve"> be met for all but one</w:t>
      </w:r>
      <w:r w:rsidR="00EB6BC8">
        <w:t xml:space="preserve"> running </w:t>
      </w:r>
      <w:r w:rsidRPr="001F25C4">
        <w:t xml:space="preserve">eight-hour period </w:t>
      </w:r>
      <w:r>
        <w:t>each year</w:t>
      </w:r>
    </w:p>
    <w:p w14:paraId="44B5CE8F" w14:textId="77777777" w:rsidR="00D75457" w:rsidRPr="001F25C4" w:rsidRDefault="00D75457" w:rsidP="00152DF6">
      <w:pPr>
        <w:pStyle w:val="Bullet"/>
        <w:numPr>
          <w:ilvl w:val="0"/>
          <w:numId w:val="9"/>
        </w:numPr>
      </w:pPr>
      <w:r>
        <w:t>a</w:t>
      </w:r>
      <w:r w:rsidRPr="001F25C4">
        <w:t xml:space="preserve">n ambient air quality concentration limit of 200 </w:t>
      </w:r>
      <w:r w:rsidR="009804F0" w:rsidRPr="009804F0">
        <w:rPr>
          <w:rFonts w:ascii="Symbol" w:hAnsi="Symbol"/>
        </w:rPr>
        <w:t></w:t>
      </w:r>
      <w:r w:rsidR="009804F0" w:rsidRPr="001F25C4">
        <w:t>g</w:t>
      </w:r>
      <w:r w:rsidR="009804F0">
        <w:t>.</w:t>
      </w:r>
      <w:r w:rsidR="009804F0" w:rsidRPr="001F25C4">
        <w:t>m</w:t>
      </w:r>
      <w:r w:rsidR="009804F0" w:rsidRPr="009804F0">
        <w:rPr>
          <w:vertAlign w:val="superscript"/>
        </w:rPr>
        <w:t>-3</w:t>
      </w:r>
      <w:r w:rsidR="009804F0" w:rsidRPr="001F25C4">
        <w:t xml:space="preserve"> </w:t>
      </w:r>
      <w:r w:rsidRPr="001F25C4">
        <w:t>(one hour average) for</w:t>
      </w:r>
      <w:r>
        <w:t xml:space="preserve"> nitrogen dioxide</w:t>
      </w:r>
      <w:r w:rsidRPr="001F25C4">
        <w:t xml:space="preserve"> </w:t>
      </w:r>
      <w:r>
        <w:t>(</w:t>
      </w:r>
      <w:r w:rsidRPr="001F25C4">
        <w:t>NO</w:t>
      </w:r>
      <w:r w:rsidRPr="009804F0">
        <w:rPr>
          <w:vertAlign w:val="subscript"/>
        </w:rPr>
        <w:t>2</w:t>
      </w:r>
      <w:r>
        <w:t>) to</w:t>
      </w:r>
      <w:r w:rsidRPr="001F25C4">
        <w:t xml:space="preserve"> be met for all but </w:t>
      </w:r>
      <w:r>
        <w:t>nine</w:t>
      </w:r>
      <w:r w:rsidRPr="001F25C4">
        <w:t xml:space="preserve"> hours </w:t>
      </w:r>
      <w:r>
        <w:t>each year</w:t>
      </w:r>
    </w:p>
    <w:p w14:paraId="0DC22CDA" w14:textId="77777777" w:rsidR="00D75457" w:rsidRDefault="00D75457" w:rsidP="00152DF6">
      <w:pPr>
        <w:pStyle w:val="Bullet"/>
        <w:numPr>
          <w:ilvl w:val="0"/>
          <w:numId w:val="9"/>
        </w:numPr>
      </w:pPr>
      <w:r>
        <w:t>a</w:t>
      </w:r>
      <w:r w:rsidRPr="001F25C4">
        <w:t xml:space="preserve">n ambient air quality concentration limit of 150 </w:t>
      </w:r>
      <w:r w:rsidR="009804F0" w:rsidRPr="009804F0">
        <w:rPr>
          <w:rFonts w:ascii="Symbol" w:hAnsi="Symbol"/>
        </w:rPr>
        <w:t></w:t>
      </w:r>
      <w:r w:rsidR="009804F0" w:rsidRPr="001F25C4">
        <w:t>g</w:t>
      </w:r>
      <w:r w:rsidR="009804F0">
        <w:t>.</w:t>
      </w:r>
      <w:r w:rsidR="009804F0" w:rsidRPr="001F25C4">
        <w:t>m</w:t>
      </w:r>
      <w:r w:rsidR="009804F0" w:rsidRPr="009804F0">
        <w:rPr>
          <w:vertAlign w:val="superscript"/>
        </w:rPr>
        <w:t>-3</w:t>
      </w:r>
      <w:r w:rsidRPr="001F25C4">
        <w:t xml:space="preserve"> (one hour average) for</w:t>
      </w:r>
      <w:r>
        <w:t xml:space="preserve"> ozone</w:t>
      </w:r>
      <w:r w:rsidRPr="001F25C4">
        <w:t xml:space="preserve"> </w:t>
      </w:r>
      <w:r>
        <w:t>(</w:t>
      </w:r>
      <w:r w:rsidRPr="001F25C4">
        <w:t>O</w:t>
      </w:r>
      <w:r w:rsidRPr="009804F0">
        <w:rPr>
          <w:vertAlign w:val="subscript"/>
        </w:rPr>
        <w:t>3</w:t>
      </w:r>
      <w:r>
        <w:t>) to</w:t>
      </w:r>
      <w:r w:rsidRPr="001F25C4">
        <w:t xml:space="preserve"> be met 100</w:t>
      </w:r>
      <w:r w:rsidR="004C7B6C">
        <w:t xml:space="preserve">% </w:t>
      </w:r>
      <w:r w:rsidRPr="001F25C4">
        <w:t>of the tim</w:t>
      </w:r>
      <w:r>
        <w:t>e with no allowable exceedances</w:t>
      </w:r>
    </w:p>
    <w:p w14:paraId="6D3F660F" w14:textId="77777777" w:rsidR="00E20DB5" w:rsidRPr="001F25C4" w:rsidRDefault="00EB6BC8" w:rsidP="00152DF6">
      <w:pPr>
        <w:pStyle w:val="Bullet"/>
        <w:numPr>
          <w:ilvl w:val="0"/>
          <w:numId w:val="9"/>
        </w:numPr>
      </w:pPr>
      <w:r>
        <w:t>an</w:t>
      </w:r>
      <w:r w:rsidR="00E20DB5">
        <w:t xml:space="preserve"> ambient air quality concentration limit of 50 </w:t>
      </w:r>
      <w:r w:rsidR="009804F0" w:rsidRPr="009804F0">
        <w:rPr>
          <w:rFonts w:ascii="Symbol" w:hAnsi="Symbol"/>
        </w:rPr>
        <w:t></w:t>
      </w:r>
      <w:r w:rsidR="009804F0" w:rsidRPr="001F25C4">
        <w:t>g</w:t>
      </w:r>
      <w:r w:rsidR="009804F0">
        <w:t>.</w:t>
      </w:r>
      <w:r w:rsidR="009804F0" w:rsidRPr="001F25C4">
        <w:t>m</w:t>
      </w:r>
      <w:r w:rsidR="009804F0" w:rsidRPr="009804F0">
        <w:rPr>
          <w:vertAlign w:val="superscript"/>
        </w:rPr>
        <w:t>-3</w:t>
      </w:r>
      <w:r w:rsidR="00E20DB5">
        <w:t xml:space="preserve"> (24 hour average) for PM</w:t>
      </w:r>
      <w:r w:rsidR="00E20DB5" w:rsidRPr="009804F0">
        <w:rPr>
          <w:vertAlign w:val="subscript"/>
        </w:rPr>
        <w:t>10</w:t>
      </w:r>
      <w:r w:rsidR="00E20DB5">
        <w:t>, to be met for every day of the year but one</w:t>
      </w:r>
    </w:p>
    <w:p w14:paraId="343B3680" w14:textId="77777777" w:rsidR="00D75457" w:rsidRDefault="00D75457" w:rsidP="00152DF6">
      <w:pPr>
        <w:pStyle w:val="Bullet"/>
        <w:numPr>
          <w:ilvl w:val="0"/>
          <w:numId w:val="9"/>
        </w:numPr>
      </w:pPr>
      <w:r>
        <w:t>a</w:t>
      </w:r>
      <w:r w:rsidRPr="001F25C4">
        <w:t xml:space="preserve">n ambient air quality concentration limit of 350 </w:t>
      </w:r>
      <w:r w:rsidR="009804F0" w:rsidRPr="009804F0">
        <w:rPr>
          <w:rFonts w:ascii="Symbol" w:hAnsi="Symbol"/>
        </w:rPr>
        <w:t></w:t>
      </w:r>
      <w:r w:rsidR="009804F0" w:rsidRPr="001F25C4">
        <w:t>g</w:t>
      </w:r>
      <w:r w:rsidR="009804F0">
        <w:t>.</w:t>
      </w:r>
      <w:r w:rsidR="009804F0" w:rsidRPr="001F25C4">
        <w:t>m</w:t>
      </w:r>
      <w:r w:rsidR="009804F0" w:rsidRPr="009804F0">
        <w:rPr>
          <w:vertAlign w:val="superscript"/>
        </w:rPr>
        <w:t>-3</w:t>
      </w:r>
      <w:r w:rsidRPr="001F25C4">
        <w:t xml:space="preserve"> (one hour average) for</w:t>
      </w:r>
      <w:r>
        <w:t xml:space="preserve"> sulphur dioxide</w:t>
      </w:r>
      <w:r w:rsidRPr="001F25C4">
        <w:t xml:space="preserve"> </w:t>
      </w:r>
      <w:r>
        <w:t>(</w:t>
      </w:r>
      <w:r w:rsidRPr="001F25C4">
        <w:t>SO</w:t>
      </w:r>
      <w:r w:rsidRPr="009804F0">
        <w:rPr>
          <w:vertAlign w:val="subscript"/>
        </w:rPr>
        <w:t>2</w:t>
      </w:r>
      <w:r>
        <w:t>) to be met for all but nine hours each year</w:t>
      </w:r>
    </w:p>
    <w:p w14:paraId="5EA69973" w14:textId="77777777" w:rsidR="00D75457" w:rsidRPr="001F25C4" w:rsidRDefault="00D75457" w:rsidP="00152DF6">
      <w:pPr>
        <w:pStyle w:val="Bullet"/>
        <w:numPr>
          <w:ilvl w:val="0"/>
          <w:numId w:val="9"/>
        </w:numPr>
      </w:pPr>
      <w:r>
        <w:t>a</w:t>
      </w:r>
      <w:r w:rsidR="00256D82">
        <w:t>n</w:t>
      </w:r>
      <w:r w:rsidRPr="001F25C4">
        <w:t xml:space="preserve"> ambient air quality concentration limit of 570 </w:t>
      </w:r>
      <w:r w:rsidR="009804F0" w:rsidRPr="009804F0">
        <w:rPr>
          <w:rFonts w:ascii="Symbol" w:hAnsi="Symbol"/>
        </w:rPr>
        <w:t></w:t>
      </w:r>
      <w:r w:rsidR="009804F0" w:rsidRPr="001F25C4">
        <w:t>g</w:t>
      </w:r>
      <w:r w:rsidR="009804F0">
        <w:t>.</w:t>
      </w:r>
      <w:r w:rsidR="009804F0" w:rsidRPr="001F25C4">
        <w:t>m</w:t>
      </w:r>
      <w:r w:rsidR="009804F0" w:rsidRPr="009804F0">
        <w:rPr>
          <w:vertAlign w:val="superscript"/>
        </w:rPr>
        <w:t>-3</w:t>
      </w:r>
      <w:r w:rsidRPr="001F25C4">
        <w:t xml:space="preserve"> (one hour average) for SO</w:t>
      </w:r>
      <w:r w:rsidRPr="009804F0">
        <w:rPr>
          <w:vertAlign w:val="subscript"/>
        </w:rPr>
        <w:t>2</w:t>
      </w:r>
      <w:r>
        <w:t xml:space="preserve"> to </w:t>
      </w:r>
      <w:r w:rsidRPr="001F25C4">
        <w:t>be met 100</w:t>
      </w:r>
      <w:r w:rsidR="004C7B6C">
        <w:t xml:space="preserve">% </w:t>
      </w:r>
      <w:r w:rsidRPr="001F25C4">
        <w:t>of the time with no allowable exceedances.</w:t>
      </w:r>
    </w:p>
    <w:p w14:paraId="3859BF86" w14:textId="77777777" w:rsidR="00D75457" w:rsidRDefault="00D75457" w:rsidP="00D75457"/>
    <w:p w14:paraId="66153CFD" w14:textId="77777777" w:rsidR="00D75457" w:rsidRDefault="00D75457" w:rsidP="00D75457">
      <w:r w:rsidRPr="001F25C4">
        <w:t>The ambient standards c</w:t>
      </w:r>
      <w:r>
        <w:t>a</w:t>
      </w:r>
      <w:r w:rsidRPr="001F25C4">
        <w:t>me into force on 1 September 2005.</w:t>
      </w:r>
    </w:p>
    <w:p w14:paraId="57D1906C" w14:textId="77777777" w:rsidR="00E92E1D" w:rsidRDefault="00E92E1D" w:rsidP="007E5581">
      <w:pPr>
        <w:pStyle w:val="Heading5"/>
      </w:pPr>
      <w:r>
        <w:t>Amendments</w:t>
      </w:r>
    </w:p>
    <w:p w14:paraId="1D9E6943" w14:textId="77777777" w:rsidR="00E92E1D" w:rsidRDefault="00D27C7A" w:rsidP="00E92E1D">
      <w:pPr>
        <w:pStyle w:val="BodyText"/>
      </w:pPr>
      <w:r>
        <w:t xml:space="preserve">In </w:t>
      </w:r>
      <w:r w:rsidR="00D87D86">
        <w:t>June</w:t>
      </w:r>
      <w:r>
        <w:t xml:space="preserve"> 2011</w:t>
      </w:r>
      <w:r w:rsidR="00EB6BC8">
        <w:t>,</w:t>
      </w:r>
      <w:r>
        <w:t xml:space="preserve"> </w:t>
      </w:r>
      <w:r w:rsidR="009804F0">
        <w:t>R</w:t>
      </w:r>
      <w:r>
        <w:t xml:space="preserve">egulation 13 and </w:t>
      </w:r>
      <w:r w:rsidR="009804F0">
        <w:t xml:space="preserve">Schedule </w:t>
      </w:r>
      <w:r w:rsidR="00FA2232">
        <w:t xml:space="preserve">1 </w:t>
      </w:r>
      <w:r>
        <w:t xml:space="preserve">were amended to clarify </w:t>
      </w:r>
      <w:r w:rsidR="00AF5170">
        <w:t>permissible exceedances</w:t>
      </w:r>
      <w:r w:rsidR="00E336B0">
        <w:t xml:space="preserve">. </w:t>
      </w:r>
      <w:r w:rsidR="00256D82">
        <w:t>These impact on</w:t>
      </w:r>
      <w:r>
        <w:t xml:space="preserve"> the PM</w:t>
      </w:r>
      <w:r w:rsidRPr="00D27C7A">
        <w:rPr>
          <w:vertAlign w:val="subscript"/>
        </w:rPr>
        <w:t>10</w:t>
      </w:r>
      <w:r>
        <w:t xml:space="preserve"> ambient standard</w:t>
      </w:r>
      <w:r w:rsidR="00256D82">
        <w:t>s and are discussed further</w:t>
      </w:r>
      <w:r>
        <w:t xml:space="preserve"> in </w:t>
      </w:r>
      <w:r w:rsidR="009804F0">
        <w:t>Chapter 4</w:t>
      </w:r>
      <w:r w:rsidR="00E336B0">
        <w:t>.</w:t>
      </w:r>
    </w:p>
    <w:p w14:paraId="6138E3A3" w14:textId="77777777" w:rsidR="00E92E1D" w:rsidRDefault="00E92E1D" w:rsidP="00E92E1D">
      <w:pPr>
        <w:pStyle w:val="Heading3"/>
      </w:pPr>
      <w:r>
        <w:t>3.3.2</w:t>
      </w:r>
      <w:r>
        <w:tab/>
        <w:t xml:space="preserve">What about the </w:t>
      </w:r>
      <w:r w:rsidRPr="00891AA0">
        <w:t>Ambient Air Quality Guidelines?</w:t>
      </w:r>
    </w:p>
    <w:p w14:paraId="5E81DC2C" w14:textId="77777777" w:rsidR="00E92E1D" w:rsidRDefault="00D1461E" w:rsidP="00E92E1D">
      <w:pPr>
        <w:pStyle w:val="BodyText"/>
      </w:pPr>
      <w:r>
        <w:t xml:space="preserve">The ambient standards </w:t>
      </w:r>
      <w:r w:rsidR="00256D82">
        <w:t>were</w:t>
      </w:r>
      <w:r>
        <w:t xml:space="preserve"> based on the current </w:t>
      </w:r>
      <w:r w:rsidR="00256D82">
        <w:t>2002</w:t>
      </w:r>
      <w:r>
        <w:t xml:space="preserve"> </w:t>
      </w:r>
      <w:r w:rsidRPr="00EB6BC8">
        <w:t>Ambient Air Quality Guidelines</w:t>
      </w:r>
      <w:r>
        <w:t xml:space="preserve"> </w:t>
      </w:r>
      <w:r w:rsidRPr="00EB6BC8">
        <w:t>(MfE, 2002</w:t>
      </w:r>
      <w:r w:rsidR="00E51FBD">
        <w:t>a</w:t>
      </w:r>
      <w:r w:rsidRPr="00EB6BC8">
        <w:t>).</w:t>
      </w:r>
      <w:r>
        <w:t xml:space="preserve"> These guidelines were developed following a comprehensive review of international and national research, and </w:t>
      </w:r>
      <w:r w:rsidR="00256D82">
        <w:t>were</w:t>
      </w:r>
      <w:r>
        <w:t xml:space="preserve"> widely accepted amongst New Zealand practitioners</w:t>
      </w:r>
      <w:r w:rsidR="00256D82">
        <w:t xml:space="preserve"> at the time of publication</w:t>
      </w:r>
      <w:r w:rsidR="003C67B8">
        <w:t>.</w:t>
      </w:r>
      <w:r>
        <w:t xml:space="preserve"> It is important to understand how the ambient standards and guidelines fit together in the regulatory framework.</w:t>
      </w:r>
    </w:p>
    <w:p w14:paraId="36E87CC5" w14:textId="77777777" w:rsidR="00D1461E" w:rsidRDefault="00D1461E" w:rsidP="00E92E1D">
      <w:pPr>
        <w:pStyle w:val="BodyText"/>
      </w:pPr>
    </w:p>
    <w:p w14:paraId="100763EA" w14:textId="77777777" w:rsidR="005C6888" w:rsidRDefault="00D1461E" w:rsidP="00E92E1D">
      <w:pPr>
        <w:pStyle w:val="BodyText"/>
      </w:pPr>
      <w:r>
        <w:t xml:space="preserve">The </w:t>
      </w:r>
      <w:r w:rsidRPr="00EB6BC8">
        <w:t>Ambient Air Quality Guidelines were</w:t>
      </w:r>
      <w:r>
        <w:t xml:space="preserve"> published by the Ministry for the Environment as guidance under the RMA.</w:t>
      </w:r>
      <w:r w:rsidR="003C67B8">
        <w:t xml:space="preserve"> </w:t>
      </w:r>
      <w:r w:rsidR="00A044FF">
        <w:t>They detail the minimum requirements that outdoor air quality should meet in order to protect huma</w:t>
      </w:r>
      <w:r w:rsidR="008C485A">
        <w:t>n health and the environment.</w:t>
      </w:r>
    </w:p>
    <w:p w14:paraId="0690D364" w14:textId="77777777" w:rsidR="005C6888" w:rsidRDefault="005C6888" w:rsidP="00E92E1D">
      <w:pPr>
        <w:pStyle w:val="BodyText"/>
      </w:pPr>
    </w:p>
    <w:p w14:paraId="7D0A4C76" w14:textId="77777777" w:rsidR="00D1461E" w:rsidRPr="00EB6BC8" w:rsidRDefault="00EB6BC8" w:rsidP="00EB6BC8">
      <w:pPr>
        <w:pStyle w:val="BodyText"/>
        <w:shd w:val="clear" w:color="auto" w:fill="D9D9D9"/>
      </w:pPr>
      <w:r>
        <w:t>Recommended</w:t>
      </w:r>
      <w:r w:rsidR="00A044FF" w:rsidRPr="00EB6BC8">
        <w:t xml:space="preserve"> levels in the </w:t>
      </w:r>
      <w:r w:rsidR="00A044FF" w:rsidRPr="00EB6BC8">
        <w:rPr>
          <w:i/>
        </w:rPr>
        <w:t>Ambient Air Quality Guidelines</w:t>
      </w:r>
      <w:r w:rsidR="00A044FF" w:rsidRPr="00EB6BC8">
        <w:t xml:space="preserve"> </w:t>
      </w:r>
      <w:r>
        <w:t xml:space="preserve">still apply </w:t>
      </w:r>
      <w:r w:rsidR="00A044FF" w:rsidRPr="00EB6BC8">
        <w:t>for pollutants (and averaging periods) not covered by the ambient standards.</w:t>
      </w:r>
      <w:r w:rsidR="0068667C" w:rsidRPr="00EB6BC8">
        <w:t xml:space="preserve"> </w:t>
      </w:r>
      <w:r>
        <w:t xml:space="preserve">However, </w:t>
      </w:r>
      <w:r w:rsidRPr="00EB6BC8">
        <w:t xml:space="preserve">the </w:t>
      </w:r>
      <w:r w:rsidR="0068667C" w:rsidRPr="00EB6BC8">
        <w:t>ambient standards replace any previous guideline</w:t>
      </w:r>
      <w:r>
        <w:t>s</w:t>
      </w:r>
      <w:r w:rsidR="0068667C" w:rsidRPr="00EB6BC8">
        <w:t xml:space="preserve"> for that particular pollutant and averaging period.</w:t>
      </w:r>
    </w:p>
    <w:p w14:paraId="0F24405C" w14:textId="77777777" w:rsidR="005C6888" w:rsidRPr="00636A67" w:rsidRDefault="005C6888" w:rsidP="00E92E1D">
      <w:pPr>
        <w:pStyle w:val="BodyText"/>
      </w:pPr>
    </w:p>
    <w:p w14:paraId="7CC5B5B3" w14:textId="77777777" w:rsidR="001B42D8" w:rsidRDefault="001B42D8" w:rsidP="00E92E1D">
      <w:pPr>
        <w:pStyle w:val="BodyText"/>
      </w:pPr>
      <w:r>
        <w:t xml:space="preserve">Table </w:t>
      </w:r>
      <w:r w:rsidRPr="00EB6BC8">
        <w:t>4</w:t>
      </w:r>
      <w:r>
        <w:t xml:space="preserve"> below shows how the ambient standards for CO,</w:t>
      </w:r>
      <w:r w:rsidR="00AE5F06">
        <w:t xml:space="preserve"> </w:t>
      </w:r>
      <w:r>
        <w:t>NO</w:t>
      </w:r>
      <w:r w:rsidRPr="001B42D8">
        <w:rPr>
          <w:vertAlign w:val="subscript"/>
        </w:rPr>
        <w:t>2</w:t>
      </w:r>
      <w:r>
        <w:t>, SO</w:t>
      </w:r>
      <w:r w:rsidRPr="001B42D8">
        <w:rPr>
          <w:vertAlign w:val="subscript"/>
        </w:rPr>
        <w:t>2</w:t>
      </w:r>
      <w:r>
        <w:t xml:space="preserve"> and O</w:t>
      </w:r>
      <w:r w:rsidRPr="001B42D8">
        <w:rPr>
          <w:vertAlign w:val="subscript"/>
        </w:rPr>
        <w:t>3</w:t>
      </w:r>
      <w:r>
        <w:t xml:space="preserve"> compare with the Ambient Air Quality Guidelines.</w:t>
      </w:r>
    </w:p>
    <w:p w14:paraId="47D8A1A4" w14:textId="77777777" w:rsidR="00C21791" w:rsidRDefault="00C21791" w:rsidP="00E92E1D">
      <w:pPr>
        <w:pStyle w:val="BodyText"/>
      </w:pPr>
    </w:p>
    <w:p w14:paraId="5CBDF61B" w14:textId="77777777" w:rsidR="00AE5F06" w:rsidRPr="00462DA0" w:rsidRDefault="00AE5F06" w:rsidP="00407749">
      <w:pPr>
        <w:pStyle w:val="Tableheading"/>
      </w:pPr>
      <w:bookmarkStart w:id="40" w:name="_Toc377645810"/>
      <w:r w:rsidRPr="00462DA0">
        <w:t xml:space="preserve">Table </w:t>
      </w:r>
      <w:r w:rsidRPr="00EB6BC8">
        <w:t>4</w:t>
      </w:r>
      <w:r w:rsidRPr="00462DA0">
        <w:t>:</w:t>
      </w:r>
      <w:r w:rsidRPr="00462DA0">
        <w:tab/>
        <w:t>Ambient air quality standards compared to Ambient Air Quality Guidelines</w:t>
      </w:r>
      <w:bookmarkEnd w:id="40"/>
    </w:p>
    <w:tbl>
      <w:tblPr>
        <w:tblW w:w="0" w:type="auto"/>
        <w:tblLayout w:type="fixed"/>
        <w:tblLook w:val="01E0" w:firstRow="1" w:lastRow="1" w:firstColumn="1" w:lastColumn="1" w:noHBand="0" w:noVBand="0"/>
      </w:tblPr>
      <w:tblGrid>
        <w:gridCol w:w="1952"/>
        <w:gridCol w:w="1134"/>
        <w:gridCol w:w="1276"/>
        <w:gridCol w:w="2410"/>
        <w:gridCol w:w="1842"/>
      </w:tblGrid>
      <w:tr w:rsidR="00AE5F06" w:rsidRPr="00AE5F06" w14:paraId="3DA5BD5C" w14:textId="77777777" w:rsidTr="0024650C">
        <w:tc>
          <w:tcPr>
            <w:tcW w:w="1952" w:type="dxa"/>
            <w:tcBorders>
              <w:top w:val="single" w:sz="4" w:space="0" w:color="auto"/>
            </w:tcBorders>
            <w:shd w:val="clear" w:color="auto" w:fill="auto"/>
          </w:tcPr>
          <w:p w14:paraId="7E97485D" w14:textId="77777777" w:rsidR="00AE5F06" w:rsidRPr="0024650C" w:rsidRDefault="00AE5F06" w:rsidP="0024650C">
            <w:pPr>
              <w:pStyle w:val="Body"/>
              <w:spacing w:before="25" w:after="25" w:line="240" w:lineRule="auto"/>
              <w:jc w:val="both"/>
              <w:rPr>
                <w:rFonts w:cs="Arial"/>
                <w:b/>
                <w:sz w:val="16"/>
                <w:szCs w:val="16"/>
              </w:rPr>
            </w:pPr>
            <w:r w:rsidRPr="0024650C">
              <w:rPr>
                <w:rFonts w:cs="Arial"/>
                <w:b/>
                <w:sz w:val="16"/>
                <w:szCs w:val="16"/>
              </w:rPr>
              <w:t>Pollutant</w:t>
            </w:r>
          </w:p>
        </w:tc>
        <w:tc>
          <w:tcPr>
            <w:tcW w:w="1134" w:type="dxa"/>
            <w:tcBorders>
              <w:top w:val="single" w:sz="4" w:space="0" w:color="auto"/>
            </w:tcBorders>
            <w:shd w:val="clear" w:color="auto" w:fill="auto"/>
          </w:tcPr>
          <w:p w14:paraId="0CC020D5" w14:textId="77777777" w:rsidR="00AE5F06" w:rsidRPr="0024650C" w:rsidRDefault="00AE5F06" w:rsidP="0024650C">
            <w:pPr>
              <w:pStyle w:val="Body"/>
              <w:spacing w:before="25" w:after="25" w:line="240" w:lineRule="auto"/>
              <w:jc w:val="center"/>
              <w:rPr>
                <w:rFonts w:cs="Arial"/>
                <w:b/>
                <w:sz w:val="16"/>
                <w:szCs w:val="16"/>
              </w:rPr>
            </w:pPr>
            <w:r w:rsidRPr="0024650C">
              <w:rPr>
                <w:rFonts w:cs="Arial"/>
                <w:b/>
                <w:sz w:val="16"/>
                <w:szCs w:val="16"/>
              </w:rPr>
              <w:t>Averaging Time</w:t>
            </w:r>
          </w:p>
        </w:tc>
        <w:tc>
          <w:tcPr>
            <w:tcW w:w="3686" w:type="dxa"/>
            <w:gridSpan w:val="2"/>
            <w:tcBorders>
              <w:top w:val="single" w:sz="4" w:space="0" w:color="auto"/>
            </w:tcBorders>
            <w:shd w:val="clear" w:color="auto" w:fill="auto"/>
          </w:tcPr>
          <w:p w14:paraId="41B84766" w14:textId="77777777" w:rsidR="00AE5F06" w:rsidRPr="0024650C" w:rsidRDefault="00AE5F06" w:rsidP="0024650C">
            <w:pPr>
              <w:pStyle w:val="Body"/>
              <w:spacing w:before="25" w:after="25" w:line="240" w:lineRule="auto"/>
              <w:jc w:val="center"/>
              <w:rPr>
                <w:rFonts w:cs="Arial"/>
                <w:b/>
                <w:sz w:val="16"/>
                <w:szCs w:val="16"/>
              </w:rPr>
            </w:pPr>
            <w:r w:rsidRPr="0024650C">
              <w:rPr>
                <w:rFonts w:cs="Arial"/>
                <w:b/>
                <w:sz w:val="16"/>
                <w:szCs w:val="16"/>
              </w:rPr>
              <w:t>Ambient Standard from the National Environmental Standards for Air Quality 2004</w:t>
            </w:r>
          </w:p>
        </w:tc>
        <w:tc>
          <w:tcPr>
            <w:tcW w:w="1842" w:type="dxa"/>
            <w:tcBorders>
              <w:top w:val="single" w:sz="4" w:space="0" w:color="auto"/>
            </w:tcBorders>
          </w:tcPr>
          <w:p w14:paraId="5597DA7C" w14:textId="77777777" w:rsidR="00AE5F06" w:rsidRPr="0024650C" w:rsidRDefault="00AE5F06" w:rsidP="0024650C">
            <w:pPr>
              <w:pStyle w:val="Body"/>
              <w:spacing w:before="25" w:after="25" w:line="240" w:lineRule="auto"/>
              <w:jc w:val="center"/>
              <w:rPr>
                <w:rFonts w:cs="Arial"/>
                <w:b/>
                <w:sz w:val="16"/>
                <w:szCs w:val="16"/>
              </w:rPr>
            </w:pPr>
            <w:r w:rsidRPr="0024650C">
              <w:rPr>
                <w:rFonts w:cs="Arial"/>
                <w:b/>
                <w:sz w:val="16"/>
                <w:szCs w:val="16"/>
              </w:rPr>
              <w:t>Ambient Air Quality Guidelines (2002)</w:t>
            </w:r>
          </w:p>
        </w:tc>
      </w:tr>
      <w:tr w:rsidR="00AE5F06" w:rsidRPr="00AE5F06" w14:paraId="3CF11BCF" w14:textId="77777777" w:rsidTr="0024650C">
        <w:tc>
          <w:tcPr>
            <w:tcW w:w="1952" w:type="dxa"/>
            <w:tcBorders>
              <w:bottom w:val="single" w:sz="4" w:space="0" w:color="auto"/>
            </w:tcBorders>
            <w:shd w:val="clear" w:color="auto" w:fill="auto"/>
          </w:tcPr>
          <w:p w14:paraId="1A5E44FF" w14:textId="77777777" w:rsidR="003B60BD" w:rsidRPr="0024650C" w:rsidRDefault="003B60BD" w:rsidP="0024650C">
            <w:pPr>
              <w:pStyle w:val="Body"/>
              <w:spacing w:before="25" w:after="25" w:line="240" w:lineRule="auto"/>
              <w:rPr>
                <w:rFonts w:cs="Arial"/>
                <w:b/>
                <w:sz w:val="16"/>
                <w:szCs w:val="16"/>
              </w:rPr>
            </w:pPr>
          </w:p>
        </w:tc>
        <w:tc>
          <w:tcPr>
            <w:tcW w:w="1134" w:type="dxa"/>
            <w:tcBorders>
              <w:bottom w:val="single" w:sz="4" w:space="0" w:color="auto"/>
            </w:tcBorders>
            <w:shd w:val="clear" w:color="auto" w:fill="auto"/>
          </w:tcPr>
          <w:p w14:paraId="2D89A48F" w14:textId="77777777" w:rsidR="003B60BD" w:rsidRPr="0024650C" w:rsidRDefault="003B60BD" w:rsidP="0024650C">
            <w:pPr>
              <w:pStyle w:val="Body"/>
              <w:spacing w:before="25" w:after="25" w:line="240" w:lineRule="auto"/>
              <w:jc w:val="center"/>
              <w:rPr>
                <w:rFonts w:cs="Arial"/>
                <w:b/>
                <w:sz w:val="16"/>
                <w:szCs w:val="16"/>
              </w:rPr>
            </w:pPr>
          </w:p>
        </w:tc>
        <w:tc>
          <w:tcPr>
            <w:tcW w:w="1276" w:type="dxa"/>
            <w:tcBorders>
              <w:bottom w:val="single" w:sz="4" w:space="0" w:color="auto"/>
            </w:tcBorders>
            <w:shd w:val="clear" w:color="auto" w:fill="auto"/>
          </w:tcPr>
          <w:p w14:paraId="147AC517"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Value</w:t>
            </w:r>
          </w:p>
        </w:tc>
        <w:tc>
          <w:tcPr>
            <w:tcW w:w="2410" w:type="dxa"/>
            <w:tcBorders>
              <w:bottom w:val="single" w:sz="4" w:space="0" w:color="auto"/>
            </w:tcBorders>
            <w:shd w:val="clear" w:color="auto" w:fill="auto"/>
          </w:tcPr>
          <w:p w14:paraId="44E7AD3E"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Permissible</w:t>
            </w:r>
          </w:p>
          <w:p w14:paraId="06EDEB9C"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Exceedances</w:t>
            </w:r>
            <w:r w:rsidR="00A21F15" w:rsidRPr="0024650C">
              <w:rPr>
                <w:rFonts w:cs="Arial"/>
                <w:b/>
                <w:sz w:val="16"/>
                <w:szCs w:val="16"/>
              </w:rPr>
              <w:t xml:space="preserve"> in a 12-month period</w:t>
            </w:r>
          </w:p>
        </w:tc>
        <w:tc>
          <w:tcPr>
            <w:tcW w:w="1842" w:type="dxa"/>
            <w:tcBorders>
              <w:bottom w:val="single" w:sz="4" w:space="0" w:color="auto"/>
            </w:tcBorders>
          </w:tcPr>
          <w:p w14:paraId="7074691B"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Value</w:t>
            </w:r>
          </w:p>
        </w:tc>
      </w:tr>
      <w:tr w:rsidR="00AE5F06" w:rsidRPr="00AE5F06" w14:paraId="25B3C7BC" w14:textId="77777777" w:rsidTr="0024650C">
        <w:tc>
          <w:tcPr>
            <w:tcW w:w="1952" w:type="dxa"/>
            <w:tcBorders>
              <w:top w:val="single" w:sz="4" w:space="0" w:color="auto"/>
            </w:tcBorders>
            <w:shd w:val="clear" w:color="auto" w:fill="auto"/>
          </w:tcPr>
          <w:p w14:paraId="08C4965D" w14:textId="77777777" w:rsidR="003B60BD" w:rsidRPr="0024650C" w:rsidRDefault="003B60BD" w:rsidP="0024650C">
            <w:pPr>
              <w:pStyle w:val="Body"/>
              <w:spacing w:before="25" w:after="25" w:line="240" w:lineRule="auto"/>
              <w:rPr>
                <w:rFonts w:cs="Arial"/>
                <w:sz w:val="16"/>
                <w:szCs w:val="16"/>
              </w:rPr>
            </w:pPr>
            <w:r w:rsidRPr="0024650C">
              <w:rPr>
                <w:rFonts w:cs="Arial"/>
                <w:sz w:val="16"/>
                <w:szCs w:val="16"/>
              </w:rPr>
              <w:t>Carbon Monoxide (CO)</w:t>
            </w:r>
          </w:p>
        </w:tc>
        <w:tc>
          <w:tcPr>
            <w:tcW w:w="1134" w:type="dxa"/>
            <w:tcBorders>
              <w:top w:val="single" w:sz="4" w:space="0" w:color="auto"/>
            </w:tcBorders>
            <w:shd w:val="clear" w:color="auto" w:fill="auto"/>
          </w:tcPr>
          <w:p w14:paraId="78C9302B"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1-hour</w:t>
            </w:r>
          </w:p>
          <w:p w14:paraId="5949DF46"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8-hour</w:t>
            </w:r>
          </w:p>
        </w:tc>
        <w:tc>
          <w:tcPr>
            <w:tcW w:w="1276" w:type="dxa"/>
            <w:tcBorders>
              <w:top w:val="single" w:sz="4" w:space="0" w:color="auto"/>
            </w:tcBorders>
            <w:shd w:val="clear" w:color="auto" w:fill="auto"/>
          </w:tcPr>
          <w:p w14:paraId="020771CD"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p w14:paraId="72A57221"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10 mg.m</w:t>
            </w:r>
            <w:r w:rsidRPr="0024650C">
              <w:rPr>
                <w:rFonts w:cs="Arial"/>
                <w:sz w:val="16"/>
                <w:szCs w:val="16"/>
                <w:vertAlign w:val="superscript"/>
              </w:rPr>
              <w:t>-3</w:t>
            </w:r>
          </w:p>
        </w:tc>
        <w:tc>
          <w:tcPr>
            <w:tcW w:w="2410" w:type="dxa"/>
            <w:tcBorders>
              <w:top w:val="single" w:sz="4" w:space="0" w:color="auto"/>
            </w:tcBorders>
            <w:shd w:val="clear" w:color="auto" w:fill="auto"/>
          </w:tcPr>
          <w:p w14:paraId="50183FB8"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p w14:paraId="4D515D9E"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1</w:t>
            </w:r>
          </w:p>
        </w:tc>
        <w:tc>
          <w:tcPr>
            <w:tcW w:w="1842" w:type="dxa"/>
            <w:tcBorders>
              <w:top w:val="single" w:sz="4" w:space="0" w:color="auto"/>
            </w:tcBorders>
          </w:tcPr>
          <w:p w14:paraId="45816631" w14:textId="77777777" w:rsidR="003B60BD" w:rsidRPr="0024650C" w:rsidRDefault="003B60BD" w:rsidP="0024650C">
            <w:pPr>
              <w:pStyle w:val="Body"/>
              <w:spacing w:before="25" w:after="25" w:line="240" w:lineRule="auto"/>
              <w:jc w:val="center"/>
              <w:rPr>
                <w:rFonts w:cs="Arial"/>
                <w:b/>
                <w:sz w:val="16"/>
                <w:szCs w:val="16"/>
                <w:vertAlign w:val="superscript"/>
              </w:rPr>
            </w:pPr>
            <w:r w:rsidRPr="0024650C">
              <w:rPr>
                <w:rFonts w:cs="Arial"/>
                <w:b/>
                <w:sz w:val="16"/>
                <w:szCs w:val="16"/>
              </w:rPr>
              <w:t>30 mg.m</w:t>
            </w:r>
            <w:r w:rsidRPr="0024650C">
              <w:rPr>
                <w:rFonts w:cs="Arial"/>
                <w:b/>
                <w:sz w:val="16"/>
                <w:szCs w:val="16"/>
                <w:vertAlign w:val="superscript"/>
              </w:rPr>
              <w:t>-3</w:t>
            </w:r>
          </w:p>
          <w:p w14:paraId="103A3FF1"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10 mg.m</w:t>
            </w:r>
            <w:r w:rsidRPr="0024650C">
              <w:rPr>
                <w:rFonts w:cs="Arial"/>
                <w:sz w:val="16"/>
                <w:szCs w:val="16"/>
                <w:vertAlign w:val="superscript"/>
              </w:rPr>
              <w:t>-3</w:t>
            </w:r>
          </w:p>
        </w:tc>
      </w:tr>
      <w:tr w:rsidR="00AE5F06" w:rsidRPr="00AE5F06" w14:paraId="3AD3F9A8" w14:textId="77777777" w:rsidTr="0024650C">
        <w:tc>
          <w:tcPr>
            <w:tcW w:w="1952" w:type="dxa"/>
            <w:shd w:val="clear" w:color="auto" w:fill="auto"/>
          </w:tcPr>
          <w:p w14:paraId="7D024033" w14:textId="77777777" w:rsidR="003B60BD" w:rsidRPr="0024650C" w:rsidRDefault="003B60BD" w:rsidP="0024650C">
            <w:pPr>
              <w:pStyle w:val="Body"/>
              <w:spacing w:before="25" w:after="25" w:line="240" w:lineRule="auto"/>
              <w:rPr>
                <w:rFonts w:cs="Arial"/>
                <w:sz w:val="16"/>
                <w:szCs w:val="16"/>
              </w:rPr>
            </w:pPr>
            <w:r w:rsidRPr="0024650C">
              <w:rPr>
                <w:rFonts w:cs="Arial"/>
                <w:sz w:val="16"/>
                <w:szCs w:val="16"/>
              </w:rPr>
              <w:t>PM</w:t>
            </w:r>
            <w:r w:rsidRPr="0024650C">
              <w:rPr>
                <w:rFonts w:cs="Arial"/>
                <w:sz w:val="16"/>
                <w:szCs w:val="16"/>
                <w:vertAlign w:val="subscript"/>
              </w:rPr>
              <w:t>10</w:t>
            </w:r>
          </w:p>
        </w:tc>
        <w:tc>
          <w:tcPr>
            <w:tcW w:w="1134" w:type="dxa"/>
            <w:shd w:val="clear" w:color="auto" w:fill="auto"/>
          </w:tcPr>
          <w:p w14:paraId="5A65DA9D"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24-hour Annual</w:t>
            </w:r>
          </w:p>
        </w:tc>
        <w:tc>
          <w:tcPr>
            <w:tcW w:w="1276" w:type="dxa"/>
            <w:shd w:val="clear" w:color="auto" w:fill="auto"/>
          </w:tcPr>
          <w:p w14:paraId="10809D11"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 xml:space="preserve">50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31165B76"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2410" w:type="dxa"/>
            <w:shd w:val="clear" w:color="auto" w:fill="auto"/>
          </w:tcPr>
          <w:p w14:paraId="41BF7FE1"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w:t>
            </w:r>
          </w:p>
        </w:tc>
        <w:tc>
          <w:tcPr>
            <w:tcW w:w="1842" w:type="dxa"/>
          </w:tcPr>
          <w:p w14:paraId="6A99B58D"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 xml:space="preserve">50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25D6C1C2"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 xml:space="preserve">20 </w:t>
            </w:r>
            <w:r w:rsidRPr="0024650C">
              <w:rPr>
                <w:rFonts w:ascii="Symbol" w:hAnsi="Symbol" w:cs="Arial"/>
                <w:b/>
                <w:sz w:val="16"/>
                <w:szCs w:val="16"/>
              </w:rPr>
              <w:t></w:t>
            </w:r>
            <w:r w:rsidRPr="0024650C">
              <w:rPr>
                <w:rFonts w:cs="Arial"/>
                <w:b/>
                <w:sz w:val="16"/>
                <w:szCs w:val="16"/>
              </w:rPr>
              <w:t>g.m</w:t>
            </w:r>
            <w:r w:rsidRPr="0024650C">
              <w:rPr>
                <w:rFonts w:cs="Arial"/>
                <w:b/>
                <w:sz w:val="16"/>
                <w:szCs w:val="16"/>
                <w:vertAlign w:val="superscript"/>
              </w:rPr>
              <w:t>-3</w:t>
            </w:r>
          </w:p>
        </w:tc>
      </w:tr>
      <w:tr w:rsidR="00AE5F06" w:rsidRPr="00AE5F06" w14:paraId="480CB2F5" w14:textId="77777777" w:rsidTr="0024650C">
        <w:tc>
          <w:tcPr>
            <w:tcW w:w="1952" w:type="dxa"/>
            <w:shd w:val="clear" w:color="auto" w:fill="auto"/>
          </w:tcPr>
          <w:p w14:paraId="711D7520" w14:textId="77777777" w:rsidR="003B60BD" w:rsidRPr="0024650C" w:rsidRDefault="003B60BD" w:rsidP="0024650C">
            <w:pPr>
              <w:pStyle w:val="Body"/>
              <w:spacing w:before="25" w:after="25" w:line="240" w:lineRule="auto"/>
              <w:rPr>
                <w:rFonts w:cs="Arial"/>
                <w:sz w:val="16"/>
                <w:szCs w:val="16"/>
              </w:rPr>
            </w:pPr>
            <w:r w:rsidRPr="0024650C">
              <w:rPr>
                <w:rFonts w:cs="Arial"/>
                <w:sz w:val="16"/>
                <w:szCs w:val="16"/>
              </w:rPr>
              <w:t>Nitrogen Dioxide (NO</w:t>
            </w:r>
            <w:r w:rsidRPr="0024650C">
              <w:rPr>
                <w:rFonts w:cs="Arial"/>
                <w:sz w:val="16"/>
                <w:szCs w:val="16"/>
                <w:vertAlign w:val="subscript"/>
              </w:rPr>
              <w:t>2</w:t>
            </w:r>
            <w:r w:rsidRPr="0024650C">
              <w:rPr>
                <w:rFonts w:cs="Arial"/>
                <w:sz w:val="16"/>
                <w:szCs w:val="16"/>
              </w:rPr>
              <w:t>)</w:t>
            </w:r>
          </w:p>
        </w:tc>
        <w:tc>
          <w:tcPr>
            <w:tcW w:w="1134" w:type="dxa"/>
            <w:shd w:val="clear" w:color="auto" w:fill="auto"/>
          </w:tcPr>
          <w:p w14:paraId="12233753"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1-hour</w:t>
            </w:r>
          </w:p>
          <w:p w14:paraId="6C0E37CD"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24-hour</w:t>
            </w:r>
          </w:p>
        </w:tc>
        <w:tc>
          <w:tcPr>
            <w:tcW w:w="1276" w:type="dxa"/>
            <w:shd w:val="clear" w:color="auto" w:fill="auto"/>
          </w:tcPr>
          <w:p w14:paraId="787FACB4" w14:textId="77777777" w:rsidR="003B60BD" w:rsidRPr="0024650C" w:rsidRDefault="003B60BD" w:rsidP="0024650C">
            <w:pPr>
              <w:pStyle w:val="Body"/>
              <w:spacing w:before="25" w:after="25" w:line="240" w:lineRule="auto"/>
              <w:jc w:val="center"/>
              <w:rPr>
                <w:rFonts w:cs="Arial"/>
                <w:sz w:val="16"/>
                <w:szCs w:val="16"/>
                <w:vertAlign w:val="superscript"/>
              </w:rPr>
            </w:pPr>
            <w:r w:rsidRPr="0024650C">
              <w:rPr>
                <w:rFonts w:cs="Arial"/>
                <w:sz w:val="16"/>
                <w:szCs w:val="16"/>
              </w:rPr>
              <w:t xml:space="preserve">200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551171B2"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2410" w:type="dxa"/>
            <w:shd w:val="clear" w:color="auto" w:fill="auto"/>
          </w:tcPr>
          <w:p w14:paraId="1943A0B1"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 xml:space="preserve">9 </w:t>
            </w:r>
          </w:p>
          <w:p w14:paraId="527876C6"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1842" w:type="dxa"/>
          </w:tcPr>
          <w:p w14:paraId="727166EA" w14:textId="77777777" w:rsidR="003B60BD" w:rsidRPr="0024650C" w:rsidRDefault="00AE5F06" w:rsidP="0024650C">
            <w:pPr>
              <w:pStyle w:val="Body"/>
              <w:spacing w:before="25" w:after="25" w:line="240" w:lineRule="auto"/>
              <w:jc w:val="center"/>
              <w:rPr>
                <w:rFonts w:cs="Arial"/>
                <w:sz w:val="16"/>
                <w:szCs w:val="16"/>
              </w:rPr>
            </w:pPr>
            <w:r w:rsidRPr="0024650C">
              <w:rPr>
                <w:rFonts w:cs="Arial"/>
                <w:sz w:val="16"/>
                <w:szCs w:val="16"/>
              </w:rPr>
              <w:t xml:space="preserve">200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038608D0" w14:textId="77777777" w:rsidR="003B60BD" w:rsidRPr="0024650C" w:rsidRDefault="003B60BD" w:rsidP="0024650C">
            <w:pPr>
              <w:pStyle w:val="Body"/>
              <w:spacing w:before="25" w:after="25" w:line="240" w:lineRule="auto"/>
              <w:jc w:val="center"/>
              <w:rPr>
                <w:rFonts w:cs="Arial"/>
                <w:b/>
                <w:sz w:val="16"/>
                <w:szCs w:val="16"/>
              </w:rPr>
            </w:pPr>
            <w:r w:rsidRPr="0024650C">
              <w:rPr>
                <w:rFonts w:cs="Arial"/>
                <w:b/>
                <w:sz w:val="16"/>
                <w:szCs w:val="16"/>
              </w:rPr>
              <w:t>100</w:t>
            </w:r>
            <w:r w:rsidRPr="0024650C">
              <w:rPr>
                <w:rFonts w:cs="Arial"/>
                <w:b/>
                <w:sz w:val="16"/>
                <w:szCs w:val="16"/>
                <w:vertAlign w:val="superscript"/>
              </w:rPr>
              <w:t xml:space="preserve"> </w:t>
            </w:r>
            <w:r w:rsidRPr="0024650C">
              <w:rPr>
                <w:rFonts w:ascii="Symbol" w:hAnsi="Symbol" w:cs="Arial"/>
                <w:b/>
                <w:sz w:val="16"/>
                <w:szCs w:val="16"/>
              </w:rPr>
              <w:t></w:t>
            </w:r>
            <w:r w:rsidRPr="0024650C">
              <w:rPr>
                <w:rFonts w:cs="Arial"/>
                <w:b/>
                <w:sz w:val="16"/>
                <w:szCs w:val="16"/>
              </w:rPr>
              <w:t>g.m</w:t>
            </w:r>
            <w:r w:rsidRPr="0024650C">
              <w:rPr>
                <w:rFonts w:cs="Arial"/>
                <w:b/>
                <w:sz w:val="16"/>
                <w:szCs w:val="16"/>
                <w:vertAlign w:val="superscript"/>
              </w:rPr>
              <w:t>-3</w:t>
            </w:r>
          </w:p>
        </w:tc>
      </w:tr>
      <w:tr w:rsidR="00AE5F06" w:rsidRPr="00AE5F06" w14:paraId="658C3D3B" w14:textId="77777777" w:rsidTr="0024650C">
        <w:tc>
          <w:tcPr>
            <w:tcW w:w="1952" w:type="dxa"/>
            <w:shd w:val="clear" w:color="auto" w:fill="auto"/>
          </w:tcPr>
          <w:p w14:paraId="2A3A3EF7" w14:textId="77777777" w:rsidR="003B60BD" w:rsidRPr="0024650C" w:rsidRDefault="003B60BD" w:rsidP="0024650C">
            <w:pPr>
              <w:pStyle w:val="Body"/>
              <w:spacing w:before="25" w:after="25" w:line="240" w:lineRule="auto"/>
              <w:rPr>
                <w:rFonts w:cs="Arial"/>
                <w:sz w:val="16"/>
                <w:szCs w:val="16"/>
              </w:rPr>
            </w:pPr>
            <w:r w:rsidRPr="0024650C">
              <w:rPr>
                <w:rFonts w:cs="Arial"/>
                <w:sz w:val="16"/>
                <w:szCs w:val="16"/>
              </w:rPr>
              <w:t>Ozone (O</w:t>
            </w:r>
            <w:r w:rsidRPr="0024650C">
              <w:rPr>
                <w:rFonts w:cs="Arial"/>
                <w:sz w:val="16"/>
                <w:szCs w:val="16"/>
                <w:vertAlign w:val="subscript"/>
              </w:rPr>
              <w:t>3</w:t>
            </w:r>
            <w:r w:rsidRPr="0024650C">
              <w:rPr>
                <w:rFonts w:cs="Arial"/>
                <w:sz w:val="16"/>
                <w:szCs w:val="16"/>
              </w:rPr>
              <w:t>)</w:t>
            </w:r>
          </w:p>
        </w:tc>
        <w:tc>
          <w:tcPr>
            <w:tcW w:w="1134" w:type="dxa"/>
            <w:shd w:val="clear" w:color="auto" w:fill="auto"/>
          </w:tcPr>
          <w:p w14:paraId="178E5B08"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1-hour</w:t>
            </w:r>
          </w:p>
          <w:p w14:paraId="4B46F874"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8-hour</w:t>
            </w:r>
          </w:p>
        </w:tc>
        <w:tc>
          <w:tcPr>
            <w:tcW w:w="1276" w:type="dxa"/>
            <w:shd w:val="clear" w:color="auto" w:fill="auto"/>
          </w:tcPr>
          <w:p w14:paraId="7CB65CF8"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150</w:t>
            </w:r>
            <w:r w:rsidR="00AE5F06" w:rsidRPr="0024650C">
              <w:rPr>
                <w:rFonts w:cs="Arial"/>
                <w:sz w:val="16"/>
                <w:szCs w:val="16"/>
              </w:rPr>
              <w:t xml:space="preserve"> </w:t>
            </w:r>
            <w:r w:rsidR="00AE5F06" w:rsidRPr="0024650C">
              <w:rPr>
                <w:rFonts w:ascii="Symbol" w:hAnsi="Symbol" w:cs="Arial"/>
                <w:sz w:val="16"/>
                <w:szCs w:val="16"/>
              </w:rPr>
              <w:t></w:t>
            </w:r>
            <w:r w:rsidR="00AE5F06" w:rsidRPr="0024650C">
              <w:rPr>
                <w:rFonts w:cs="Arial"/>
                <w:sz w:val="16"/>
                <w:szCs w:val="16"/>
              </w:rPr>
              <w:t>g.m</w:t>
            </w:r>
            <w:r w:rsidR="00AE5F06" w:rsidRPr="0024650C">
              <w:rPr>
                <w:rFonts w:cs="Arial"/>
                <w:sz w:val="16"/>
                <w:szCs w:val="16"/>
                <w:vertAlign w:val="superscript"/>
              </w:rPr>
              <w:t>-3</w:t>
            </w:r>
          </w:p>
          <w:p w14:paraId="7B198655"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2410" w:type="dxa"/>
            <w:shd w:val="clear" w:color="auto" w:fill="auto"/>
          </w:tcPr>
          <w:p w14:paraId="1D436EFB"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0</w:t>
            </w:r>
          </w:p>
          <w:p w14:paraId="3F054FA7"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1842" w:type="dxa"/>
          </w:tcPr>
          <w:p w14:paraId="49CD838C" w14:textId="77777777" w:rsidR="00AE5F06" w:rsidRPr="0024650C" w:rsidRDefault="00AE5F06" w:rsidP="0024650C">
            <w:pPr>
              <w:pStyle w:val="Body"/>
              <w:spacing w:before="25" w:after="25" w:line="240" w:lineRule="auto"/>
              <w:jc w:val="center"/>
              <w:rPr>
                <w:rFonts w:cs="Arial"/>
                <w:sz w:val="16"/>
                <w:szCs w:val="16"/>
              </w:rPr>
            </w:pPr>
            <w:r w:rsidRPr="0024650C">
              <w:rPr>
                <w:rFonts w:cs="Arial"/>
                <w:sz w:val="16"/>
                <w:szCs w:val="16"/>
              </w:rPr>
              <w:t xml:space="preserve">150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6C3C6F71" w14:textId="77777777" w:rsidR="003B60BD" w:rsidRPr="0024650C" w:rsidRDefault="00AE5F06" w:rsidP="0024650C">
            <w:pPr>
              <w:pStyle w:val="Body"/>
              <w:spacing w:before="25" w:after="25" w:line="240" w:lineRule="auto"/>
              <w:jc w:val="center"/>
              <w:rPr>
                <w:rFonts w:cs="Arial"/>
                <w:b/>
                <w:sz w:val="16"/>
                <w:szCs w:val="16"/>
              </w:rPr>
            </w:pPr>
            <w:r w:rsidRPr="0024650C">
              <w:rPr>
                <w:rFonts w:cs="Arial"/>
                <w:b/>
                <w:sz w:val="16"/>
                <w:szCs w:val="16"/>
              </w:rPr>
              <w:t xml:space="preserve">100 </w:t>
            </w:r>
            <w:r w:rsidRPr="0024650C">
              <w:rPr>
                <w:rFonts w:ascii="Symbol" w:hAnsi="Symbol" w:cs="Arial"/>
                <w:b/>
                <w:sz w:val="16"/>
                <w:szCs w:val="16"/>
              </w:rPr>
              <w:t></w:t>
            </w:r>
            <w:r w:rsidRPr="0024650C">
              <w:rPr>
                <w:rFonts w:cs="Arial"/>
                <w:b/>
                <w:sz w:val="16"/>
                <w:szCs w:val="16"/>
              </w:rPr>
              <w:t>g.m</w:t>
            </w:r>
            <w:r w:rsidRPr="0024650C">
              <w:rPr>
                <w:rFonts w:cs="Arial"/>
                <w:b/>
                <w:sz w:val="16"/>
                <w:szCs w:val="16"/>
                <w:vertAlign w:val="superscript"/>
              </w:rPr>
              <w:t>-3</w:t>
            </w:r>
          </w:p>
        </w:tc>
      </w:tr>
      <w:tr w:rsidR="00AE5F06" w:rsidRPr="00AE5F06" w14:paraId="097081FA" w14:textId="77777777" w:rsidTr="0024650C">
        <w:tc>
          <w:tcPr>
            <w:tcW w:w="1952" w:type="dxa"/>
            <w:tcBorders>
              <w:bottom w:val="single" w:sz="4" w:space="0" w:color="auto"/>
            </w:tcBorders>
            <w:shd w:val="clear" w:color="auto" w:fill="auto"/>
          </w:tcPr>
          <w:p w14:paraId="5015F1F3" w14:textId="77777777" w:rsidR="003B60BD" w:rsidRPr="0024650C" w:rsidRDefault="00AE5F06" w:rsidP="0024650C">
            <w:pPr>
              <w:pStyle w:val="Body"/>
              <w:spacing w:before="25" w:after="25" w:line="240" w:lineRule="auto"/>
              <w:rPr>
                <w:rFonts w:cs="Arial"/>
                <w:sz w:val="16"/>
                <w:szCs w:val="16"/>
              </w:rPr>
            </w:pPr>
            <w:r w:rsidRPr="0024650C">
              <w:rPr>
                <w:rFonts w:cs="Arial"/>
                <w:sz w:val="16"/>
                <w:szCs w:val="16"/>
              </w:rPr>
              <w:t>Sulphur Dioxide (</w:t>
            </w:r>
            <w:r w:rsidR="003B60BD" w:rsidRPr="0024650C">
              <w:rPr>
                <w:rFonts w:cs="Arial"/>
                <w:sz w:val="16"/>
                <w:szCs w:val="16"/>
              </w:rPr>
              <w:t>SO</w:t>
            </w:r>
            <w:r w:rsidR="003B60BD" w:rsidRPr="0024650C">
              <w:rPr>
                <w:rFonts w:cs="Arial"/>
                <w:sz w:val="16"/>
                <w:szCs w:val="16"/>
                <w:vertAlign w:val="subscript"/>
              </w:rPr>
              <w:t>2</w:t>
            </w:r>
            <w:r w:rsidRPr="0024650C">
              <w:rPr>
                <w:rFonts w:cs="Arial"/>
                <w:sz w:val="16"/>
                <w:szCs w:val="16"/>
              </w:rPr>
              <w:t>)</w:t>
            </w:r>
          </w:p>
        </w:tc>
        <w:tc>
          <w:tcPr>
            <w:tcW w:w="1134" w:type="dxa"/>
            <w:tcBorders>
              <w:bottom w:val="single" w:sz="4" w:space="0" w:color="auto"/>
            </w:tcBorders>
            <w:shd w:val="clear" w:color="auto" w:fill="auto"/>
          </w:tcPr>
          <w:p w14:paraId="74EFD83B" w14:textId="77777777" w:rsidR="003B60BD" w:rsidRPr="0024650C" w:rsidRDefault="003B60BD" w:rsidP="0024650C">
            <w:pPr>
              <w:pStyle w:val="Body"/>
              <w:spacing w:before="25" w:after="25" w:line="240" w:lineRule="auto"/>
              <w:jc w:val="center"/>
              <w:rPr>
                <w:rFonts w:cs="Arial"/>
                <w:sz w:val="16"/>
                <w:szCs w:val="16"/>
              </w:rPr>
            </w:pPr>
            <w:r w:rsidRPr="0024650C">
              <w:rPr>
                <w:rFonts w:cs="Arial"/>
                <w:sz w:val="16"/>
                <w:szCs w:val="16"/>
              </w:rPr>
              <w:t>1-hour</w:t>
            </w:r>
          </w:p>
          <w:p w14:paraId="30475149" w14:textId="77777777" w:rsidR="00AE5F06" w:rsidRPr="0024650C" w:rsidRDefault="003B60BD" w:rsidP="0024650C">
            <w:pPr>
              <w:pStyle w:val="Body"/>
              <w:spacing w:before="25" w:after="25" w:line="240" w:lineRule="auto"/>
              <w:jc w:val="center"/>
              <w:rPr>
                <w:rFonts w:cs="Arial"/>
                <w:sz w:val="16"/>
                <w:szCs w:val="16"/>
              </w:rPr>
            </w:pPr>
            <w:r w:rsidRPr="0024650C">
              <w:rPr>
                <w:rFonts w:cs="Arial"/>
                <w:sz w:val="16"/>
                <w:szCs w:val="16"/>
              </w:rPr>
              <w:t>1-hour</w:t>
            </w:r>
          </w:p>
          <w:p w14:paraId="3B062F1E" w14:textId="77777777" w:rsidR="003B60BD" w:rsidRPr="0024650C" w:rsidRDefault="00AE5F06" w:rsidP="0024650C">
            <w:pPr>
              <w:pStyle w:val="Body"/>
              <w:spacing w:before="25" w:after="25" w:line="240" w:lineRule="auto"/>
              <w:jc w:val="center"/>
              <w:rPr>
                <w:rFonts w:cs="Arial"/>
                <w:sz w:val="16"/>
                <w:szCs w:val="16"/>
              </w:rPr>
            </w:pPr>
            <w:r w:rsidRPr="0024650C">
              <w:rPr>
                <w:rFonts w:cs="Arial"/>
                <w:sz w:val="16"/>
                <w:szCs w:val="16"/>
              </w:rPr>
              <w:t>24-hour</w:t>
            </w:r>
          </w:p>
        </w:tc>
        <w:tc>
          <w:tcPr>
            <w:tcW w:w="1276" w:type="dxa"/>
            <w:tcBorders>
              <w:bottom w:val="single" w:sz="4" w:space="0" w:color="auto"/>
            </w:tcBorders>
            <w:shd w:val="clear" w:color="auto" w:fill="auto"/>
          </w:tcPr>
          <w:p w14:paraId="774A6451" w14:textId="77777777" w:rsidR="00AE5F06" w:rsidRPr="0024650C" w:rsidRDefault="003B60BD" w:rsidP="0024650C">
            <w:pPr>
              <w:pStyle w:val="Body"/>
              <w:spacing w:before="25" w:after="25" w:line="240" w:lineRule="auto"/>
              <w:jc w:val="center"/>
              <w:rPr>
                <w:rFonts w:cs="Arial"/>
                <w:sz w:val="16"/>
                <w:szCs w:val="16"/>
              </w:rPr>
            </w:pPr>
            <w:r w:rsidRPr="0024650C">
              <w:rPr>
                <w:rFonts w:cs="Arial"/>
                <w:sz w:val="16"/>
                <w:szCs w:val="16"/>
              </w:rPr>
              <w:t>350</w:t>
            </w:r>
            <w:r w:rsidR="00AE5F06" w:rsidRPr="0024650C">
              <w:rPr>
                <w:rFonts w:cs="Arial"/>
                <w:sz w:val="16"/>
                <w:szCs w:val="16"/>
              </w:rPr>
              <w:t xml:space="preserve"> </w:t>
            </w:r>
            <w:r w:rsidR="00AE5F06" w:rsidRPr="0024650C">
              <w:rPr>
                <w:rFonts w:ascii="Symbol" w:hAnsi="Symbol" w:cs="Arial"/>
                <w:sz w:val="16"/>
                <w:szCs w:val="16"/>
              </w:rPr>
              <w:t></w:t>
            </w:r>
            <w:r w:rsidR="00AE5F06" w:rsidRPr="0024650C">
              <w:rPr>
                <w:rFonts w:cs="Arial"/>
                <w:sz w:val="16"/>
                <w:szCs w:val="16"/>
              </w:rPr>
              <w:t>g.m</w:t>
            </w:r>
            <w:r w:rsidR="00AE5F06" w:rsidRPr="0024650C">
              <w:rPr>
                <w:rFonts w:cs="Arial"/>
                <w:sz w:val="16"/>
                <w:szCs w:val="16"/>
                <w:vertAlign w:val="superscript"/>
              </w:rPr>
              <w:t>-3</w:t>
            </w:r>
          </w:p>
          <w:p w14:paraId="7BF77022" w14:textId="77777777" w:rsidR="003B60BD" w:rsidRPr="0024650C" w:rsidRDefault="00AE5F06" w:rsidP="0024650C">
            <w:pPr>
              <w:pStyle w:val="Body"/>
              <w:spacing w:before="25" w:after="25" w:line="240" w:lineRule="auto"/>
              <w:jc w:val="center"/>
              <w:rPr>
                <w:rFonts w:cs="Arial"/>
                <w:sz w:val="16"/>
                <w:szCs w:val="16"/>
                <w:vertAlign w:val="superscript"/>
              </w:rPr>
            </w:pPr>
            <w:r w:rsidRPr="0024650C">
              <w:rPr>
                <w:rFonts w:cs="Arial"/>
                <w:sz w:val="16"/>
                <w:szCs w:val="16"/>
              </w:rPr>
              <w:t xml:space="preserve">570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 xml:space="preserve">-3 </w:t>
            </w:r>
          </w:p>
          <w:p w14:paraId="5E95BA2B"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2410" w:type="dxa"/>
            <w:tcBorders>
              <w:bottom w:val="single" w:sz="4" w:space="0" w:color="auto"/>
            </w:tcBorders>
            <w:shd w:val="clear" w:color="auto" w:fill="auto"/>
          </w:tcPr>
          <w:p w14:paraId="3113DA2A"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9</w:t>
            </w:r>
          </w:p>
          <w:p w14:paraId="61A54F3A" w14:textId="77777777" w:rsidR="003B60BD" w:rsidRPr="0024650C" w:rsidRDefault="00A21F15" w:rsidP="0024650C">
            <w:pPr>
              <w:pStyle w:val="Body"/>
              <w:spacing w:before="25" w:after="25" w:line="240" w:lineRule="auto"/>
              <w:jc w:val="center"/>
              <w:rPr>
                <w:rFonts w:cs="Arial"/>
                <w:sz w:val="16"/>
                <w:szCs w:val="16"/>
              </w:rPr>
            </w:pPr>
            <w:r w:rsidRPr="0024650C">
              <w:rPr>
                <w:rFonts w:cs="Arial"/>
                <w:sz w:val="16"/>
                <w:szCs w:val="16"/>
              </w:rPr>
              <w:t>0</w:t>
            </w:r>
          </w:p>
          <w:p w14:paraId="1DDD5956" w14:textId="77777777" w:rsidR="00A21F15" w:rsidRPr="0024650C" w:rsidRDefault="00A21F15" w:rsidP="0024650C">
            <w:pPr>
              <w:pStyle w:val="Body"/>
              <w:spacing w:before="25" w:after="25" w:line="240" w:lineRule="auto"/>
              <w:jc w:val="center"/>
              <w:rPr>
                <w:rFonts w:cs="Arial"/>
                <w:sz w:val="16"/>
                <w:szCs w:val="16"/>
              </w:rPr>
            </w:pPr>
            <w:r w:rsidRPr="0024650C">
              <w:rPr>
                <w:rFonts w:cs="Arial"/>
                <w:sz w:val="16"/>
                <w:szCs w:val="16"/>
              </w:rPr>
              <w:t>-</w:t>
            </w:r>
          </w:p>
        </w:tc>
        <w:tc>
          <w:tcPr>
            <w:tcW w:w="1842" w:type="dxa"/>
            <w:tcBorders>
              <w:bottom w:val="single" w:sz="4" w:space="0" w:color="auto"/>
            </w:tcBorders>
          </w:tcPr>
          <w:p w14:paraId="4FB8F5FC" w14:textId="77777777" w:rsidR="00AE5F06" w:rsidRPr="0024650C" w:rsidRDefault="00AE5F06" w:rsidP="0024650C">
            <w:pPr>
              <w:pStyle w:val="Body"/>
              <w:spacing w:before="25" w:after="25" w:line="240" w:lineRule="auto"/>
              <w:jc w:val="center"/>
              <w:rPr>
                <w:rFonts w:cs="Arial"/>
                <w:sz w:val="16"/>
                <w:szCs w:val="16"/>
              </w:rPr>
            </w:pPr>
            <w:r w:rsidRPr="0024650C">
              <w:rPr>
                <w:rFonts w:cs="Arial"/>
                <w:sz w:val="16"/>
                <w:szCs w:val="16"/>
              </w:rPr>
              <w:t xml:space="preserve">350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05C191CD" w14:textId="77777777" w:rsidR="003B60BD" w:rsidRPr="0024650C" w:rsidRDefault="00AE5F06" w:rsidP="0024650C">
            <w:pPr>
              <w:pStyle w:val="Body"/>
              <w:spacing w:before="25" w:after="25" w:line="240" w:lineRule="auto"/>
              <w:jc w:val="center"/>
              <w:rPr>
                <w:rFonts w:cs="Arial"/>
                <w:sz w:val="16"/>
                <w:szCs w:val="16"/>
                <w:vertAlign w:val="superscript"/>
              </w:rPr>
            </w:pPr>
            <w:r w:rsidRPr="0024650C">
              <w:rPr>
                <w:rFonts w:cs="Arial"/>
                <w:sz w:val="16"/>
                <w:szCs w:val="16"/>
              </w:rPr>
              <w:t xml:space="preserve">570 </w:t>
            </w:r>
            <w:r w:rsidRPr="0024650C">
              <w:rPr>
                <w:rFonts w:ascii="Symbol" w:hAnsi="Symbol" w:cs="Arial"/>
                <w:sz w:val="16"/>
                <w:szCs w:val="16"/>
              </w:rPr>
              <w:t></w:t>
            </w:r>
            <w:r w:rsidRPr="0024650C">
              <w:rPr>
                <w:rFonts w:cs="Arial"/>
                <w:sz w:val="16"/>
                <w:szCs w:val="16"/>
              </w:rPr>
              <w:t>g.m</w:t>
            </w:r>
            <w:r w:rsidRPr="0024650C">
              <w:rPr>
                <w:rFonts w:cs="Arial"/>
                <w:sz w:val="16"/>
                <w:szCs w:val="16"/>
                <w:vertAlign w:val="superscript"/>
              </w:rPr>
              <w:t>-3</w:t>
            </w:r>
          </w:p>
          <w:p w14:paraId="6E03235C" w14:textId="77777777" w:rsidR="00AE5F06" w:rsidRPr="0024650C" w:rsidRDefault="00AE5F06" w:rsidP="0024650C">
            <w:pPr>
              <w:pStyle w:val="Body"/>
              <w:spacing w:before="25" w:after="25" w:line="240" w:lineRule="auto"/>
              <w:jc w:val="center"/>
              <w:rPr>
                <w:rFonts w:cs="Arial"/>
                <w:b/>
                <w:sz w:val="16"/>
                <w:szCs w:val="16"/>
              </w:rPr>
            </w:pPr>
            <w:r w:rsidRPr="0024650C">
              <w:rPr>
                <w:rFonts w:cs="Arial"/>
                <w:b/>
                <w:sz w:val="16"/>
                <w:szCs w:val="16"/>
              </w:rPr>
              <w:t xml:space="preserve">120 </w:t>
            </w:r>
            <w:r w:rsidRPr="0024650C">
              <w:rPr>
                <w:rFonts w:ascii="Symbol" w:hAnsi="Symbol" w:cs="Arial"/>
                <w:b/>
                <w:sz w:val="16"/>
                <w:szCs w:val="16"/>
              </w:rPr>
              <w:t></w:t>
            </w:r>
            <w:r w:rsidRPr="0024650C">
              <w:rPr>
                <w:rFonts w:cs="Arial"/>
                <w:b/>
                <w:sz w:val="16"/>
                <w:szCs w:val="16"/>
              </w:rPr>
              <w:t>g.m</w:t>
            </w:r>
            <w:r w:rsidRPr="0024650C">
              <w:rPr>
                <w:rFonts w:cs="Arial"/>
                <w:b/>
                <w:sz w:val="16"/>
                <w:szCs w:val="16"/>
                <w:vertAlign w:val="superscript"/>
              </w:rPr>
              <w:t>-3</w:t>
            </w:r>
          </w:p>
        </w:tc>
      </w:tr>
    </w:tbl>
    <w:p w14:paraId="3C37098B" w14:textId="77777777" w:rsidR="00D01251" w:rsidRDefault="00D01251" w:rsidP="00D01251"/>
    <w:p w14:paraId="2675FC67" w14:textId="77777777" w:rsidR="00D01251" w:rsidRDefault="00D01251" w:rsidP="00D01251">
      <w:r>
        <w:t xml:space="preserve">Where air pollution levels </w:t>
      </w:r>
      <w:r w:rsidR="00A02F1E">
        <w:t>exceed</w:t>
      </w:r>
      <w:r>
        <w:t xml:space="preserve"> guideline values, emission reduction strategies should be imple</w:t>
      </w:r>
      <w:r w:rsidR="003C67B8">
        <w:t xml:space="preserve">mented to improve air quality. </w:t>
      </w:r>
      <w:r>
        <w:t xml:space="preserve">Where levels do not </w:t>
      </w:r>
      <w:r w:rsidR="00A02F1E">
        <w:t>exceed</w:t>
      </w:r>
      <w:r>
        <w:t xml:space="preserve"> the values, efforts should be made to maintain</w:t>
      </w:r>
      <w:r w:rsidR="000D4E46">
        <w:t xml:space="preserve"> air quality and,</w:t>
      </w:r>
      <w:r w:rsidR="003C67B8">
        <w:t xml:space="preserve"> if possible, reduce emissions.</w:t>
      </w:r>
      <w:r w:rsidR="000D4E46">
        <w:t xml:space="preserve"> These recommendations still apply to pollutants not included within the ambient standards.</w:t>
      </w:r>
    </w:p>
    <w:p w14:paraId="1760CC45" w14:textId="77777777" w:rsidR="000D4E46" w:rsidRDefault="000D4E46" w:rsidP="00D01251"/>
    <w:p w14:paraId="7789262A" w14:textId="77777777" w:rsidR="000D4E46" w:rsidRDefault="000D4E46" w:rsidP="000D4E46">
      <w:pPr>
        <w:pStyle w:val="BodyText"/>
      </w:pPr>
      <w:r w:rsidRPr="00395666">
        <w:t xml:space="preserve">In addition to setting quantitative guidelines, the </w:t>
      </w:r>
      <w:r w:rsidRPr="00EB6BC8">
        <w:t xml:space="preserve">Ambient Air Quality Guidelines </w:t>
      </w:r>
      <w:r w:rsidRPr="00395666">
        <w:t xml:space="preserve">outline good practice guidance on the amount and location of monitoring, evaluating </w:t>
      </w:r>
      <w:r w:rsidR="003C67B8">
        <w:t>reduction strategies and so on.</w:t>
      </w:r>
      <w:r w:rsidRPr="00395666">
        <w:t xml:space="preserve"> This guidance is still valid but it has been expanded with the introduction of the ambient standards. </w:t>
      </w:r>
    </w:p>
    <w:p w14:paraId="638A14D0" w14:textId="77777777" w:rsidR="00E92E1D" w:rsidRDefault="00E92E1D" w:rsidP="00E92E1D">
      <w:pPr>
        <w:pStyle w:val="Heading3"/>
      </w:pPr>
      <w:r>
        <w:t>3.3.3</w:t>
      </w:r>
      <w:r>
        <w:tab/>
        <w:t>What about other documents?</w:t>
      </w:r>
    </w:p>
    <w:p w14:paraId="434D5DA2" w14:textId="77777777" w:rsidR="000B20A8" w:rsidRDefault="000B20A8" w:rsidP="000B20A8">
      <w:r w:rsidRPr="000B20A8">
        <w:t xml:space="preserve">The ambient standards provide </w:t>
      </w:r>
      <w:r w:rsidR="000D4355">
        <w:t xml:space="preserve">a mandatory </w:t>
      </w:r>
      <w:r w:rsidRPr="000B20A8">
        <w:t xml:space="preserve">baseline </w:t>
      </w:r>
      <w:r w:rsidR="000D4355">
        <w:t>for</w:t>
      </w:r>
      <w:r w:rsidRPr="000B20A8">
        <w:t xml:space="preserve"> air quality protection for all New Zealanders.  They override any </w:t>
      </w:r>
      <w:r w:rsidRPr="004E53A1">
        <w:rPr>
          <w:i/>
        </w:rPr>
        <w:t>less stringent</w:t>
      </w:r>
      <w:r w:rsidRPr="000B20A8">
        <w:t xml:space="preserve"> requirements in </w:t>
      </w:r>
      <w:r>
        <w:t xml:space="preserve">other documents including regional </w:t>
      </w:r>
      <w:r w:rsidRPr="000B20A8">
        <w:t>plans</w:t>
      </w:r>
      <w:r>
        <w:t xml:space="preserve"> and other Ministry Good Practice Guides</w:t>
      </w:r>
      <w:r w:rsidR="001B06A7">
        <w:t xml:space="preserve"> (GPGs)</w:t>
      </w:r>
      <w:r w:rsidR="003C67B8">
        <w:t xml:space="preserve">. </w:t>
      </w:r>
      <w:r>
        <w:t xml:space="preserve">However, </w:t>
      </w:r>
      <w:r w:rsidR="001B06A7">
        <w:t>in the interests of protecting public health</w:t>
      </w:r>
      <w:r w:rsidR="00B93BC5">
        <w:t>, c</w:t>
      </w:r>
      <w:r w:rsidR="000D4355">
        <w:t>ouncils may wish to make more stringent provisions in regional plans or apply more stringent criteria to resource consent applications, based on other research, guidelines or publications</w:t>
      </w:r>
      <w:r w:rsidR="003C67B8">
        <w:t>.</w:t>
      </w:r>
    </w:p>
    <w:p w14:paraId="0A0DE32D" w14:textId="77777777" w:rsidR="00395666" w:rsidRPr="000B20A8" w:rsidRDefault="00D01251" w:rsidP="000D4355">
      <w:pPr>
        <w:pStyle w:val="Heading5"/>
      </w:pPr>
      <w:r w:rsidRPr="000B20A8">
        <w:t xml:space="preserve">Regional </w:t>
      </w:r>
      <w:r w:rsidR="00891AA0">
        <w:t>p</w:t>
      </w:r>
      <w:r w:rsidRPr="000B20A8">
        <w:t>lans</w:t>
      </w:r>
    </w:p>
    <w:p w14:paraId="51D0E839" w14:textId="77777777" w:rsidR="001242B5" w:rsidRDefault="001242B5" w:rsidP="000D4355">
      <w:pPr>
        <w:pStyle w:val="BodyText"/>
        <w:rPr>
          <w:lang w:val="en-US"/>
        </w:rPr>
      </w:pPr>
      <w:r>
        <w:t xml:space="preserve">Regulation 28 allows for a regional plan that has more stringent rules than the </w:t>
      </w:r>
      <w:r w:rsidR="004E53A1">
        <w:t xml:space="preserve">Regulations </w:t>
      </w:r>
      <w:r>
        <w:t>to prevail.</w:t>
      </w:r>
      <w:r>
        <w:rPr>
          <w:lang w:val="en-US"/>
        </w:rPr>
        <w:t xml:space="preserve"> That is, lower concentration levels or different averaging times that are given in regional plans </w:t>
      </w:r>
      <w:r w:rsidR="000D4355">
        <w:rPr>
          <w:lang w:val="en-US"/>
        </w:rPr>
        <w:t>will</w:t>
      </w:r>
      <w:r>
        <w:rPr>
          <w:lang w:val="en-US"/>
        </w:rPr>
        <w:t xml:space="preserve"> apply.</w:t>
      </w:r>
      <w:r w:rsidR="003C67B8">
        <w:rPr>
          <w:lang w:val="en-US"/>
        </w:rPr>
        <w:t xml:space="preserve"> </w:t>
      </w:r>
      <w:r w:rsidR="004479E9">
        <w:rPr>
          <w:lang w:val="en-US"/>
        </w:rPr>
        <w:t xml:space="preserve">Several regional councils (eg, Auckland Council, </w:t>
      </w:r>
      <w:r w:rsidR="0094568A">
        <w:rPr>
          <w:lang w:val="en-US"/>
        </w:rPr>
        <w:t xml:space="preserve">Otago Regional Council, and </w:t>
      </w:r>
      <w:r w:rsidR="004479E9" w:rsidRPr="0094568A">
        <w:rPr>
          <w:lang w:val="en-US"/>
        </w:rPr>
        <w:t>Great</w:t>
      </w:r>
      <w:r w:rsidR="0094568A" w:rsidRPr="0094568A">
        <w:rPr>
          <w:lang w:val="en-US"/>
        </w:rPr>
        <w:t>er Wellington</w:t>
      </w:r>
      <w:r w:rsidR="004479E9">
        <w:rPr>
          <w:lang w:val="en-US"/>
        </w:rPr>
        <w:t xml:space="preserve">) have </w:t>
      </w:r>
      <w:r w:rsidR="004E53A1">
        <w:rPr>
          <w:lang w:val="en-US"/>
        </w:rPr>
        <w:t>more stringent regional requirements for ambient pollutants.</w:t>
      </w:r>
    </w:p>
    <w:p w14:paraId="5669B95C" w14:textId="77777777" w:rsidR="006869D2" w:rsidRDefault="006869D2" w:rsidP="001242B5">
      <w:pPr>
        <w:pStyle w:val="BodyText"/>
        <w:ind w:left="567"/>
        <w:rPr>
          <w:b/>
        </w:rPr>
      </w:pPr>
    </w:p>
    <w:p w14:paraId="30F8D26B" w14:textId="77777777" w:rsidR="001242B5" w:rsidRPr="009726BB" w:rsidRDefault="001242B5" w:rsidP="009726BB">
      <w:pPr>
        <w:pStyle w:val="BodyText"/>
        <w:shd w:val="clear" w:color="auto" w:fill="D9D9D9"/>
      </w:pPr>
      <w:r w:rsidRPr="009726BB">
        <w:t xml:space="preserve">Guideline levels in regional plans for pollutants (and averaging periods) if more stringent, or not covered by, the </w:t>
      </w:r>
      <w:r w:rsidR="003C67B8">
        <w:t>ambient standards still apply.</w:t>
      </w:r>
    </w:p>
    <w:p w14:paraId="54AD1E19" w14:textId="77777777" w:rsidR="001242B5" w:rsidRDefault="001242B5" w:rsidP="001242B5">
      <w:r>
        <w:t xml:space="preserve">As a result of the 2009 amendments to the RMA, section 44A(5) of the RMA requires that regional councils </w:t>
      </w:r>
      <w:r w:rsidRPr="0007677F">
        <w:rPr>
          <w:b/>
        </w:rPr>
        <w:t>must</w:t>
      </w:r>
      <w:r>
        <w:t xml:space="preserve"> remove regional plan rules that are more lenient than</w:t>
      </w:r>
      <w:r w:rsidR="004E53A1">
        <w:t>, or are in conflict with,</w:t>
      </w:r>
      <w:r>
        <w:t xml:space="preserve"> the national environmental standards for air quality</w:t>
      </w:r>
      <w:r w:rsidR="004479E9">
        <w:t xml:space="preserve"> (ie, guideline levels more lenient than the ambient standards must be removed)</w:t>
      </w:r>
      <w:r w:rsidR="003C67B8">
        <w:t>.</w:t>
      </w:r>
      <w:r>
        <w:t xml:space="preserve"> Removal </w:t>
      </w:r>
      <w:r w:rsidRPr="000B1105">
        <w:t>may</w:t>
      </w:r>
      <w:r>
        <w:t xml:space="preserve"> be carried out without using </w:t>
      </w:r>
      <w:r w:rsidR="00826C79">
        <w:t xml:space="preserve">the </w:t>
      </w:r>
      <w:r w:rsidR="00AF7BE9">
        <w:t>detailed</w:t>
      </w:r>
      <w:r w:rsidR="00826C79">
        <w:t xml:space="preserve"> processes for plan changes </w:t>
      </w:r>
      <w:r w:rsidR="00AF7BE9">
        <w:t>normally required by</w:t>
      </w:r>
      <w:r w:rsidR="00826C79">
        <w:t xml:space="preserve"> Schedule 1 of the RMA</w:t>
      </w:r>
      <w:r>
        <w:t xml:space="preserve"> and must be done as soon as practicable.</w:t>
      </w:r>
    </w:p>
    <w:p w14:paraId="10688D03" w14:textId="77777777" w:rsidR="00D01251" w:rsidRPr="000B20A8" w:rsidRDefault="000D4E46" w:rsidP="000D4E46">
      <w:pPr>
        <w:pStyle w:val="Heading5"/>
      </w:pPr>
      <w:r w:rsidRPr="000B20A8">
        <w:t xml:space="preserve">Review of </w:t>
      </w:r>
      <w:r w:rsidR="009726BB" w:rsidRPr="000B20A8">
        <w:t xml:space="preserve">ambient </w:t>
      </w:r>
      <w:r w:rsidRPr="000B20A8">
        <w:t>standards</w:t>
      </w:r>
    </w:p>
    <w:p w14:paraId="15F65D19" w14:textId="77777777" w:rsidR="004479E9" w:rsidRDefault="004479E9" w:rsidP="004479E9">
      <w:pPr>
        <w:pStyle w:val="BodyText"/>
      </w:pPr>
      <w:r>
        <w:t>During the review of the PM</w:t>
      </w:r>
      <w:r w:rsidRPr="005B6503">
        <w:rPr>
          <w:vertAlign w:val="subscript"/>
        </w:rPr>
        <w:t>10</w:t>
      </w:r>
      <w:r>
        <w:t xml:space="preserve"> </w:t>
      </w:r>
      <w:r w:rsidR="00D752E1">
        <w:t>Regulation</w:t>
      </w:r>
      <w:r>
        <w:t>s in 2009 and 2010, the Technical Advisory Group and various submitters requested</w:t>
      </w:r>
      <w:r w:rsidR="004E53A1">
        <w:t xml:space="preserve"> consideration of</w:t>
      </w:r>
      <w:r>
        <w:t xml:space="preserve"> </w:t>
      </w:r>
      <w:r w:rsidRPr="00765A9C">
        <w:rPr>
          <w:b/>
        </w:rPr>
        <w:t>additional ambient standards</w:t>
      </w:r>
      <w:r>
        <w:t>. The principal requests were to</w:t>
      </w:r>
      <w:r w:rsidR="004E53A1">
        <w:t xml:space="preserve"> consider</w:t>
      </w:r>
      <w:r>
        <w:t>:</w:t>
      </w:r>
    </w:p>
    <w:p w14:paraId="275E339E" w14:textId="77777777" w:rsidR="004479E9" w:rsidRDefault="004479E9" w:rsidP="00152DF6">
      <w:pPr>
        <w:pStyle w:val="Bullet"/>
        <w:numPr>
          <w:ilvl w:val="0"/>
          <w:numId w:val="9"/>
        </w:numPr>
      </w:pPr>
      <w:r>
        <w:t>an annual average standard for PM</w:t>
      </w:r>
      <w:r w:rsidRPr="004479E9">
        <w:rPr>
          <w:vertAlign w:val="subscript"/>
        </w:rPr>
        <w:t>10</w:t>
      </w:r>
      <w:r>
        <w:t xml:space="preserve"> to reflect long-term health effects</w:t>
      </w:r>
    </w:p>
    <w:p w14:paraId="63EEFC54" w14:textId="77777777" w:rsidR="004479E9" w:rsidRDefault="004479E9" w:rsidP="00152DF6">
      <w:pPr>
        <w:pStyle w:val="Bullet"/>
        <w:numPr>
          <w:ilvl w:val="0"/>
          <w:numId w:val="9"/>
        </w:numPr>
      </w:pPr>
      <w:r>
        <w:t>ambient standards for PM</w:t>
      </w:r>
      <w:r w:rsidRPr="004479E9">
        <w:rPr>
          <w:vertAlign w:val="subscript"/>
        </w:rPr>
        <w:t>2.5</w:t>
      </w:r>
      <w:r w:rsidRPr="00765A9C">
        <w:t xml:space="preserve"> (which </w:t>
      </w:r>
      <w:r w:rsidR="004E53A1">
        <w:t>has stronger associations with adverse health effects and less natural sou</w:t>
      </w:r>
      <w:r w:rsidR="00C97574">
        <w:t>r</w:t>
      </w:r>
      <w:r w:rsidR="004E53A1">
        <w:t>ces</w:t>
      </w:r>
      <w:r w:rsidRPr="00765A9C">
        <w:t xml:space="preserve"> than PM</w:t>
      </w:r>
      <w:r w:rsidRPr="004479E9">
        <w:rPr>
          <w:vertAlign w:val="subscript"/>
        </w:rPr>
        <w:t>10</w:t>
      </w:r>
      <w:r w:rsidR="006F6185">
        <w:rPr>
          <w:rStyle w:val="FootnoteReference"/>
        </w:rPr>
        <w:footnoteReference w:id="7"/>
      </w:r>
      <w:r w:rsidRPr="00765A9C">
        <w:t>)</w:t>
      </w:r>
      <w:r>
        <w:t>.</w:t>
      </w:r>
    </w:p>
    <w:p w14:paraId="62530ABD" w14:textId="77777777" w:rsidR="004479E9" w:rsidRDefault="004479E9" w:rsidP="00E92E1D">
      <w:pPr>
        <w:pStyle w:val="BodyText"/>
        <w:rPr>
          <w:highlight w:val="yellow"/>
        </w:rPr>
      </w:pPr>
    </w:p>
    <w:p w14:paraId="26CFE7E7" w14:textId="77777777" w:rsidR="00106FD0" w:rsidRDefault="004E53A1" w:rsidP="00E92E1D">
      <w:pPr>
        <w:pStyle w:val="BodyText"/>
      </w:pPr>
      <w:r>
        <w:t>The Minister for the Environment signalled</w:t>
      </w:r>
      <w:r w:rsidR="00C97574">
        <w:t xml:space="preserve"> the possibility of</w:t>
      </w:r>
      <w:r>
        <w:t xml:space="preserve"> future consideration of </w:t>
      </w:r>
      <w:r w:rsidR="00C97574">
        <w:t>the</w:t>
      </w:r>
      <w:r>
        <w:t xml:space="preserve"> standards (</w:t>
      </w:r>
      <w:r w:rsidR="009726BB">
        <w:t xml:space="preserve">Minister for the </w:t>
      </w:r>
      <w:r w:rsidR="009726BB" w:rsidRPr="009726BB">
        <w:t>Environment</w:t>
      </w:r>
      <w:r w:rsidRPr="009726BB">
        <w:t>, 2011</w:t>
      </w:r>
      <w:r>
        <w:t>)</w:t>
      </w:r>
      <w:r w:rsidR="004479E9" w:rsidRPr="001B06A7">
        <w:t xml:space="preserve"> </w:t>
      </w:r>
      <w:r>
        <w:t xml:space="preserve">and a review of the national ambient air quality guidelines. </w:t>
      </w:r>
    </w:p>
    <w:p w14:paraId="11004A55" w14:textId="77777777" w:rsidR="004E53A1" w:rsidRPr="001B06A7" w:rsidRDefault="004E53A1" w:rsidP="00E92E1D">
      <w:pPr>
        <w:pStyle w:val="BodyText"/>
      </w:pPr>
    </w:p>
    <w:p w14:paraId="5330684F" w14:textId="77777777" w:rsidR="00106FD0" w:rsidRDefault="004E53A1" w:rsidP="00106FD0">
      <w:pPr>
        <w:pStyle w:val="Bullet"/>
        <w:tabs>
          <w:tab w:val="clear" w:pos="397"/>
        </w:tabs>
        <w:spacing w:before="0"/>
        <w:ind w:left="0" w:firstLine="0"/>
      </w:pPr>
      <w:r>
        <w:t xml:space="preserve">In 2006, the World Health Organisation (WHO) revised downwards the global daily guideline for sulphur dioxide </w:t>
      </w:r>
      <w:r w:rsidR="006F6185">
        <w:t xml:space="preserve">to reflect new epidemiological findings which show severe adverse effects at lower concentrations </w:t>
      </w:r>
      <w:r>
        <w:t xml:space="preserve">(WHO, </w:t>
      </w:r>
      <w:r w:rsidRPr="009726BB">
        <w:t>2006</w:t>
      </w:r>
      <w:r>
        <w:t xml:space="preserve">). </w:t>
      </w:r>
      <w:r w:rsidR="00C97574">
        <w:t>The</w:t>
      </w:r>
      <w:r w:rsidR="006F6185">
        <w:t xml:space="preserve"> WHO guideline is 20 µg.m</w:t>
      </w:r>
      <w:r w:rsidR="006F6185" w:rsidRPr="00106FD0">
        <w:rPr>
          <w:vertAlign w:val="superscript"/>
        </w:rPr>
        <w:t>-</w:t>
      </w:r>
      <w:r w:rsidR="006F6185" w:rsidRPr="00515DF4">
        <w:rPr>
          <w:vertAlign w:val="superscript"/>
        </w:rPr>
        <w:t>3</w:t>
      </w:r>
      <w:r w:rsidR="0023782A">
        <w:t xml:space="preserve"> (24-hour average)</w:t>
      </w:r>
      <w:r w:rsidR="006F6185">
        <w:t>.</w:t>
      </w:r>
      <w:r>
        <w:t xml:space="preserve"> </w:t>
      </w:r>
    </w:p>
    <w:p w14:paraId="031E78D8" w14:textId="77777777" w:rsidR="00006C58" w:rsidRDefault="00006C58" w:rsidP="00106FD0">
      <w:pPr>
        <w:pStyle w:val="Bullet"/>
        <w:tabs>
          <w:tab w:val="clear" w:pos="397"/>
        </w:tabs>
        <w:spacing w:before="0"/>
        <w:ind w:left="0" w:firstLine="0"/>
      </w:pPr>
    </w:p>
    <w:p w14:paraId="430E974A" w14:textId="77777777" w:rsidR="00E92E1D" w:rsidRDefault="00E92E1D" w:rsidP="00E92E1D">
      <w:pPr>
        <w:pStyle w:val="Heading2"/>
      </w:pPr>
      <w:bookmarkStart w:id="41" w:name="_Toc300856598"/>
      <w:r>
        <w:t>3.4</w:t>
      </w:r>
      <w:r>
        <w:tab/>
        <w:t>Where do the ambient standards apply?</w:t>
      </w:r>
      <w:bookmarkEnd w:id="41"/>
    </w:p>
    <w:p w14:paraId="21CEBACB" w14:textId="77777777" w:rsidR="00E92E1D" w:rsidRDefault="00D01251" w:rsidP="00E92E1D">
      <w:pPr>
        <w:pStyle w:val="BodyText"/>
      </w:pPr>
      <w:r>
        <w:t xml:space="preserve">Regulation 14 </w:t>
      </w:r>
      <w:r w:rsidR="00A505C4">
        <w:t>states where the ambient standards apply.</w:t>
      </w:r>
    </w:p>
    <w:p w14:paraId="12E0BE1D" w14:textId="77777777" w:rsidR="00A505C4" w:rsidRDefault="00A505C4" w:rsidP="00E92E1D">
      <w:pPr>
        <w:pStyle w:val="BodyText"/>
      </w:pPr>
    </w:p>
    <w:p w14:paraId="52EA1322" w14:textId="77777777" w:rsidR="002C3EAB" w:rsidRPr="00BA7317" w:rsidRDefault="002C3EAB" w:rsidP="007174BB">
      <w:pPr>
        <w:pStyle w:val="BodyText"/>
        <w:ind w:left="1134" w:hanging="567"/>
        <w:rPr>
          <w:b/>
          <w:i/>
          <w:sz w:val="20"/>
        </w:rPr>
      </w:pPr>
      <w:r>
        <w:rPr>
          <w:b/>
          <w:i/>
          <w:sz w:val="20"/>
        </w:rPr>
        <w:t>14</w:t>
      </w:r>
      <w:r w:rsidRPr="00BA7317">
        <w:rPr>
          <w:b/>
          <w:i/>
          <w:sz w:val="20"/>
        </w:rPr>
        <w:tab/>
      </w:r>
      <w:r>
        <w:rPr>
          <w:b/>
          <w:i/>
          <w:sz w:val="20"/>
        </w:rPr>
        <w:t>Application of standards</w:t>
      </w:r>
    </w:p>
    <w:p w14:paraId="78ECECD2" w14:textId="77777777" w:rsidR="002C3EAB" w:rsidRPr="00BA7317" w:rsidRDefault="002C3EAB" w:rsidP="007174BB">
      <w:pPr>
        <w:pStyle w:val="BodyText"/>
        <w:ind w:left="1134" w:hanging="567"/>
        <w:rPr>
          <w:i/>
          <w:sz w:val="20"/>
        </w:rPr>
      </w:pPr>
      <w:r w:rsidRPr="00BA7317">
        <w:rPr>
          <w:i/>
          <w:sz w:val="20"/>
        </w:rPr>
        <w:t>(</w:t>
      </w:r>
      <w:r>
        <w:rPr>
          <w:i/>
          <w:sz w:val="20"/>
        </w:rPr>
        <w:t>1</w:t>
      </w:r>
      <w:r w:rsidRPr="00BA7317">
        <w:rPr>
          <w:i/>
          <w:sz w:val="20"/>
        </w:rPr>
        <w:t>)</w:t>
      </w:r>
      <w:r w:rsidRPr="00BA7317">
        <w:rPr>
          <w:i/>
          <w:sz w:val="20"/>
        </w:rPr>
        <w:tab/>
      </w:r>
      <w:r>
        <w:rPr>
          <w:i/>
          <w:sz w:val="20"/>
        </w:rPr>
        <w:t xml:space="preserve">The ambient air quality standard for a contaminant applies at any place </w:t>
      </w:r>
      <w:r w:rsidRPr="00BA7317">
        <w:rPr>
          <w:i/>
          <w:sz w:val="20"/>
        </w:rPr>
        <w:t xml:space="preserve">– </w:t>
      </w:r>
    </w:p>
    <w:p w14:paraId="34461C97" w14:textId="77777777" w:rsidR="002C3EAB" w:rsidRDefault="002C3EAB" w:rsidP="007174BB">
      <w:pPr>
        <w:pStyle w:val="BodyText"/>
        <w:ind w:left="1701" w:hanging="567"/>
        <w:rPr>
          <w:i/>
          <w:sz w:val="20"/>
        </w:rPr>
      </w:pPr>
      <w:r w:rsidRPr="00BA7317">
        <w:rPr>
          <w:i/>
          <w:sz w:val="20"/>
        </w:rPr>
        <w:t>(a)</w:t>
      </w:r>
      <w:r w:rsidRPr="00BA7317">
        <w:rPr>
          <w:i/>
          <w:sz w:val="20"/>
        </w:rPr>
        <w:tab/>
      </w:r>
      <w:r>
        <w:rPr>
          <w:i/>
          <w:sz w:val="20"/>
        </w:rPr>
        <w:t>that is in an airshed; and</w:t>
      </w:r>
    </w:p>
    <w:p w14:paraId="00C3A0B4" w14:textId="77777777" w:rsidR="002C3EAB" w:rsidRDefault="002C3EAB" w:rsidP="007174BB">
      <w:pPr>
        <w:pStyle w:val="BodyText"/>
        <w:ind w:left="1701" w:hanging="567"/>
        <w:rPr>
          <w:i/>
          <w:sz w:val="20"/>
        </w:rPr>
      </w:pPr>
      <w:r>
        <w:rPr>
          <w:i/>
          <w:sz w:val="20"/>
        </w:rPr>
        <w:t>(b)</w:t>
      </w:r>
      <w:r>
        <w:rPr>
          <w:i/>
          <w:sz w:val="20"/>
        </w:rPr>
        <w:tab/>
        <w:t>that is in the open air; and</w:t>
      </w:r>
    </w:p>
    <w:p w14:paraId="6BF8D6AE" w14:textId="77777777" w:rsidR="002C3EAB" w:rsidRDefault="002C3EAB" w:rsidP="007174BB">
      <w:pPr>
        <w:pStyle w:val="BodyText"/>
        <w:ind w:left="1701" w:hanging="567"/>
        <w:rPr>
          <w:i/>
          <w:sz w:val="20"/>
        </w:rPr>
      </w:pPr>
      <w:r>
        <w:rPr>
          <w:i/>
          <w:sz w:val="20"/>
        </w:rPr>
        <w:t>(c)</w:t>
      </w:r>
      <w:r>
        <w:rPr>
          <w:i/>
          <w:sz w:val="20"/>
        </w:rPr>
        <w:tab/>
        <w:t>where people are likely to be exposed to the contaminant.</w:t>
      </w:r>
    </w:p>
    <w:p w14:paraId="4450C161" w14:textId="77777777" w:rsidR="002C3EAB" w:rsidRDefault="002C3EAB" w:rsidP="007174BB">
      <w:pPr>
        <w:pStyle w:val="BodyText"/>
        <w:ind w:left="1134" w:hanging="567"/>
        <w:rPr>
          <w:i/>
          <w:sz w:val="20"/>
        </w:rPr>
      </w:pPr>
      <w:r>
        <w:rPr>
          <w:i/>
          <w:sz w:val="20"/>
        </w:rPr>
        <w:t>(2)</w:t>
      </w:r>
      <w:r>
        <w:rPr>
          <w:i/>
          <w:sz w:val="20"/>
        </w:rPr>
        <w:tab/>
        <w:t>However, if the discharge of a contaminant is expressly allowed by a resource consent, the ambient air quality standard for the contaminant does not apply to the site on which the resource consent is exercised.</w:t>
      </w:r>
    </w:p>
    <w:p w14:paraId="69178878" w14:textId="77777777" w:rsidR="00CC5E2E" w:rsidRDefault="00CC5E2E" w:rsidP="00CC5E2E"/>
    <w:p w14:paraId="46DB4274" w14:textId="77777777" w:rsidR="00CC5E2E" w:rsidRDefault="00CC5E2E" w:rsidP="00CC5E2E">
      <w:r>
        <w:t xml:space="preserve">The </w:t>
      </w:r>
      <w:r w:rsidR="00671120">
        <w:t>Regulations</w:t>
      </w:r>
      <w:r>
        <w:t xml:space="preserve"> define an airshed as follows:</w:t>
      </w:r>
    </w:p>
    <w:p w14:paraId="64913454" w14:textId="77777777" w:rsidR="00CC5E2E" w:rsidRDefault="00CC5E2E" w:rsidP="00CC5E2E"/>
    <w:p w14:paraId="319172B4" w14:textId="77777777" w:rsidR="00CC5E2E" w:rsidRDefault="00CC5E2E" w:rsidP="00A505C4">
      <w:pPr>
        <w:pStyle w:val="Sub-list"/>
        <w:tabs>
          <w:tab w:val="clear" w:pos="397"/>
          <w:tab w:val="clear" w:pos="794"/>
          <w:tab w:val="left" w:pos="851"/>
        </w:tabs>
        <w:spacing w:before="0"/>
        <w:ind w:left="1134" w:hanging="567"/>
        <w:rPr>
          <w:i/>
          <w:sz w:val="20"/>
        </w:rPr>
      </w:pPr>
      <w:r>
        <w:rPr>
          <w:b/>
          <w:i/>
          <w:sz w:val="20"/>
        </w:rPr>
        <w:t>airshed</w:t>
      </w:r>
      <w:r>
        <w:rPr>
          <w:i/>
          <w:sz w:val="20"/>
        </w:rPr>
        <w:t xml:space="preserve"> means – </w:t>
      </w:r>
    </w:p>
    <w:p w14:paraId="33EA245B" w14:textId="77777777" w:rsidR="00CC5E2E" w:rsidRDefault="00CC5E2E" w:rsidP="00A505C4">
      <w:pPr>
        <w:pStyle w:val="Sub-list"/>
        <w:tabs>
          <w:tab w:val="clear" w:pos="397"/>
          <w:tab w:val="clear" w:pos="794"/>
          <w:tab w:val="left" w:pos="1134"/>
        </w:tabs>
        <w:spacing w:before="0"/>
        <w:ind w:left="1134" w:hanging="567"/>
        <w:rPr>
          <w:i/>
          <w:sz w:val="20"/>
        </w:rPr>
      </w:pPr>
      <w:r>
        <w:rPr>
          <w:i/>
          <w:sz w:val="20"/>
        </w:rPr>
        <w:t>(a)</w:t>
      </w:r>
      <w:r>
        <w:rPr>
          <w:i/>
          <w:sz w:val="20"/>
        </w:rPr>
        <w:tab/>
        <w:t>the region of a regional council excluding any area specified in a notice under paragraph (b):</w:t>
      </w:r>
    </w:p>
    <w:p w14:paraId="38817D0B" w14:textId="77777777" w:rsidR="00CC5E2E" w:rsidRDefault="00CC5E2E" w:rsidP="00A505C4">
      <w:pPr>
        <w:pStyle w:val="Sub-list"/>
        <w:tabs>
          <w:tab w:val="clear" w:pos="397"/>
          <w:tab w:val="clear" w:pos="794"/>
          <w:tab w:val="left" w:pos="1134"/>
        </w:tabs>
        <w:spacing w:before="0"/>
        <w:ind w:left="1134" w:hanging="567"/>
        <w:rPr>
          <w:i/>
          <w:sz w:val="20"/>
        </w:rPr>
      </w:pPr>
      <w:r>
        <w:rPr>
          <w:i/>
          <w:sz w:val="20"/>
        </w:rPr>
        <w:t>(b)</w:t>
      </w:r>
      <w:r>
        <w:rPr>
          <w:i/>
          <w:sz w:val="20"/>
        </w:rPr>
        <w:tab/>
        <w:t xml:space="preserve">a part of the region of a regional council specified by the Minister by notice in the </w:t>
      </w:r>
      <w:r w:rsidRPr="00CC5E2E">
        <w:rPr>
          <w:sz w:val="20"/>
        </w:rPr>
        <w:t>Gazette</w:t>
      </w:r>
      <w:r>
        <w:rPr>
          <w:i/>
          <w:sz w:val="20"/>
        </w:rPr>
        <w:t xml:space="preserve"> to be a separate airshed.</w:t>
      </w:r>
    </w:p>
    <w:p w14:paraId="5AA6DB7F" w14:textId="77777777" w:rsidR="00CC5E2E" w:rsidRDefault="00CC5E2E" w:rsidP="00CC5E2E"/>
    <w:p w14:paraId="4E3F826F" w14:textId="77777777" w:rsidR="00CC5E2E" w:rsidRDefault="00CC5E2E" w:rsidP="00CC5E2E">
      <w:r>
        <w:t>The ambient standards apply</w:t>
      </w:r>
      <w:r w:rsidR="003C67B8">
        <w:t xml:space="preserve"> to all regions of New Zealand.</w:t>
      </w:r>
      <w:r>
        <w:t xml:space="preserve"> The ambient standards </w:t>
      </w:r>
      <w:r w:rsidRPr="00B47500">
        <w:rPr>
          <w:b/>
        </w:rPr>
        <w:t>apply in the</w:t>
      </w:r>
      <w:r>
        <w:t xml:space="preserve"> </w:t>
      </w:r>
      <w:r w:rsidRPr="00B47500">
        <w:rPr>
          <w:b/>
        </w:rPr>
        <w:t>open air everywhere people may be exposed</w:t>
      </w:r>
      <w:r w:rsidR="003C67B8">
        <w:t>.</w:t>
      </w:r>
      <w:r>
        <w:t xml:space="preserve"> They do not apply indoors.  </w:t>
      </w:r>
    </w:p>
    <w:p w14:paraId="757BBA5B" w14:textId="77777777" w:rsidR="00CC5E2E" w:rsidRDefault="00CC5E2E" w:rsidP="00CC5E2E"/>
    <w:p w14:paraId="26A933B0" w14:textId="77777777" w:rsidR="005D6D32" w:rsidRDefault="005D6D32">
      <w:pPr>
        <w:jc w:val="left"/>
      </w:pPr>
      <w:r>
        <w:br w:type="page"/>
      </w:r>
    </w:p>
    <w:p w14:paraId="4430BFE1" w14:textId="77777777" w:rsidR="00CC5E2E" w:rsidRDefault="00CC5E2E" w:rsidP="00CC5E2E">
      <w:r>
        <w:t xml:space="preserve">Areas which are in the open </w:t>
      </w:r>
      <w:r w:rsidR="00E842AF">
        <w:t xml:space="preserve">air </w:t>
      </w:r>
      <w:r>
        <w:t xml:space="preserve">and where the ambient standards </w:t>
      </w:r>
      <w:r w:rsidRPr="00E842AF">
        <w:rPr>
          <w:b/>
        </w:rPr>
        <w:t>do apply</w:t>
      </w:r>
      <w:r>
        <w:t xml:space="preserve"> include:</w:t>
      </w:r>
    </w:p>
    <w:p w14:paraId="1D3DE585" w14:textId="77777777" w:rsidR="00E842AF" w:rsidRDefault="00E842AF" w:rsidP="00152DF6">
      <w:pPr>
        <w:pStyle w:val="Bullet"/>
        <w:numPr>
          <w:ilvl w:val="0"/>
          <w:numId w:val="9"/>
        </w:numPr>
      </w:pPr>
      <w:r>
        <w:t xml:space="preserve">residential areas </w:t>
      </w:r>
      <w:r w:rsidRPr="00877425">
        <w:rPr>
          <w:i/>
        </w:rPr>
        <w:t>outside</w:t>
      </w:r>
      <w:r>
        <w:t xml:space="preserve"> houses</w:t>
      </w:r>
    </w:p>
    <w:p w14:paraId="6A9ADD6E" w14:textId="77777777" w:rsidR="00E842AF" w:rsidRDefault="00E842AF" w:rsidP="00152DF6">
      <w:pPr>
        <w:pStyle w:val="Bullet"/>
        <w:numPr>
          <w:ilvl w:val="0"/>
          <w:numId w:val="9"/>
        </w:numPr>
      </w:pPr>
      <w:r>
        <w:t>roadside verges</w:t>
      </w:r>
    </w:p>
    <w:p w14:paraId="522DB50E" w14:textId="77777777" w:rsidR="00E842AF" w:rsidRDefault="00E842AF" w:rsidP="00152DF6">
      <w:pPr>
        <w:pStyle w:val="Bullet"/>
        <w:numPr>
          <w:ilvl w:val="0"/>
          <w:numId w:val="9"/>
        </w:numPr>
      </w:pPr>
      <w:r>
        <w:t>rural areas</w:t>
      </w:r>
    </w:p>
    <w:p w14:paraId="3E87A9BC" w14:textId="77777777" w:rsidR="00B47500" w:rsidRDefault="00E842AF" w:rsidP="00152DF6">
      <w:pPr>
        <w:pStyle w:val="Bullet"/>
        <w:numPr>
          <w:ilvl w:val="0"/>
          <w:numId w:val="9"/>
        </w:numPr>
      </w:pPr>
      <w:r>
        <w:t>parks</w:t>
      </w:r>
      <w:r w:rsidR="00B47500">
        <w:t>,</w:t>
      </w:r>
      <w:r>
        <w:t xml:space="preserve"> beaches</w:t>
      </w:r>
      <w:r w:rsidR="00B47500">
        <w:t xml:space="preserve">, lakes and coastal marine area </w:t>
      </w:r>
    </w:p>
    <w:p w14:paraId="75876E5B" w14:textId="77777777" w:rsidR="00E842AF" w:rsidRDefault="00E842AF" w:rsidP="00152DF6">
      <w:pPr>
        <w:pStyle w:val="Bullet"/>
        <w:numPr>
          <w:ilvl w:val="0"/>
          <w:numId w:val="9"/>
        </w:numPr>
      </w:pPr>
      <w:r>
        <w:t xml:space="preserve">central business areas </w:t>
      </w:r>
      <w:r w:rsidRPr="00877425">
        <w:rPr>
          <w:i/>
        </w:rPr>
        <w:t>outside</w:t>
      </w:r>
      <w:r>
        <w:t xml:space="preserve"> offices and shops</w:t>
      </w:r>
    </w:p>
    <w:p w14:paraId="67A189D3" w14:textId="77777777" w:rsidR="00E842AF" w:rsidRDefault="00E842AF" w:rsidP="00152DF6">
      <w:pPr>
        <w:pStyle w:val="Bullet"/>
        <w:numPr>
          <w:ilvl w:val="0"/>
          <w:numId w:val="9"/>
        </w:numPr>
      </w:pPr>
      <w:r>
        <w:t>industrial areas.</w:t>
      </w:r>
    </w:p>
    <w:p w14:paraId="3B314BBA" w14:textId="77777777" w:rsidR="00CC5E2E" w:rsidRDefault="00CC5E2E" w:rsidP="00CC5E2E"/>
    <w:p w14:paraId="6D3303DF" w14:textId="77777777" w:rsidR="00CC5E2E" w:rsidRDefault="00CC5E2E" w:rsidP="00CC5E2E">
      <w:r>
        <w:t xml:space="preserve">Areas which are not in the open </w:t>
      </w:r>
      <w:r w:rsidR="00E842AF">
        <w:t xml:space="preserve">air </w:t>
      </w:r>
      <w:r>
        <w:t xml:space="preserve">and where the ambient standards </w:t>
      </w:r>
      <w:r w:rsidRPr="00E842AF">
        <w:rPr>
          <w:b/>
        </w:rPr>
        <w:t>do not apply</w:t>
      </w:r>
      <w:r>
        <w:t xml:space="preserve"> include:</w:t>
      </w:r>
    </w:p>
    <w:p w14:paraId="59287207" w14:textId="77777777" w:rsidR="00CC5E2E" w:rsidRDefault="00CC5E2E" w:rsidP="00152DF6">
      <w:pPr>
        <w:pStyle w:val="Bullet"/>
        <w:numPr>
          <w:ilvl w:val="0"/>
          <w:numId w:val="9"/>
        </w:numPr>
      </w:pPr>
      <w:r w:rsidRPr="00877425">
        <w:rPr>
          <w:i/>
        </w:rPr>
        <w:t>inside</w:t>
      </w:r>
      <w:r>
        <w:t xml:space="preserve"> buildings such as houses, offices, schools or day care centres</w:t>
      </w:r>
    </w:p>
    <w:p w14:paraId="7FAB65A8" w14:textId="77777777" w:rsidR="00CC5E2E" w:rsidRDefault="00CC5E2E" w:rsidP="00152DF6">
      <w:pPr>
        <w:pStyle w:val="Bullet"/>
        <w:numPr>
          <w:ilvl w:val="0"/>
          <w:numId w:val="9"/>
        </w:numPr>
      </w:pPr>
      <w:r w:rsidRPr="00877425">
        <w:rPr>
          <w:i/>
        </w:rPr>
        <w:t xml:space="preserve">inside </w:t>
      </w:r>
      <w:r>
        <w:t>tunnels</w:t>
      </w:r>
    </w:p>
    <w:p w14:paraId="6D67EC8B" w14:textId="77777777" w:rsidR="00CC5E2E" w:rsidRDefault="00CC5E2E" w:rsidP="00152DF6">
      <w:pPr>
        <w:pStyle w:val="Bullet"/>
        <w:numPr>
          <w:ilvl w:val="0"/>
          <w:numId w:val="9"/>
        </w:numPr>
      </w:pPr>
      <w:r w:rsidRPr="00877425">
        <w:rPr>
          <w:i/>
        </w:rPr>
        <w:t>inside</w:t>
      </w:r>
      <w:r w:rsidRPr="00877425">
        <w:t xml:space="preserve"> </w:t>
      </w:r>
      <w:r>
        <w:t>vehicles.</w:t>
      </w:r>
    </w:p>
    <w:p w14:paraId="46EA7CEB" w14:textId="77777777" w:rsidR="00E842AF" w:rsidRDefault="00E842AF" w:rsidP="00E842AF">
      <w:pPr>
        <w:pStyle w:val="Heading4"/>
      </w:pPr>
      <w:r>
        <w:t>Sites which have resource consents</w:t>
      </w:r>
    </w:p>
    <w:p w14:paraId="2CC716EB" w14:textId="77777777" w:rsidR="00E842AF" w:rsidRDefault="00E842AF" w:rsidP="00CC5E2E">
      <w:r>
        <w:t xml:space="preserve">The ambient standards </w:t>
      </w:r>
      <w:r w:rsidRPr="00E842AF">
        <w:rPr>
          <w:b/>
        </w:rPr>
        <w:t>do not apply</w:t>
      </w:r>
      <w:r>
        <w:t xml:space="preserve"> </w:t>
      </w:r>
      <w:r w:rsidR="006930D0" w:rsidRPr="006930D0">
        <w:rPr>
          <w:b/>
        </w:rPr>
        <w:t>on-site</w:t>
      </w:r>
      <w:r w:rsidR="006930D0">
        <w:t xml:space="preserve"> to </w:t>
      </w:r>
      <w:r>
        <w:t>sites to which resource consents apply for that discharge.</w:t>
      </w:r>
      <w:r w:rsidR="003C67B8">
        <w:t xml:space="preserve"> </w:t>
      </w:r>
      <w:r w:rsidR="006930D0">
        <w:t xml:space="preserve">The ambient standards </w:t>
      </w:r>
      <w:r w:rsidR="006930D0" w:rsidRPr="006930D0">
        <w:rPr>
          <w:b/>
        </w:rPr>
        <w:t>do apply off-site</w:t>
      </w:r>
      <w:r w:rsidR="006930D0">
        <w:t xml:space="preserve"> to sites to which resource consents apply</w:t>
      </w:r>
      <w:r w:rsidR="00822BB2">
        <w:t>,</w:t>
      </w:r>
      <w:r w:rsidR="00AF5170">
        <w:t xml:space="preserve"> ie, they apply </w:t>
      </w:r>
      <w:r w:rsidR="00C97574">
        <w:t xml:space="preserve">everywhere </w:t>
      </w:r>
      <w:r w:rsidR="00AF5170">
        <w:t xml:space="preserve">other than </w:t>
      </w:r>
      <w:r w:rsidR="00C97574">
        <w:t xml:space="preserve">on </w:t>
      </w:r>
      <w:r w:rsidR="00AF5170">
        <w:t>the site on which the consent is exercised.</w:t>
      </w:r>
    </w:p>
    <w:p w14:paraId="6CC6FD26" w14:textId="77777777" w:rsidR="00C21791" w:rsidRDefault="00C21791" w:rsidP="0046535B"/>
    <w:p w14:paraId="28EA9B75" w14:textId="77777777" w:rsidR="00C21791" w:rsidRPr="00A74F05" w:rsidRDefault="00C21791" w:rsidP="00BC3C1F">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1</w:t>
      </w:r>
    </w:p>
    <w:p w14:paraId="4B5AACB2" w14:textId="77777777" w:rsidR="00C21791" w:rsidRPr="001A6923" w:rsidRDefault="00CF4EFB" w:rsidP="00C21791">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Triangle</w:t>
      </w:r>
      <w:r w:rsidRPr="001A6923">
        <w:rPr>
          <w:rStyle w:val="SubtleEmphasis"/>
          <w:color w:val="auto"/>
          <w:sz w:val="20"/>
        </w:rPr>
        <w:t xml:space="preserve"> </w:t>
      </w:r>
      <w:r w:rsidR="00C21791" w:rsidRPr="001A6923">
        <w:rPr>
          <w:rStyle w:val="SubtleEmphasis"/>
          <w:color w:val="auto"/>
          <w:sz w:val="20"/>
        </w:rPr>
        <w:t xml:space="preserve">Cement </w:t>
      </w:r>
      <w:r w:rsidR="00B67AEA" w:rsidRPr="001A6923">
        <w:rPr>
          <w:rStyle w:val="SubtleEmphasis"/>
          <w:color w:val="auto"/>
          <w:sz w:val="20"/>
        </w:rPr>
        <w:t>operates</w:t>
      </w:r>
      <w:r w:rsidR="00C21791" w:rsidRPr="001A6923">
        <w:rPr>
          <w:rStyle w:val="SubtleEmphasis"/>
          <w:color w:val="auto"/>
          <w:sz w:val="20"/>
        </w:rPr>
        <w:t xml:space="preserve"> a cement kiln with emission limits specified in their resource consent for discharges of carbon monoxide (CO). Therefore: </w:t>
      </w:r>
    </w:p>
    <w:p w14:paraId="70A016A8" w14:textId="77777777" w:rsidR="00C21791" w:rsidRPr="00A74F05" w:rsidRDefault="00C21791" w:rsidP="00C21791">
      <w:pPr>
        <w:pBdr>
          <w:top w:val="single" w:sz="4" w:space="1" w:color="auto"/>
          <w:left w:val="single" w:sz="4" w:space="4" w:color="auto"/>
          <w:bottom w:val="single" w:sz="4" w:space="1" w:color="auto"/>
          <w:right w:val="single" w:sz="4" w:space="4" w:color="auto"/>
        </w:pBdr>
        <w:rPr>
          <w:rStyle w:val="SubtleEmphasis"/>
          <w:color w:val="auto"/>
          <w:sz w:val="20"/>
        </w:rPr>
      </w:pPr>
    </w:p>
    <w:p w14:paraId="48921DBF" w14:textId="77777777" w:rsidR="00C21791" w:rsidRPr="001A6923"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iCs/>
          <w:sz w:val="20"/>
        </w:rPr>
      </w:pPr>
      <w:r w:rsidRPr="00B47500">
        <w:rPr>
          <w:i/>
          <w:sz w:val="20"/>
        </w:rPr>
        <w:t xml:space="preserve">the </w:t>
      </w:r>
      <w:r w:rsidR="00C21791" w:rsidRPr="00B47500">
        <w:rPr>
          <w:i/>
          <w:sz w:val="20"/>
        </w:rPr>
        <w:t xml:space="preserve">ambient standard for CO does not apply within the area to which </w:t>
      </w:r>
      <w:r w:rsidR="00E54A2A">
        <w:rPr>
          <w:i/>
          <w:sz w:val="20"/>
        </w:rPr>
        <w:t>Triangle Cement</w:t>
      </w:r>
      <w:r w:rsidR="00C21791" w:rsidRPr="00B47500">
        <w:rPr>
          <w:i/>
          <w:sz w:val="20"/>
        </w:rPr>
        <w:t>’s resource consent applies (typically this is the site boundary). The workers on the Acme site are protected unde</w:t>
      </w:r>
      <w:r>
        <w:rPr>
          <w:i/>
          <w:sz w:val="20"/>
        </w:rPr>
        <w:t>r health and safety legislation</w:t>
      </w:r>
    </w:p>
    <w:p w14:paraId="288C05D3" w14:textId="77777777" w:rsidR="00C21791" w:rsidRPr="001A6923"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rPr>
          <w:i/>
          <w:iCs/>
          <w:sz w:val="20"/>
        </w:rPr>
      </w:pPr>
      <w:r>
        <w:rPr>
          <w:i/>
          <w:sz w:val="20"/>
        </w:rPr>
        <w:t>at</w:t>
      </w:r>
      <w:r w:rsidRPr="00B47500">
        <w:rPr>
          <w:i/>
          <w:sz w:val="20"/>
        </w:rPr>
        <w:t xml:space="preserve"> </w:t>
      </w:r>
      <w:r w:rsidR="00C21791" w:rsidRPr="00B47500">
        <w:rPr>
          <w:i/>
          <w:sz w:val="20"/>
        </w:rPr>
        <w:t xml:space="preserve">the garden centre next door </w:t>
      </w:r>
      <w:r w:rsidR="00C21791">
        <w:rPr>
          <w:i/>
          <w:sz w:val="20"/>
        </w:rPr>
        <w:t xml:space="preserve">(which does not have a resource consent condition relating to CO), </w:t>
      </w:r>
      <w:r w:rsidR="00C21791" w:rsidRPr="00B47500">
        <w:rPr>
          <w:i/>
          <w:sz w:val="20"/>
        </w:rPr>
        <w:t xml:space="preserve">the ambient standard for CO does apply. This protects the health of everyone at the garden centre </w:t>
      </w:r>
      <w:r w:rsidR="00E336B0">
        <w:rPr>
          <w:i/>
          <w:sz w:val="20"/>
        </w:rPr>
        <w:br/>
      </w:r>
      <w:r w:rsidR="00C21791" w:rsidRPr="00B47500">
        <w:rPr>
          <w:i/>
          <w:sz w:val="20"/>
        </w:rPr>
        <w:t>(eg</w:t>
      </w:r>
      <w:r w:rsidR="00C21791">
        <w:rPr>
          <w:i/>
          <w:sz w:val="20"/>
        </w:rPr>
        <w:t>,</w:t>
      </w:r>
      <w:r w:rsidR="00C21791" w:rsidRPr="00B47500">
        <w:rPr>
          <w:i/>
          <w:sz w:val="20"/>
        </w:rPr>
        <w:t xml:space="preserve"> garden centre employees and </w:t>
      </w:r>
      <w:r w:rsidR="00C21791">
        <w:rPr>
          <w:i/>
          <w:sz w:val="20"/>
        </w:rPr>
        <w:t>customers</w:t>
      </w:r>
      <w:r w:rsidR="00C21791" w:rsidRPr="00B47500">
        <w:rPr>
          <w:i/>
          <w:sz w:val="20"/>
        </w:rPr>
        <w:t xml:space="preserve">) from any exposure </w:t>
      </w:r>
      <w:r w:rsidR="00C21791">
        <w:rPr>
          <w:i/>
          <w:sz w:val="20"/>
        </w:rPr>
        <w:t xml:space="preserve">to </w:t>
      </w:r>
      <w:r w:rsidR="00C21791" w:rsidRPr="00B47500">
        <w:rPr>
          <w:i/>
          <w:sz w:val="20"/>
        </w:rPr>
        <w:t xml:space="preserve">emissions of CO from </w:t>
      </w:r>
      <w:r w:rsidR="00E54A2A">
        <w:rPr>
          <w:i/>
          <w:sz w:val="20"/>
        </w:rPr>
        <w:t>Triangle Cement</w:t>
      </w:r>
      <w:r w:rsidR="00C21791">
        <w:rPr>
          <w:i/>
          <w:sz w:val="20"/>
        </w:rPr>
        <w:t>.</w:t>
      </w:r>
    </w:p>
    <w:p w14:paraId="1EC83689" w14:textId="77777777" w:rsidR="00CC5E2E" w:rsidRDefault="00CC5E2E" w:rsidP="006F6185">
      <w:pPr>
        <w:pStyle w:val="Heading5"/>
        <w:keepNext/>
      </w:pPr>
      <w:r>
        <w:t>Amendments</w:t>
      </w:r>
    </w:p>
    <w:p w14:paraId="01E0F92B" w14:textId="77777777" w:rsidR="00B47500" w:rsidRPr="009D23EB" w:rsidRDefault="00B47500" w:rsidP="006F6185">
      <w:pPr>
        <w:keepNext/>
      </w:pPr>
      <w:r w:rsidRPr="009D23EB">
        <w:t xml:space="preserve">The definition of airsheds and </w:t>
      </w:r>
      <w:r w:rsidR="009D23EB" w:rsidRPr="009D23EB">
        <w:t>Regulation 14</w:t>
      </w:r>
      <w:r w:rsidRPr="009D23EB">
        <w:t xml:space="preserve"> were amended in August 2005 to clarify the application of the ambient standards.</w:t>
      </w:r>
    </w:p>
    <w:p w14:paraId="2EC3A078" w14:textId="77777777" w:rsidR="00B47500" w:rsidRPr="009D23EB" w:rsidRDefault="00B47500" w:rsidP="00CC5E2E"/>
    <w:p w14:paraId="21EFD7C4" w14:textId="77777777" w:rsidR="00CC5E2E" w:rsidRDefault="00B47500" w:rsidP="00CC5E2E">
      <w:r w:rsidRPr="009D23EB">
        <w:t xml:space="preserve">Regulation 14(2) was </w:t>
      </w:r>
      <w:r w:rsidR="009D23EB" w:rsidRPr="009D23EB">
        <w:t xml:space="preserve">amended </w:t>
      </w:r>
      <w:r w:rsidR="00CC5E2E" w:rsidRPr="009D23EB">
        <w:t xml:space="preserve">in </w:t>
      </w:r>
      <w:r w:rsidR="00D87D86">
        <w:t>June</w:t>
      </w:r>
      <w:r w:rsidR="00697FDC">
        <w:t xml:space="preserve"> </w:t>
      </w:r>
      <w:r w:rsidR="00CC5E2E" w:rsidRPr="009D23EB">
        <w:t>2011</w:t>
      </w:r>
      <w:r w:rsidR="009D23EB" w:rsidRPr="009D23EB">
        <w:t xml:space="preserve"> to align with the words of the RMA and to avoid any confusion with permitted activities.</w:t>
      </w:r>
    </w:p>
    <w:p w14:paraId="09353F37" w14:textId="77777777" w:rsidR="00E92E1D" w:rsidRDefault="00E92E1D" w:rsidP="00E92E1D">
      <w:pPr>
        <w:pStyle w:val="Heading3"/>
      </w:pPr>
      <w:r>
        <w:t>3.4.1</w:t>
      </w:r>
      <w:r>
        <w:tab/>
        <w:t>Airsheds</w:t>
      </w:r>
    </w:p>
    <w:p w14:paraId="5AC6DF9F" w14:textId="77777777" w:rsidR="00073A3A" w:rsidRDefault="00073A3A" w:rsidP="00395666">
      <w:r w:rsidRPr="00234369">
        <w:t xml:space="preserve">The </w:t>
      </w:r>
      <w:r w:rsidR="00671120" w:rsidRPr="00234369">
        <w:t>Regulations</w:t>
      </w:r>
      <w:r w:rsidRPr="00234369">
        <w:t xml:space="preserve"> attach monitoring, reporting, and consent decision requirements to airsheds</w:t>
      </w:r>
      <w:r>
        <w:t xml:space="preserve">.  </w:t>
      </w:r>
      <w:r w:rsidRPr="00234369">
        <w:t xml:space="preserve">In this context, the term </w:t>
      </w:r>
      <w:r>
        <w:t>‘</w:t>
      </w:r>
      <w:r w:rsidRPr="00234369">
        <w:t>airshed</w:t>
      </w:r>
      <w:r>
        <w:t>’</w:t>
      </w:r>
      <w:r w:rsidRPr="00234369">
        <w:t xml:space="preserve"> as used in the </w:t>
      </w:r>
      <w:r w:rsidR="00671120" w:rsidRPr="00234369">
        <w:t xml:space="preserve">Regulations </w:t>
      </w:r>
      <w:r w:rsidRPr="00234369">
        <w:t xml:space="preserve">is more </w:t>
      </w:r>
      <w:r w:rsidR="00A9535E">
        <w:t xml:space="preserve">like </w:t>
      </w:r>
      <w:r w:rsidRPr="00234369">
        <w:t>a</w:t>
      </w:r>
      <w:r>
        <w:t>n</w:t>
      </w:r>
      <w:r w:rsidRPr="00234369">
        <w:t xml:space="preserve"> </w:t>
      </w:r>
      <w:r>
        <w:t>‘</w:t>
      </w:r>
      <w:r w:rsidRPr="00234369">
        <w:t>air quality management area</w:t>
      </w:r>
      <w:r>
        <w:t>’</w:t>
      </w:r>
      <w:r w:rsidRPr="00234369">
        <w:t xml:space="preserve"> rat</w:t>
      </w:r>
      <w:r>
        <w:t>her than a strictly science-</w:t>
      </w:r>
      <w:r w:rsidRPr="00234369">
        <w:t>based concept of an airshed (although in many instances the two are equivalent).</w:t>
      </w:r>
    </w:p>
    <w:p w14:paraId="1A7DAAE9" w14:textId="77777777" w:rsidR="003C0274" w:rsidRDefault="003C0274" w:rsidP="00395666"/>
    <w:p w14:paraId="62125F72" w14:textId="77777777" w:rsidR="00F3408A" w:rsidRDefault="00F3408A" w:rsidP="00F3408A">
      <w:pPr>
        <w:pStyle w:val="BodyText"/>
      </w:pPr>
      <w:r>
        <w:t xml:space="preserve">Regional councils and unitary authorities have identified and made public (through the </w:t>
      </w:r>
      <w:r w:rsidRPr="00F3408A">
        <w:rPr>
          <w:i/>
        </w:rPr>
        <w:t>New Zealand Gazette</w:t>
      </w:r>
      <w:r>
        <w:t xml:space="preserve">) </w:t>
      </w:r>
      <w:r w:rsidR="00A9535E">
        <w:t>areas to be managed</w:t>
      </w:r>
      <w:r w:rsidR="003F6F1D">
        <w:t xml:space="preserve"> as airsheds for t</w:t>
      </w:r>
      <w:r w:rsidR="003C67B8">
        <w:t>he purposes of the Regulations.</w:t>
      </w:r>
      <w:r w:rsidR="003F6F1D">
        <w:t xml:space="preserve"> The majority of these</w:t>
      </w:r>
      <w:r>
        <w:t xml:space="preserve"> are known, </w:t>
      </w:r>
      <w:r w:rsidR="003F6F1D">
        <w:t>or likely</w:t>
      </w:r>
      <w:r>
        <w:t xml:space="preserve">, </w:t>
      </w:r>
      <w:r w:rsidR="003F6F1D">
        <w:t xml:space="preserve">to </w:t>
      </w:r>
      <w:r>
        <w:t xml:space="preserve">have levels of pollutants </w:t>
      </w:r>
      <w:r w:rsidR="003F6F1D">
        <w:t>that exceed</w:t>
      </w:r>
      <w:r>
        <w:t xml:space="preserve"> the national environmental standards for air quality. </w:t>
      </w:r>
      <w:r w:rsidRPr="00565705">
        <w:t xml:space="preserve">Some airsheds are also identified based on factors </w:t>
      </w:r>
      <w:r w:rsidR="00BC3C1F">
        <w:br/>
      </w:r>
      <w:r w:rsidRPr="00565705">
        <w:t xml:space="preserve">such as: </w:t>
      </w:r>
    </w:p>
    <w:p w14:paraId="75E47818" w14:textId="77777777" w:rsidR="00F3408A" w:rsidRPr="00F3408A" w:rsidRDefault="00F3408A" w:rsidP="00152DF6">
      <w:pPr>
        <w:pStyle w:val="Bullet"/>
        <w:numPr>
          <w:ilvl w:val="0"/>
          <w:numId w:val="11"/>
        </w:numPr>
      </w:pPr>
      <w:r w:rsidRPr="00565705">
        <w:t xml:space="preserve">the </w:t>
      </w:r>
      <w:r w:rsidRPr="00F3408A">
        <w:t>number of people living in the airshed</w:t>
      </w:r>
      <w:r w:rsidR="003F6F1D">
        <w:t xml:space="preserve"> now or in the future</w:t>
      </w:r>
    </w:p>
    <w:p w14:paraId="58E02F32" w14:textId="77777777" w:rsidR="00F3408A" w:rsidRPr="00F3408A" w:rsidRDefault="00F3408A" w:rsidP="00152DF6">
      <w:pPr>
        <w:pStyle w:val="Bullet"/>
        <w:numPr>
          <w:ilvl w:val="0"/>
          <w:numId w:val="11"/>
        </w:numPr>
      </w:pPr>
      <w:r>
        <w:t>the airsheds</w:t>
      </w:r>
      <w:r w:rsidRPr="00F3408A">
        <w:t xml:space="preserve"> unique weather patterns and geography</w:t>
      </w:r>
    </w:p>
    <w:p w14:paraId="2B7F8262" w14:textId="77777777" w:rsidR="00F3408A" w:rsidRDefault="00F3408A" w:rsidP="00152DF6">
      <w:pPr>
        <w:pStyle w:val="Bullet"/>
        <w:numPr>
          <w:ilvl w:val="0"/>
          <w:numId w:val="11"/>
        </w:numPr>
      </w:pPr>
      <w:r w:rsidRPr="00F3408A">
        <w:t>because local air emissions (eg, local</w:t>
      </w:r>
      <w:r w:rsidRPr="00565705">
        <w:t xml:space="preserve"> industrial activity) need to be managed separately</w:t>
      </w:r>
      <w:r>
        <w:t>.</w:t>
      </w:r>
    </w:p>
    <w:p w14:paraId="55B9AEAF" w14:textId="77777777" w:rsidR="00073A3A" w:rsidRDefault="00073A3A" w:rsidP="00395666"/>
    <w:p w14:paraId="4F6F5B8C" w14:textId="77777777" w:rsidR="0046535B" w:rsidRDefault="0046535B" w:rsidP="0046535B">
      <w:r>
        <w:t>Generally, these gazetted airsheds are very close to the strict</w:t>
      </w:r>
      <w:r w:rsidRPr="00690D25">
        <w:t xml:space="preserve"> science-based </w:t>
      </w:r>
      <w:r>
        <w:t>definition</w:t>
      </w:r>
      <w:r w:rsidRPr="00690D25">
        <w:t xml:space="preserve"> of an airshed</w:t>
      </w:r>
      <w:r>
        <w:t xml:space="preserve"> (ie, a geographical area within which air pollution can be retained for an extended period). However, regional councils can group together areas with similar meteorological and emission characteristics for management purposes and to minimise monitoring costs. Otago Regional Council used this approach in 2005 when it gazetted four airsheds that each contained a number of geographically separate towns and cities (eg, Otago Airshed 1 includes Arrowtown, Alexandra, Clyde, Cromwell, Naseby, Ranfurly and Roxburgh).</w:t>
      </w:r>
    </w:p>
    <w:p w14:paraId="7E17D9E1" w14:textId="77777777" w:rsidR="00F3408A" w:rsidRDefault="00F3408A" w:rsidP="00395666"/>
    <w:p w14:paraId="740E8CA3" w14:textId="77777777" w:rsidR="0089264D" w:rsidRDefault="00073A3A" w:rsidP="00395666">
      <w:r w:rsidRPr="0089264D">
        <w:t>A</w:t>
      </w:r>
      <w:r w:rsidR="0089264D" w:rsidRPr="0089264D">
        <w:t>t the time of writing (July</w:t>
      </w:r>
      <w:r w:rsidR="006C72B9" w:rsidRPr="0089264D">
        <w:t xml:space="preserve"> 2011</w:t>
      </w:r>
      <w:r w:rsidR="0089264D" w:rsidRPr="0089264D">
        <w:t>)</w:t>
      </w:r>
      <w:r w:rsidRPr="0089264D">
        <w:t xml:space="preserve">, there are </w:t>
      </w:r>
      <w:r w:rsidRPr="0046535B">
        <w:t>71</w:t>
      </w:r>
      <w:r w:rsidRPr="0089264D">
        <w:t xml:space="preserve"> airsheds</w:t>
      </w:r>
      <w:r>
        <w:t xml:space="preserve"> </w:t>
      </w:r>
      <w:r w:rsidR="0089264D">
        <w:t xml:space="preserve">that have been created </w:t>
      </w:r>
      <w:r>
        <w:t xml:space="preserve">by notice in the </w:t>
      </w:r>
      <w:r w:rsidRPr="00073A3A">
        <w:rPr>
          <w:i/>
        </w:rPr>
        <w:t>New Zealand Gazette.</w:t>
      </w:r>
      <w:r>
        <w:t xml:space="preserve">  </w:t>
      </w:r>
      <w:r w:rsidR="0089264D">
        <w:t>Of these 71 airsheds:</w:t>
      </w:r>
    </w:p>
    <w:p w14:paraId="6D364BD0" w14:textId="77777777" w:rsidR="0089264D" w:rsidRDefault="001C03E5" w:rsidP="00152DF6">
      <w:pPr>
        <w:pStyle w:val="Bullet"/>
        <w:numPr>
          <w:ilvl w:val="0"/>
          <w:numId w:val="11"/>
        </w:numPr>
      </w:pPr>
      <w:r>
        <w:t>2</w:t>
      </w:r>
      <w:r w:rsidR="0046535B">
        <w:t>2</w:t>
      </w:r>
      <w:r>
        <w:t xml:space="preserve"> </w:t>
      </w:r>
      <w:r w:rsidR="00822BB2">
        <w:t xml:space="preserve">currently </w:t>
      </w:r>
      <w:r w:rsidR="003F6F1D">
        <w:t>exceed</w:t>
      </w:r>
      <w:r w:rsidR="0089264D">
        <w:t xml:space="preserve"> the PM</w:t>
      </w:r>
      <w:r w:rsidR="0089264D" w:rsidRPr="003E4AC4">
        <w:rPr>
          <w:vertAlign w:val="subscript"/>
        </w:rPr>
        <w:t>10</w:t>
      </w:r>
      <w:r w:rsidR="0089264D">
        <w:t xml:space="preserve"> standard</w:t>
      </w:r>
    </w:p>
    <w:p w14:paraId="57075B7A" w14:textId="77777777" w:rsidR="0089264D" w:rsidRDefault="001C03E5" w:rsidP="00152DF6">
      <w:pPr>
        <w:pStyle w:val="Bullet"/>
        <w:numPr>
          <w:ilvl w:val="0"/>
          <w:numId w:val="11"/>
        </w:numPr>
      </w:pPr>
      <w:r>
        <w:t xml:space="preserve">one to </w:t>
      </w:r>
      <w:r w:rsidR="0094568A">
        <w:t>four</w:t>
      </w:r>
      <w:r w:rsidR="0089264D">
        <w:t xml:space="preserve"> </w:t>
      </w:r>
      <w:r>
        <w:t>exceed, or may exceed, the</w:t>
      </w:r>
      <w:r w:rsidR="0089264D">
        <w:t xml:space="preserve"> nitrogen dioxide standard </w:t>
      </w:r>
      <w:r w:rsidR="0094568A">
        <w:t>(</w:t>
      </w:r>
      <w:r>
        <w:t xml:space="preserve">eg, </w:t>
      </w:r>
      <w:r w:rsidR="0094568A">
        <w:t>Auckland</w:t>
      </w:r>
      <w:r>
        <w:t xml:space="preserve"> and</w:t>
      </w:r>
      <w:r w:rsidR="0094568A">
        <w:t xml:space="preserve"> Hamilton)</w:t>
      </w:r>
    </w:p>
    <w:p w14:paraId="504D4D55" w14:textId="77777777" w:rsidR="0089264D" w:rsidRDefault="001C03E5" w:rsidP="00152DF6">
      <w:pPr>
        <w:pStyle w:val="Bullet"/>
        <w:numPr>
          <w:ilvl w:val="0"/>
          <w:numId w:val="11"/>
        </w:numPr>
      </w:pPr>
      <w:r>
        <w:t xml:space="preserve">around </w:t>
      </w:r>
      <w:r w:rsidR="0094568A">
        <w:t>five</w:t>
      </w:r>
      <w:r w:rsidR="0089264D">
        <w:t xml:space="preserve"> </w:t>
      </w:r>
      <w:r>
        <w:t>have exceeded</w:t>
      </w:r>
      <w:r w:rsidR="0089264D">
        <w:t xml:space="preserve"> the sulphur dioxide standard </w:t>
      </w:r>
      <w:r>
        <w:t xml:space="preserve">on occasion or require management of sulphur dioxide </w:t>
      </w:r>
      <w:r w:rsidR="003E4AC4" w:rsidRPr="001C03E5">
        <w:t>(</w:t>
      </w:r>
      <w:r w:rsidR="00FD2F5E">
        <w:t xml:space="preserve">eg, </w:t>
      </w:r>
      <w:r w:rsidR="00F3408A" w:rsidRPr="001C03E5">
        <w:t>Marsden Point</w:t>
      </w:r>
      <w:r w:rsidR="0094568A" w:rsidRPr="001C03E5">
        <w:t xml:space="preserve">, Tauranga, and </w:t>
      </w:r>
      <w:r w:rsidR="008878E9">
        <w:t>Christchurch</w:t>
      </w:r>
      <w:r w:rsidR="003E4AC4" w:rsidRPr="001C03E5">
        <w:t>)</w:t>
      </w:r>
    </w:p>
    <w:p w14:paraId="409C92F1" w14:textId="77777777" w:rsidR="0089264D" w:rsidRDefault="001C03E5" w:rsidP="001C03E5">
      <w:pPr>
        <w:pStyle w:val="Bullet"/>
        <w:tabs>
          <w:tab w:val="clear" w:pos="397"/>
        </w:tabs>
        <w:ind w:left="0" w:firstLine="0"/>
      </w:pPr>
      <w:r>
        <w:t>The remainder are gazetted to manage PM</w:t>
      </w:r>
      <w:r w:rsidRPr="0046535B">
        <w:rPr>
          <w:vertAlign w:val="subscript"/>
        </w:rPr>
        <w:t>10</w:t>
      </w:r>
      <w:r w:rsidR="003C67B8">
        <w:t xml:space="preserve"> either now, or in the future.</w:t>
      </w:r>
      <w:r>
        <w:t xml:space="preserve"> Th</w:t>
      </w:r>
      <w:r w:rsidR="00F3408A">
        <w:t xml:space="preserve">ere </w:t>
      </w:r>
      <w:r w:rsidR="0089264D">
        <w:t xml:space="preserve">are no airsheds that have been </w:t>
      </w:r>
      <w:r w:rsidR="0089264D" w:rsidRPr="00E57B14">
        <w:t>gazetted</w:t>
      </w:r>
      <w:r w:rsidR="0089264D">
        <w:t xml:space="preserve"> </w:t>
      </w:r>
      <w:r w:rsidR="00607A35">
        <w:t>to manage</w:t>
      </w:r>
      <w:r w:rsidR="0089264D" w:rsidRPr="003E4AC4">
        <w:t xml:space="preserve"> ambient carbon monoxide </w:t>
      </w:r>
      <w:r>
        <w:t>or ozone</w:t>
      </w:r>
      <w:r w:rsidR="0089264D" w:rsidRPr="003E4AC4">
        <w:t>.</w:t>
      </w:r>
    </w:p>
    <w:p w14:paraId="51BDF1F4" w14:textId="77777777" w:rsidR="0089264D" w:rsidRDefault="0089264D" w:rsidP="00395666">
      <w:r>
        <w:t xml:space="preserve"> </w:t>
      </w:r>
    </w:p>
    <w:p w14:paraId="7EF805A3" w14:textId="77777777" w:rsidR="00073A3A" w:rsidRDefault="00073A3A" w:rsidP="00395666">
      <w:r>
        <w:t>These airsheds were designated through recommendations by regional councils and unita</w:t>
      </w:r>
      <w:r w:rsidR="003C67B8">
        <w:t>ry authorities to the Minister.</w:t>
      </w:r>
      <w:r>
        <w:t xml:space="preserve"> They </w:t>
      </w:r>
      <w:r w:rsidRPr="00BF2874">
        <w:t xml:space="preserve">extend upwards from ground level, with no specified upper limit, </w:t>
      </w:r>
      <w:r w:rsidR="0089264D">
        <w:t xml:space="preserve">and </w:t>
      </w:r>
      <w:r w:rsidRPr="00BF2874">
        <w:t>includ</w:t>
      </w:r>
      <w:r w:rsidR="0089264D">
        <w:t>e</w:t>
      </w:r>
      <w:r w:rsidRPr="00BF2874">
        <w:t xml:space="preserve"> coastal marine areas.</w:t>
      </w:r>
      <w:r w:rsidR="003C67B8">
        <w:t xml:space="preserve"> </w:t>
      </w:r>
      <w:r w:rsidR="007D1086" w:rsidRPr="00565705">
        <w:t>To date, approximately 1.5 per cent of New Zealand’s total land area has been gazetted as an airshed. This equates to an area in which an estimated two-thirds of New Zealand’s population live</w:t>
      </w:r>
      <w:r w:rsidR="007D1086">
        <w:t>.</w:t>
      </w:r>
      <w:r w:rsidR="007D1086" w:rsidRPr="00565705">
        <w:t xml:space="preserve"> Areas outside airsheds are generally sparsely populated, and, as a result, little monitoring occurs in the rural environment and areas free from emissions caused by human activity.</w:t>
      </w:r>
    </w:p>
    <w:p w14:paraId="0BFD42EB" w14:textId="77777777" w:rsidR="00073A3A" w:rsidRDefault="00073A3A" w:rsidP="00395666"/>
    <w:p w14:paraId="0DFCD8DD" w14:textId="77777777" w:rsidR="00073A3A" w:rsidRPr="00BF2874" w:rsidRDefault="00073A3A" w:rsidP="00395666">
      <w:pPr>
        <w:autoSpaceDE w:val="0"/>
        <w:autoSpaceDN w:val="0"/>
        <w:adjustRightInd w:val="0"/>
      </w:pPr>
      <w:r>
        <w:t>Detailed maps of all gazetted airsheds are held in Landonline, New</w:t>
      </w:r>
      <w:r w:rsidRPr="00BF2874">
        <w:t xml:space="preserve"> Zealand’s authoritative database for land title and survey information.</w:t>
      </w:r>
      <w:r>
        <w:rPr>
          <w:rStyle w:val="FootnoteReference"/>
        </w:rPr>
        <w:footnoteReference w:id="8"/>
      </w:r>
      <w:r w:rsidRPr="00BF2874">
        <w:t xml:space="preserve">  </w:t>
      </w:r>
      <w:r>
        <w:t>C</w:t>
      </w:r>
      <w:r w:rsidRPr="00BF2874">
        <w:t xml:space="preserve">opies of the plans </w:t>
      </w:r>
      <w:r>
        <w:t>are</w:t>
      </w:r>
      <w:r w:rsidRPr="00BF2874">
        <w:t xml:space="preserve"> available to the public via Landonline terminals in </w:t>
      </w:r>
      <w:r w:rsidR="002963D8">
        <w:t>Land Information New Zealand (</w:t>
      </w:r>
      <w:r w:rsidRPr="00BF2874">
        <w:t>LINZ</w:t>
      </w:r>
      <w:r w:rsidR="002963D8">
        <w:t>)</w:t>
      </w:r>
      <w:r w:rsidRPr="00BF2874">
        <w:t xml:space="preserve"> offices, or through anyone with online access, such as property professionals (</w:t>
      </w:r>
      <w:r>
        <w:t>eg,</w:t>
      </w:r>
      <w:r w:rsidR="003C67B8">
        <w:t xml:space="preserve"> surveyors and lawyers). </w:t>
      </w:r>
      <w:r w:rsidRPr="00BF2874">
        <w:t>Many territorial authorities have access to Landonline.</w:t>
      </w:r>
      <w:r>
        <w:t xml:space="preserve"> Additionally, copies are available from LINZ in pdf format for a small fee.</w:t>
      </w:r>
    </w:p>
    <w:p w14:paraId="38183F32" w14:textId="77777777" w:rsidR="00073A3A" w:rsidRDefault="00073A3A" w:rsidP="00395666">
      <w:pPr>
        <w:pStyle w:val="Bullet"/>
        <w:keepNext/>
        <w:tabs>
          <w:tab w:val="clear" w:pos="397"/>
        </w:tabs>
        <w:spacing w:before="0"/>
        <w:ind w:left="0" w:firstLine="0"/>
      </w:pPr>
    </w:p>
    <w:p w14:paraId="153D41C0" w14:textId="77777777" w:rsidR="00073A3A" w:rsidRPr="00CB4080" w:rsidRDefault="00073A3A" w:rsidP="00395666">
      <w:pPr>
        <w:pStyle w:val="Bullet"/>
        <w:keepNext/>
        <w:tabs>
          <w:tab w:val="clear" w:pos="397"/>
        </w:tabs>
        <w:spacing w:before="0"/>
        <w:ind w:left="0" w:firstLine="0"/>
      </w:pPr>
      <w:r>
        <w:t>Summary maps of gazetted airsheds are available on the Minist</w:t>
      </w:r>
      <w:r w:rsidR="005423C6">
        <w:t>ry for the Environment website</w:t>
      </w:r>
      <w:r w:rsidR="00B51560">
        <w:t xml:space="preserve"> at</w:t>
      </w:r>
      <w:r w:rsidR="005423C6">
        <w:t xml:space="preserve"> </w:t>
      </w:r>
      <w:r w:rsidRPr="00CB4080">
        <w:t>www.mfe.govt.n</w:t>
      </w:r>
      <w:r w:rsidR="005423C6">
        <w:t>z</w:t>
      </w:r>
    </w:p>
    <w:p w14:paraId="6A101B65" w14:textId="77777777" w:rsidR="00073A3A" w:rsidRPr="00BF2874" w:rsidRDefault="00073A3A" w:rsidP="006F7330">
      <w:pPr>
        <w:pStyle w:val="Heading5"/>
        <w:keepNext/>
      </w:pPr>
      <w:r>
        <w:t>Can</w:t>
      </w:r>
      <w:r w:rsidRPr="00BF2874">
        <w:t xml:space="preserve"> </w:t>
      </w:r>
      <w:r>
        <w:t>a</w:t>
      </w:r>
      <w:r w:rsidRPr="00BF2874">
        <w:t xml:space="preserve">irsheds be </w:t>
      </w:r>
      <w:r>
        <w:t>a</w:t>
      </w:r>
      <w:r w:rsidRPr="00BF2874">
        <w:t>mended?</w:t>
      </w:r>
    </w:p>
    <w:p w14:paraId="06F7D7D3" w14:textId="77777777" w:rsidR="00ED3DD0" w:rsidRDefault="00073A3A" w:rsidP="006F7330">
      <w:pPr>
        <w:keepNext/>
      </w:pPr>
      <w:r w:rsidRPr="00BF2874">
        <w:t xml:space="preserve">It is </w:t>
      </w:r>
      <w:r>
        <w:t>possible</w:t>
      </w:r>
      <w:r w:rsidRPr="00BF2874">
        <w:t xml:space="preserve"> </w:t>
      </w:r>
      <w:r>
        <w:t>to amend airsheds</w:t>
      </w:r>
      <w:r w:rsidR="00C1261C">
        <w:t>,</w:t>
      </w:r>
      <w:r>
        <w:t xml:space="preserve"> </w:t>
      </w:r>
      <w:r w:rsidR="00C1261C">
        <w:t xml:space="preserve">or create new ones, </w:t>
      </w:r>
      <w:r>
        <w:t>and this has o</w:t>
      </w:r>
      <w:r w:rsidR="00782D75">
        <w:t>ccurred in a number of regions.</w:t>
      </w:r>
      <w:r>
        <w:t xml:space="preserve"> </w:t>
      </w:r>
      <w:r w:rsidR="00C561A5">
        <w:t xml:space="preserve">All amendments to airsheds must be published in the </w:t>
      </w:r>
      <w:r w:rsidR="0066013D" w:rsidRPr="0066013D">
        <w:rPr>
          <w:i/>
        </w:rPr>
        <w:t xml:space="preserve">New Zealand </w:t>
      </w:r>
      <w:r w:rsidR="00C561A5" w:rsidRPr="00C561A5">
        <w:rPr>
          <w:i/>
        </w:rPr>
        <w:t>Gazette</w:t>
      </w:r>
      <w:r w:rsidR="0066013D" w:rsidRPr="0066013D">
        <w:t xml:space="preserve"> managed by the Department of Internal Affairs.</w:t>
      </w:r>
      <w:r w:rsidR="00C561A5">
        <w:t xml:space="preserve"> </w:t>
      </w:r>
      <w:r w:rsidR="00C1261C">
        <w:t xml:space="preserve">Should a regional council wish to amend their regions airsheds then provision of the new airsheds in format </w:t>
      </w:r>
      <w:r w:rsidR="00607A35">
        <w:t>suitable</w:t>
      </w:r>
      <w:r w:rsidR="00C1261C">
        <w:t xml:space="preserve"> for Landonline need</w:t>
      </w:r>
      <w:r w:rsidR="00607A35">
        <w:t>s</w:t>
      </w:r>
      <w:r w:rsidR="00C1261C">
        <w:t xml:space="preserve"> to be provided to the Ministry for the Environment. The Ministry will then request this is notified in the </w:t>
      </w:r>
      <w:r w:rsidR="00C1261C" w:rsidRPr="00C1261C">
        <w:rPr>
          <w:i/>
        </w:rPr>
        <w:t>Gazette</w:t>
      </w:r>
      <w:r w:rsidR="00C1261C">
        <w:t xml:space="preserve">. </w:t>
      </w:r>
      <w:r w:rsidR="00ED3DD0">
        <w:t xml:space="preserve">The full process for </w:t>
      </w:r>
      <w:r w:rsidR="00FD2F5E" w:rsidRPr="00E57B14">
        <w:t xml:space="preserve">gazetting </w:t>
      </w:r>
      <w:r w:rsidR="00ED3DD0">
        <w:t xml:space="preserve">airsheds is given in Appendix </w:t>
      </w:r>
      <w:r w:rsidR="00FD2F5E" w:rsidRPr="00B51560">
        <w:t>2</w:t>
      </w:r>
      <w:r w:rsidR="00ED3DD0">
        <w:t>.</w:t>
      </w:r>
    </w:p>
    <w:p w14:paraId="6D1F5CDE" w14:textId="77777777" w:rsidR="00ED3DD0" w:rsidRDefault="00ED3DD0" w:rsidP="00F3408A">
      <w:pPr>
        <w:keepNext/>
      </w:pPr>
    </w:p>
    <w:p w14:paraId="673A98B9" w14:textId="77777777" w:rsidR="00073A3A" w:rsidRDefault="00073A3A" w:rsidP="00F3408A">
      <w:pPr>
        <w:keepNext/>
      </w:pPr>
      <w:r>
        <w:t>For up to date information on airsheds</w:t>
      </w:r>
      <w:r w:rsidR="00C561A5">
        <w:t xml:space="preserve"> (including any potential changes to airsheds)</w:t>
      </w:r>
      <w:r>
        <w:t>, readers are referred to the regional council in question.</w:t>
      </w:r>
      <w:r w:rsidRPr="00BF2874">
        <w:t xml:space="preserve"> </w:t>
      </w:r>
    </w:p>
    <w:p w14:paraId="4E01D696" w14:textId="77777777" w:rsidR="00E92E1D" w:rsidRDefault="00E92E1D" w:rsidP="00E92E1D">
      <w:pPr>
        <w:pStyle w:val="BodyText"/>
      </w:pPr>
    </w:p>
    <w:p w14:paraId="3792091E" w14:textId="77777777" w:rsidR="007174BB" w:rsidRDefault="00C1261C" w:rsidP="00E92E1D">
      <w:pPr>
        <w:pStyle w:val="BodyText"/>
      </w:pPr>
      <w:r w:rsidRPr="00E57B14">
        <w:t xml:space="preserve">Gazetted </w:t>
      </w:r>
      <w:r>
        <w:t>airsheds are</w:t>
      </w:r>
      <w:r w:rsidRPr="00C1261C">
        <w:t xml:space="preserve"> </w:t>
      </w:r>
      <w:r w:rsidR="00782D75">
        <w:t>purely for management purposes.</w:t>
      </w:r>
      <w:r w:rsidRPr="00C1261C">
        <w:t xml:space="preserve"> The </w:t>
      </w:r>
      <w:r w:rsidR="00073A3A" w:rsidRPr="00C1261C">
        <w:t>Regulation</w:t>
      </w:r>
      <w:r w:rsidRPr="00C1261C">
        <w:t>s state that everywhere is an airshed</w:t>
      </w:r>
      <w:r w:rsidR="00607A35">
        <w:t xml:space="preserve"> within a regional council’s boundaries</w:t>
      </w:r>
      <w:r w:rsidR="00782D75">
        <w:t>.</w:t>
      </w:r>
      <w:r w:rsidRPr="00C1261C">
        <w:t xml:space="preserve"> However, </w:t>
      </w:r>
      <w:r w:rsidR="00073A3A" w:rsidRPr="00C1261C">
        <w:t>monitor</w:t>
      </w:r>
      <w:r w:rsidRPr="00C1261C">
        <w:t xml:space="preserve">ing is not required </w:t>
      </w:r>
      <w:r w:rsidR="00073A3A" w:rsidRPr="00C1261C">
        <w:t xml:space="preserve">where it is unlikely that an airshed will </w:t>
      </w:r>
      <w:r w:rsidR="00752687">
        <w:t>breach</w:t>
      </w:r>
      <w:r w:rsidR="00073A3A" w:rsidRPr="00C1261C">
        <w:t xml:space="preserve"> an ambient standard</w:t>
      </w:r>
      <w:r w:rsidR="007174BB" w:rsidRPr="00C1261C">
        <w:t xml:space="preserve"> (Reg</w:t>
      </w:r>
      <w:r w:rsidRPr="00C1261C">
        <w:t>ulation</w:t>
      </w:r>
      <w:r w:rsidR="007174BB" w:rsidRPr="00C1261C">
        <w:t xml:space="preserve"> 15)</w:t>
      </w:r>
      <w:r w:rsidR="00782D75">
        <w:t>.</w:t>
      </w:r>
      <w:r w:rsidR="00D634F4">
        <w:t xml:space="preserve"> This</w:t>
      </w:r>
      <w:r>
        <w:t xml:space="preserve"> is the case for areas outside those that have been </w:t>
      </w:r>
      <w:r w:rsidRPr="00E57B14">
        <w:t xml:space="preserve">gazetted </w:t>
      </w:r>
      <w:r>
        <w:t>as separate airsheds.</w:t>
      </w:r>
    </w:p>
    <w:p w14:paraId="78748874" w14:textId="77777777" w:rsidR="0066013D" w:rsidRDefault="0066013D" w:rsidP="00E92E1D">
      <w:pPr>
        <w:pStyle w:val="BodyText"/>
      </w:pPr>
    </w:p>
    <w:p w14:paraId="29A3D210" w14:textId="77777777" w:rsidR="0066013D" w:rsidRDefault="0066013D" w:rsidP="00E92E1D">
      <w:pPr>
        <w:pStyle w:val="BodyText"/>
      </w:pPr>
      <w:r>
        <w:t xml:space="preserve">It is important for clarity for the public that where a regional plan refers to </w:t>
      </w:r>
      <w:r w:rsidR="00B67AEA">
        <w:t>airsheds that</w:t>
      </w:r>
      <w:r>
        <w:t xml:space="preserve"> the boundaries of the airsheds are the same </w:t>
      </w:r>
      <w:r w:rsidR="00EB6564">
        <w:t>for</w:t>
      </w:r>
      <w:r>
        <w:t xml:space="preserve"> </w:t>
      </w:r>
      <w:r w:rsidR="00EB6564">
        <w:t>both the regional plan</w:t>
      </w:r>
      <w:r w:rsidR="003E3ECD">
        <w:t xml:space="preserve"> and those</w:t>
      </w:r>
      <w:r w:rsidR="00EB6564">
        <w:t xml:space="preserve"> </w:t>
      </w:r>
      <w:r w:rsidR="003E3ECD" w:rsidRPr="00F930B2">
        <w:t>gazetted</w:t>
      </w:r>
      <w:r w:rsidR="003E3ECD">
        <w:t xml:space="preserve"> </w:t>
      </w:r>
      <w:r w:rsidR="00EB6564">
        <w:t>under the Regulations.</w:t>
      </w:r>
      <w:r w:rsidR="00607A35">
        <w:t xml:space="preserve"> At time of writing this was not the case of Otago Regional Council which has differences between airsheds </w:t>
      </w:r>
      <w:r w:rsidR="00607A35" w:rsidRPr="00F930B2">
        <w:t xml:space="preserve">gazetted </w:t>
      </w:r>
      <w:r w:rsidR="00607A35">
        <w:t>for the purposes of the Regulations to those promulgated in the regional plan.</w:t>
      </w:r>
    </w:p>
    <w:p w14:paraId="0CBE7679" w14:textId="77777777" w:rsidR="00006C58" w:rsidRDefault="00006C58" w:rsidP="00E92E1D">
      <w:pPr>
        <w:pStyle w:val="BodyText"/>
      </w:pPr>
    </w:p>
    <w:p w14:paraId="01D3BE74" w14:textId="77777777" w:rsidR="00FD61F2" w:rsidRDefault="00FD61F2" w:rsidP="00FD61F2">
      <w:pPr>
        <w:pStyle w:val="Heading2"/>
      </w:pPr>
      <w:bookmarkStart w:id="42" w:name="_Toc300856599"/>
      <w:r>
        <w:t>3.5</w:t>
      </w:r>
      <w:r>
        <w:tab/>
        <w:t>Monitoring</w:t>
      </w:r>
      <w:bookmarkEnd w:id="42"/>
    </w:p>
    <w:p w14:paraId="333E07FC" w14:textId="77777777" w:rsidR="007174BB" w:rsidRDefault="007174BB" w:rsidP="007174BB">
      <w:r>
        <w:t>Regulation</w:t>
      </w:r>
      <w:r w:rsidRPr="00234369">
        <w:t xml:space="preserve"> 15 requires the following:</w:t>
      </w:r>
    </w:p>
    <w:p w14:paraId="6DC52FF4" w14:textId="77777777" w:rsidR="003E3ECD" w:rsidRPr="00234369" w:rsidRDefault="003E3ECD" w:rsidP="007174BB"/>
    <w:p w14:paraId="40CD9994" w14:textId="77777777" w:rsidR="007174BB" w:rsidRPr="000D0892" w:rsidRDefault="007174BB" w:rsidP="003E3ECD">
      <w:pPr>
        <w:pStyle w:val="Blockquote"/>
        <w:spacing w:before="0"/>
        <w:ind w:left="1134" w:hanging="567"/>
        <w:rPr>
          <w:b/>
        </w:rPr>
      </w:pPr>
      <w:r w:rsidRPr="000D0892">
        <w:rPr>
          <w:b/>
        </w:rPr>
        <w:t>15</w:t>
      </w:r>
      <w:r w:rsidRPr="000D0892">
        <w:rPr>
          <w:b/>
        </w:rPr>
        <w:tab/>
        <w:t>Regional council must monitor air quality if standard breached</w:t>
      </w:r>
    </w:p>
    <w:p w14:paraId="2A899902" w14:textId="77777777" w:rsidR="007174BB" w:rsidRDefault="007174BB" w:rsidP="003E3ECD">
      <w:pPr>
        <w:pStyle w:val="Blockquote"/>
        <w:spacing w:before="0"/>
        <w:ind w:left="1134"/>
      </w:pPr>
      <w:r w:rsidRPr="00F948D5">
        <w:t>If it is likely that the ambient air quality standard for a contaminant will be breached in an airshed, the regional council must</w:t>
      </w:r>
      <w:r>
        <w:t> –</w:t>
      </w:r>
    </w:p>
    <w:p w14:paraId="7BBFBE2F" w14:textId="77777777" w:rsidR="007174BB" w:rsidRPr="00234369" w:rsidRDefault="007174BB" w:rsidP="003E3ECD">
      <w:pPr>
        <w:pStyle w:val="Blockquote"/>
        <w:spacing w:before="0"/>
        <w:ind w:left="1701" w:hanging="567"/>
      </w:pPr>
      <w:r>
        <w:t>a.</w:t>
      </w:r>
      <w:r>
        <w:tab/>
      </w:r>
      <w:r w:rsidRPr="00234369">
        <w:t>monitor the airshed in relation to that contaminant; and</w:t>
      </w:r>
    </w:p>
    <w:p w14:paraId="05F016D3" w14:textId="77777777" w:rsidR="007174BB" w:rsidRDefault="007174BB" w:rsidP="003E3ECD">
      <w:pPr>
        <w:pStyle w:val="Blockquote"/>
        <w:spacing w:before="0"/>
        <w:ind w:left="1701" w:hanging="567"/>
      </w:pPr>
      <w:r>
        <w:t>b.</w:t>
      </w:r>
      <w:r>
        <w:tab/>
      </w:r>
      <w:r w:rsidRPr="00234369">
        <w:t>conduct the monitoring</w:t>
      </w:r>
      <w:r>
        <w:t> –</w:t>
      </w:r>
    </w:p>
    <w:p w14:paraId="66A858F8" w14:textId="77777777" w:rsidR="007174BB" w:rsidRDefault="007174BB" w:rsidP="003E3ECD">
      <w:pPr>
        <w:pStyle w:val="Blockquote"/>
        <w:spacing w:before="0"/>
        <w:ind w:left="2268" w:hanging="567"/>
      </w:pPr>
      <w:r>
        <w:t>(i)</w:t>
      </w:r>
      <w:r>
        <w:tab/>
      </w:r>
      <w:r w:rsidRPr="00234369">
        <w:t>in that part of the airshed where</w:t>
      </w:r>
      <w:r>
        <w:t> –</w:t>
      </w:r>
    </w:p>
    <w:p w14:paraId="636A0466" w14:textId="77777777" w:rsidR="007174BB" w:rsidRPr="00234369" w:rsidRDefault="007174BB" w:rsidP="003E3ECD">
      <w:pPr>
        <w:pStyle w:val="Blockquote"/>
        <w:spacing w:before="0"/>
        <w:ind w:left="2835" w:hanging="567"/>
      </w:pPr>
      <w:r>
        <w:t>A.</w:t>
      </w:r>
      <w:r>
        <w:tab/>
      </w:r>
      <w:r w:rsidRPr="00234369">
        <w:t>there are one or more people; and</w:t>
      </w:r>
    </w:p>
    <w:p w14:paraId="7537A2E1" w14:textId="77777777" w:rsidR="007174BB" w:rsidRPr="00234369" w:rsidRDefault="007174BB" w:rsidP="003E3ECD">
      <w:pPr>
        <w:pStyle w:val="Blockquote"/>
        <w:spacing w:before="0"/>
        <w:ind w:left="2835" w:hanging="567"/>
      </w:pPr>
      <w:r>
        <w:t>B.</w:t>
      </w:r>
      <w:r>
        <w:tab/>
      </w:r>
      <w:r w:rsidRPr="00234369">
        <w:t>the standard is breached by the greatest margin or the standard is breached the most frequently, whichever is more likely; and</w:t>
      </w:r>
    </w:p>
    <w:p w14:paraId="72708C2B" w14:textId="77777777" w:rsidR="007174BB" w:rsidRPr="00234369" w:rsidRDefault="007174BB" w:rsidP="003E3ECD">
      <w:pPr>
        <w:pStyle w:val="Blockquote"/>
        <w:spacing w:before="0"/>
        <w:ind w:left="2268" w:hanging="567"/>
      </w:pPr>
      <w:r>
        <w:t>(ii)</w:t>
      </w:r>
      <w:r>
        <w:tab/>
      </w:r>
      <w:r w:rsidRPr="00234369">
        <w:t>in accordance with the relevant method listed in Schedule 2.</w:t>
      </w:r>
    </w:p>
    <w:p w14:paraId="62BE4654" w14:textId="77777777" w:rsidR="007174BB" w:rsidRDefault="007174BB" w:rsidP="00E92E1D">
      <w:pPr>
        <w:pStyle w:val="BodyText"/>
      </w:pPr>
    </w:p>
    <w:p w14:paraId="389CF655" w14:textId="77777777" w:rsidR="00C91E5F" w:rsidRDefault="00C91E5F" w:rsidP="00E92E1D">
      <w:pPr>
        <w:pStyle w:val="BodyText"/>
      </w:pPr>
      <w:r>
        <w:t>Councils must undertake an assessment of each airshed within their region for each contaminant within the ambient standards to determine:</w:t>
      </w:r>
    </w:p>
    <w:p w14:paraId="78A2F158" w14:textId="77777777" w:rsidR="00C91E5F" w:rsidRDefault="003E3ECD" w:rsidP="00152DF6">
      <w:pPr>
        <w:pStyle w:val="Sub-list"/>
        <w:numPr>
          <w:ilvl w:val="0"/>
          <w:numId w:val="10"/>
        </w:numPr>
      </w:pPr>
      <w:r>
        <w:t xml:space="preserve">whether </w:t>
      </w:r>
      <w:r w:rsidR="00C91E5F">
        <w:t xml:space="preserve">the ambient standard is likely to be </w:t>
      </w:r>
      <w:r w:rsidR="00A02F1E">
        <w:t>‘</w:t>
      </w:r>
      <w:r w:rsidR="00C91E5F">
        <w:t>breached</w:t>
      </w:r>
      <w:r w:rsidR="00A02F1E">
        <w:t>’</w:t>
      </w:r>
    </w:p>
    <w:p w14:paraId="1E11AE56" w14:textId="77777777" w:rsidR="00C91E5F" w:rsidRDefault="003E3ECD" w:rsidP="00152DF6">
      <w:pPr>
        <w:pStyle w:val="Sub-list"/>
        <w:numPr>
          <w:ilvl w:val="0"/>
          <w:numId w:val="10"/>
        </w:numPr>
      </w:pPr>
      <w:r>
        <w:t xml:space="preserve">who </w:t>
      </w:r>
      <w:r w:rsidR="00ED1526">
        <w:t>is</w:t>
      </w:r>
      <w:r w:rsidR="00C91E5F">
        <w:t xml:space="preserve"> likely to be exposed if a breach occurs</w:t>
      </w:r>
    </w:p>
    <w:p w14:paraId="2759EC57" w14:textId="77777777" w:rsidR="00C91E5F" w:rsidRDefault="003E3ECD" w:rsidP="00152DF6">
      <w:pPr>
        <w:pStyle w:val="Sub-list"/>
        <w:numPr>
          <w:ilvl w:val="0"/>
          <w:numId w:val="10"/>
        </w:numPr>
      </w:pPr>
      <w:r>
        <w:t xml:space="preserve">where </w:t>
      </w:r>
      <w:r w:rsidR="00C91E5F">
        <w:t xml:space="preserve">the most appropriate location for a </w:t>
      </w:r>
      <w:r w:rsidR="006A7138">
        <w:t xml:space="preserve">representative </w:t>
      </w:r>
      <w:r w:rsidR="00C91E5F">
        <w:t>monitor is</w:t>
      </w:r>
      <w:r w:rsidR="00942FBC">
        <w:t>.</w:t>
      </w:r>
      <w:r w:rsidR="00C91E5F">
        <w:t xml:space="preserve"> </w:t>
      </w:r>
    </w:p>
    <w:p w14:paraId="3FCC89F1" w14:textId="77777777" w:rsidR="006F544A" w:rsidRDefault="006F544A" w:rsidP="006F544A">
      <w:pPr>
        <w:pStyle w:val="BodyText"/>
      </w:pPr>
    </w:p>
    <w:p w14:paraId="24D4AF34" w14:textId="77777777" w:rsidR="00E54F4E" w:rsidRPr="00A719D2" w:rsidRDefault="00E54F4E" w:rsidP="00E54F4E">
      <w:r w:rsidRPr="00E54F4E">
        <w:t xml:space="preserve">Further guidance on monitoring is provided in the </w:t>
      </w:r>
      <w:r w:rsidRPr="00ED1526">
        <w:t>Ambient Air Quality Guidelines</w:t>
      </w:r>
      <w:r w:rsidRPr="00E54F4E">
        <w:t xml:space="preserve"> (M</w:t>
      </w:r>
      <w:r w:rsidR="00D634F4">
        <w:t xml:space="preserve">fE </w:t>
      </w:r>
      <w:r w:rsidRPr="00E54F4E">
        <w:t>2002</w:t>
      </w:r>
      <w:r w:rsidR="00E51FBD">
        <w:t>a</w:t>
      </w:r>
      <w:r w:rsidRPr="00E54F4E">
        <w:t xml:space="preserve">) and the </w:t>
      </w:r>
      <w:r w:rsidRPr="00ED1526">
        <w:t>Good Practice Guide for Air Quality Monitoring and Data Management 2009</w:t>
      </w:r>
      <w:r w:rsidRPr="00E54F4E">
        <w:rPr>
          <w:i/>
        </w:rPr>
        <w:t xml:space="preserve"> </w:t>
      </w:r>
      <w:r w:rsidR="0089010C">
        <w:rPr>
          <w:i/>
        </w:rPr>
        <w:br/>
      </w:r>
      <w:r w:rsidRPr="00E54F4E">
        <w:t>(</w:t>
      </w:r>
      <w:r w:rsidR="00D634F4">
        <w:t>MfE</w:t>
      </w:r>
      <w:r w:rsidRPr="00E54F4E">
        <w:t>, 2009</w:t>
      </w:r>
      <w:r w:rsidR="00ED1526">
        <w:t>a</w:t>
      </w:r>
      <w:r w:rsidRPr="00E54F4E">
        <w:t>).</w:t>
      </w:r>
    </w:p>
    <w:p w14:paraId="0E5230C4" w14:textId="77777777" w:rsidR="003654B2" w:rsidRDefault="003654B2" w:rsidP="00C561A5">
      <w:pPr>
        <w:pStyle w:val="Heading3"/>
      </w:pPr>
      <w:r>
        <w:t>3.5.1</w:t>
      </w:r>
      <w:r>
        <w:tab/>
        <w:t xml:space="preserve">Is the ambient standard likely to be </w:t>
      </w:r>
      <w:r w:rsidR="00A02F1E">
        <w:t>‘</w:t>
      </w:r>
      <w:r>
        <w:t>breached</w:t>
      </w:r>
      <w:r w:rsidR="00A02F1E">
        <w:t>’</w:t>
      </w:r>
      <w:r>
        <w:t>?</w:t>
      </w:r>
    </w:p>
    <w:p w14:paraId="02257EA3" w14:textId="77777777" w:rsidR="006A7138" w:rsidRDefault="006A7138" w:rsidP="003654B2">
      <w:pPr>
        <w:pStyle w:val="BodyText"/>
      </w:pPr>
      <w:r>
        <w:t>Regional councils</w:t>
      </w:r>
      <w:r w:rsidR="006C72B9">
        <w:t>, if they have not already,</w:t>
      </w:r>
      <w:r>
        <w:t xml:space="preserve"> need to undertake an assessment of each airshed within the region for each ambient contaminant to determine whether the relevant ambient standard given in </w:t>
      </w:r>
      <w:r w:rsidR="007700C6">
        <w:t xml:space="preserve">Schedule </w:t>
      </w:r>
      <w:r w:rsidR="00FA2232">
        <w:t xml:space="preserve">1 </w:t>
      </w:r>
      <w:r>
        <w:t xml:space="preserve">of the </w:t>
      </w:r>
      <w:r w:rsidR="007700C6">
        <w:t xml:space="preserve">Regulation </w:t>
      </w:r>
      <w:r w:rsidR="005D6D32">
        <w:t>is likely to be breached.</w:t>
      </w:r>
    </w:p>
    <w:p w14:paraId="7377E5DD" w14:textId="77777777" w:rsidR="006A7138" w:rsidRDefault="006A7138" w:rsidP="003654B2">
      <w:pPr>
        <w:pStyle w:val="BodyText"/>
      </w:pPr>
    </w:p>
    <w:p w14:paraId="59BA4765" w14:textId="77777777" w:rsidR="003654B2" w:rsidRDefault="006A7138" w:rsidP="003654B2">
      <w:pPr>
        <w:pStyle w:val="BodyText"/>
      </w:pPr>
      <w:r>
        <w:t>Where possible, it is preferable that ambient monitoring data is used to determine the status of each ai</w:t>
      </w:r>
      <w:r w:rsidR="00782D75">
        <w:t>rshed.</w:t>
      </w:r>
      <w:r>
        <w:t xml:space="preserve"> However, ambient monitoring is expensive and may not be efficient and cost effective especially </w:t>
      </w:r>
      <w:r w:rsidR="006F544A">
        <w:t>where pollutant levels are unlikely to be high</w:t>
      </w:r>
      <w:r w:rsidR="00782D75">
        <w:t>.</w:t>
      </w:r>
      <w:r>
        <w:t xml:space="preserve"> Alternative methods to determine the status of an airshed include:</w:t>
      </w:r>
    </w:p>
    <w:p w14:paraId="5A51E50D" w14:textId="77777777" w:rsidR="006A7138" w:rsidRDefault="00307FE1" w:rsidP="00152DF6">
      <w:pPr>
        <w:pStyle w:val="Bullet"/>
        <w:numPr>
          <w:ilvl w:val="0"/>
          <w:numId w:val="11"/>
        </w:numPr>
      </w:pPr>
      <w:r>
        <w:t>s</w:t>
      </w:r>
      <w:r w:rsidR="006A7138">
        <w:t>hort-term ambient monitoring</w:t>
      </w:r>
    </w:p>
    <w:p w14:paraId="12CD0B20" w14:textId="77777777" w:rsidR="006A7138" w:rsidRDefault="00307FE1" w:rsidP="00152DF6">
      <w:pPr>
        <w:pStyle w:val="Bullet"/>
        <w:numPr>
          <w:ilvl w:val="0"/>
          <w:numId w:val="11"/>
        </w:numPr>
      </w:pPr>
      <w:r>
        <w:t>e</w:t>
      </w:r>
      <w:r w:rsidR="006A7138">
        <w:t>mission inventories</w:t>
      </w:r>
    </w:p>
    <w:p w14:paraId="5F309793" w14:textId="77777777" w:rsidR="006A7138" w:rsidRDefault="00307FE1" w:rsidP="00152DF6">
      <w:pPr>
        <w:pStyle w:val="Bullet"/>
        <w:numPr>
          <w:ilvl w:val="0"/>
          <w:numId w:val="11"/>
        </w:numPr>
      </w:pPr>
      <w:r>
        <w:t>p</w:t>
      </w:r>
      <w:r w:rsidR="006A7138">
        <w:t>roxy monitoring</w:t>
      </w:r>
    </w:p>
    <w:p w14:paraId="6633D125" w14:textId="77777777" w:rsidR="007700C6" w:rsidRDefault="00307FE1" w:rsidP="00152DF6">
      <w:pPr>
        <w:pStyle w:val="Bullet"/>
        <w:numPr>
          <w:ilvl w:val="0"/>
          <w:numId w:val="11"/>
        </w:numPr>
      </w:pPr>
      <w:r>
        <w:t>m</w:t>
      </w:r>
      <w:r w:rsidR="007700C6">
        <w:t>odelling</w:t>
      </w:r>
      <w:r>
        <w:t>.</w:t>
      </w:r>
    </w:p>
    <w:p w14:paraId="6CEB641C" w14:textId="77777777" w:rsidR="006A7138" w:rsidRDefault="006A7138" w:rsidP="006F544A">
      <w:pPr>
        <w:pStyle w:val="BodyText"/>
      </w:pPr>
    </w:p>
    <w:p w14:paraId="1D6C870D" w14:textId="77777777" w:rsidR="007700C6" w:rsidRPr="00FA162B" w:rsidRDefault="006F544A" w:rsidP="00FA162B">
      <w:pPr>
        <w:pStyle w:val="BodyText"/>
        <w:shd w:val="clear" w:color="auto" w:fill="D9D9D9"/>
      </w:pPr>
      <w:r w:rsidRPr="00FA162B">
        <w:t xml:space="preserve">If an airshed is </w:t>
      </w:r>
      <w:r w:rsidRPr="0089010C">
        <w:rPr>
          <w:b/>
        </w:rPr>
        <w:t>likely</w:t>
      </w:r>
      <w:r w:rsidRPr="00FA162B">
        <w:t xml:space="preserve"> to breach an ambient standard then </w:t>
      </w:r>
      <w:r w:rsidR="007700C6" w:rsidRPr="00FA162B">
        <w:t xml:space="preserve">Regulation </w:t>
      </w:r>
      <w:r w:rsidRPr="00FA162B">
        <w:t>15 requires ambient monitoring to be undertaken until such time as it can be shown that a breach is no longer likely.</w:t>
      </w:r>
      <w:r w:rsidRPr="00FA162B">
        <w:rPr>
          <w:highlight w:val="yellow"/>
        </w:rPr>
        <w:t xml:space="preserve"> </w:t>
      </w:r>
    </w:p>
    <w:p w14:paraId="6785C161" w14:textId="77777777" w:rsidR="007700C6" w:rsidRDefault="007700C6" w:rsidP="006F544A">
      <w:pPr>
        <w:pStyle w:val="BodyText"/>
      </w:pPr>
    </w:p>
    <w:p w14:paraId="1158A745" w14:textId="77777777" w:rsidR="006F544A" w:rsidRDefault="006F544A" w:rsidP="006F544A">
      <w:pPr>
        <w:pStyle w:val="BodyText"/>
      </w:pPr>
      <w:r w:rsidRPr="006F544A">
        <w:t xml:space="preserve">If it is </w:t>
      </w:r>
      <w:r>
        <w:t>un</w:t>
      </w:r>
      <w:r w:rsidRPr="006F544A">
        <w:t xml:space="preserve">likely that the airshed will </w:t>
      </w:r>
      <w:r w:rsidR="00752687">
        <w:t xml:space="preserve">breach </w:t>
      </w:r>
      <w:r w:rsidRPr="006F544A">
        <w:t xml:space="preserve">an ambient standard concentration limit, then the airshed does </w:t>
      </w:r>
      <w:r w:rsidRPr="00607A35">
        <w:t>not have</w:t>
      </w:r>
      <w:r w:rsidRPr="006F544A">
        <w:t xml:space="preserve"> to be monitored for the purposes of the </w:t>
      </w:r>
      <w:r w:rsidR="007700C6" w:rsidRPr="006F544A">
        <w:t>Regulation</w:t>
      </w:r>
      <w:r w:rsidRPr="006F544A">
        <w:t>.</w:t>
      </w:r>
    </w:p>
    <w:p w14:paraId="1115AD4E" w14:textId="77777777" w:rsidR="003654B2" w:rsidRPr="003654B2" w:rsidRDefault="003654B2" w:rsidP="00D45C9B">
      <w:pPr>
        <w:pStyle w:val="Heading3"/>
      </w:pPr>
      <w:r>
        <w:t>3.5.2</w:t>
      </w:r>
      <w:r>
        <w:tab/>
        <w:t>Who would be exposed</w:t>
      </w:r>
      <w:r w:rsidR="00D45C9B">
        <w:t>?</w:t>
      </w:r>
    </w:p>
    <w:p w14:paraId="07A63566" w14:textId="77777777" w:rsidR="00D339E1" w:rsidRDefault="009C69C3" w:rsidP="009C69C3">
      <w:pPr>
        <w:pStyle w:val="BodyText"/>
      </w:pPr>
      <w:r>
        <w:t xml:space="preserve">Monitoring for compliance with the ambient standards must be undertaken </w:t>
      </w:r>
      <w:r w:rsidRPr="00D339E1">
        <w:rPr>
          <w:b/>
        </w:rPr>
        <w:t>where people are likely to be exposed</w:t>
      </w:r>
      <w:r>
        <w:t xml:space="preserve">.  </w:t>
      </w:r>
    </w:p>
    <w:p w14:paraId="0E5B360A" w14:textId="77777777" w:rsidR="00D339E1" w:rsidRDefault="00D339E1" w:rsidP="009C69C3">
      <w:pPr>
        <w:pStyle w:val="BodyText"/>
      </w:pPr>
    </w:p>
    <w:p w14:paraId="5C34E902" w14:textId="77777777" w:rsidR="009C69C3" w:rsidRDefault="009C69C3" w:rsidP="009C69C3">
      <w:pPr>
        <w:pStyle w:val="BodyText"/>
      </w:pPr>
      <w:r>
        <w:t>In terms of population exposure</w:t>
      </w:r>
      <w:r w:rsidR="00FD2F5E">
        <w:t>,</w:t>
      </w:r>
      <w:r>
        <w:t xml:space="preserve"> consideration should be given to both </w:t>
      </w:r>
      <w:r w:rsidRPr="00BD663D">
        <w:rPr>
          <w:b/>
        </w:rPr>
        <w:t>intensity</w:t>
      </w:r>
      <w:r>
        <w:t xml:space="preserve"> and </w:t>
      </w:r>
      <w:r w:rsidRPr="00BD663D">
        <w:rPr>
          <w:b/>
        </w:rPr>
        <w:t>duration</w:t>
      </w:r>
      <w:r w:rsidRPr="009C69C3">
        <w:t xml:space="preserve"> of exposure</w:t>
      </w:r>
      <w:r>
        <w:t xml:space="preserve"> and </w:t>
      </w:r>
      <w:r w:rsidRPr="00BD663D">
        <w:rPr>
          <w:b/>
        </w:rPr>
        <w:t>how many people</w:t>
      </w:r>
      <w:r>
        <w:t xml:space="preserve"> are exposed. For example, an area with only a small population may experience extremely high levels but only on odd occasions, whereas another area with a large population may have lower levels of pollution</w:t>
      </w:r>
      <w:r w:rsidR="00782D75">
        <w:t xml:space="preserve"> but be consistently elevated. </w:t>
      </w:r>
      <w:r>
        <w:t xml:space="preserve">In such cases, assessing the ‘worst’ exposure requires a </w:t>
      </w:r>
      <w:r w:rsidR="00782D75">
        <w:t>judgement call by the council.</w:t>
      </w:r>
    </w:p>
    <w:p w14:paraId="74DBE796" w14:textId="77777777" w:rsidR="006C72B9" w:rsidRDefault="006C72B9" w:rsidP="009C69C3">
      <w:pPr>
        <w:pStyle w:val="BodyText"/>
      </w:pPr>
    </w:p>
    <w:p w14:paraId="33505AFB" w14:textId="77777777" w:rsidR="006C72B9" w:rsidRDefault="004B72C8" w:rsidP="009C69C3">
      <w:pPr>
        <w:pStyle w:val="BodyText"/>
      </w:pPr>
      <w:r>
        <w:t xml:space="preserve">It is recommended that </w:t>
      </w:r>
      <w:r w:rsidRPr="00F0026A">
        <w:t xml:space="preserve">regional </w:t>
      </w:r>
      <w:r>
        <w:t>councils</w:t>
      </w:r>
      <w:r w:rsidR="00D339E1" w:rsidRPr="00F0026A">
        <w:t xml:space="preserve"> undertake a review of each monitoring site to determine what type of exposure is occurring at each site</w:t>
      </w:r>
      <w:r w:rsidR="00F0026A" w:rsidRPr="00F0026A">
        <w:t xml:space="preserve"> and justifying any judgement calls they have made</w:t>
      </w:r>
      <w:r w:rsidR="00782D75">
        <w:t>.</w:t>
      </w:r>
      <w:r w:rsidR="00D339E1" w:rsidRPr="00F0026A">
        <w:t xml:space="preserve"> </w:t>
      </w:r>
      <w:r>
        <w:t xml:space="preserve">The review should also include a review of whether monitors are appropriately located, whether new locations are required, and whether there are sufficient monitors within the airshed to determine population exposure. </w:t>
      </w:r>
    </w:p>
    <w:p w14:paraId="2CBF21D5" w14:textId="77777777" w:rsidR="00BB2C9C" w:rsidRPr="00BB2C9C" w:rsidRDefault="00C561A5" w:rsidP="00BB2C9C">
      <w:pPr>
        <w:pStyle w:val="Heading3"/>
      </w:pPr>
      <w:r>
        <w:t>3.5</w:t>
      </w:r>
      <w:r w:rsidR="004D199C">
        <w:t>.3</w:t>
      </w:r>
      <w:r w:rsidR="00BB2C9C">
        <w:tab/>
        <w:t xml:space="preserve">Location of </w:t>
      </w:r>
      <w:r w:rsidR="009C69C3">
        <w:t xml:space="preserve">representative ‘worst’ </w:t>
      </w:r>
      <w:r w:rsidR="00BB2C9C">
        <w:t>monitoring sites</w:t>
      </w:r>
    </w:p>
    <w:p w14:paraId="3B81A944" w14:textId="77777777" w:rsidR="00F0026A" w:rsidRDefault="00BD663D" w:rsidP="00BD663D">
      <w:pPr>
        <w:pStyle w:val="BodyText"/>
      </w:pPr>
      <w:r>
        <w:t xml:space="preserve">The </w:t>
      </w:r>
      <w:r w:rsidR="00671120">
        <w:t xml:space="preserve">Regulations </w:t>
      </w:r>
      <w:r>
        <w:t>stipulate that monitoring must be carried out where</w:t>
      </w:r>
      <w:r w:rsidR="00F0026A">
        <w:t>:</w:t>
      </w:r>
    </w:p>
    <w:p w14:paraId="78477B14" w14:textId="77777777" w:rsidR="00F0026A" w:rsidRPr="00F0026A" w:rsidRDefault="00BD663D" w:rsidP="00152DF6">
      <w:pPr>
        <w:pStyle w:val="Bullet"/>
        <w:numPr>
          <w:ilvl w:val="0"/>
          <w:numId w:val="11"/>
        </w:numPr>
        <w:rPr>
          <w:b/>
        </w:rPr>
      </w:pPr>
      <w:r w:rsidRPr="00F0026A">
        <w:rPr>
          <w:b/>
        </w:rPr>
        <w:t>people are exposed</w:t>
      </w:r>
    </w:p>
    <w:p w14:paraId="6949A540" w14:textId="77777777" w:rsidR="00F0026A" w:rsidRDefault="00BD663D" w:rsidP="00152DF6">
      <w:pPr>
        <w:pStyle w:val="Bullet"/>
        <w:numPr>
          <w:ilvl w:val="0"/>
          <w:numId w:val="11"/>
        </w:numPr>
      </w:pPr>
      <w:r>
        <w:t xml:space="preserve">the ambient standards are most likely to be </w:t>
      </w:r>
      <w:r w:rsidR="00752687">
        <w:rPr>
          <w:b/>
        </w:rPr>
        <w:t>breached</w:t>
      </w:r>
      <w:r w:rsidRPr="00F0026A">
        <w:rPr>
          <w:b/>
        </w:rPr>
        <w:t xml:space="preserve"> by the greatest margin or</w:t>
      </w:r>
      <w:r>
        <w:t xml:space="preserve"> with the </w:t>
      </w:r>
      <w:r w:rsidRPr="00F0026A">
        <w:rPr>
          <w:b/>
        </w:rPr>
        <w:t>most frequency</w:t>
      </w:r>
      <w:r w:rsidR="00307FE1">
        <w:t>, whichever is more likely.</w:t>
      </w:r>
    </w:p>
    <w:p w14:paraId="4955732C" w14:textId="77777777" w:rsidR="00F0026A" w:rsidRDefault="00F0026A" w:rsidP="00BD663D">
      <w:pPr>
        <w:pStyle w:val="BodyText"/>
      </w:pPr>
    </w:p>
    <w:p w14:paraId="6E30408A" w14:textId="77777777" w:rsidR="00BD663D" w:rsidRDefault="004B72C8" w:rsidP="00BD663D">
      <w:pPr>
        <w:pStyle w:val="BodyText"/>
      </w:pPr>
      <w:r>
        <w:t xml:space="preserve">The most common interpretation of this is that the Regulations </w:t>
      </w:r>
      <w:r w:rsidR="00BD663D">
        <w:t>place an onus on councils to monitor in the ‘</w:t>
      </w:r>
      <w:r w:rsidR="00BD663D" w:rsidRPr="002D7293">
        <w:rPr>
          <w:b/>
        </w:rPr>
        <w:t>worst</w:t>
      </w:r>
      <w:r w:rsidR="00BD663D">
        <w:t>’ location.</w:t>
      </w:r>
      <w:r w:rsidR="002D7293" w:rsidRPr="002D7293">
        <w:t xml:space="preserve"> </w:t>
      </w:r>
      <w:r w:rsidR="002D7293">
        <w:t xml:space="preserve">That is, the monitor must be located </w:t>
      </w:r>
      <w:r w:rsidR="006A7138">
        <w:t xml:space="preserve">at a site that is representative of </w:t>
      </w:r>
      <w:r w:rsidR="00DD5A0A">
        <w:t xml:space="preserve">where air pollution </w:t>
      </w:r>
      <w:r w:rsidR="002D7293">
        <w:t xml:space="preserve">for the contaminant being monitored </w:t>
      </w:r>
      <w:r w:rsidR="00DD5A0A">
        <w:t>is</w:t>
      </w:r>
      <w:r w:rsidR="002D7293">
        <w:t xml:space="preserve"> </w:t>
      </w:r>
      <w:r w:rsidR="00F0026A">
        <w:t xml:space="preserve">likely to cause the </w:t>
      </w:r>
      <w:r w:rsidR="00F0026A" w:rsidRPr="004B72C8">
        <w:rPr>
          <w:i/>
        </w:rPr>
        <w:t>most</w:t>
      </w:r>
      <w:r w:rsidR="00F0026A">
        <w:t xml:space="preserve"> effects on people</w:t>
      </w:r>
      <w:r w:rsidR="002D7293">
        <w:t>.</w:t>
      </w:r>
    </w:p>
    <w:p w14:paraId="4C28DB01" w14:textId="77777777" w:rsidR="00CF28F1" w:rsidRDefault="00CF28F1" w:rsidP="004A7EAC"/>
    <w:p w14:paraId="56668C5B" w14:textId="77777777" w:rsidR="004A7EAC" w:rsidRDefault="004B72C8" w:rsidP="004A7EAC">
      <w:r>
        <w:t>In reality</w:t>
      </w:r>
      <w:r w:rsidR="00FA162B">
        <w:t>,</w:t>
      </w:r>
      <w:r>
        <w:t xml:space="preserve"> however, </w:t>
      </w:r>
      <w:r w:rsidR="00CF28F1">
        <w:t>p</w:t>
      </w:r>
      <w:r w:rsidR="004A7EAC">
        <w:t xml:space="preserve">ractical considerations such as site security and access to electricity </w:t>
      </w:r>
      <w:r>
        <w:t xml:space="preserve">can significantly narrow </w:t>
      </w:r>
      <w:r w:rsidR="004A7EAC">
        <w:t>the eligibility of monitoring site locations.</w:t>
      </w:r>
      <w:r w:rsidR="00BB2C9C">
        <w:t xml:space="preserve"> </w:t>
      </w:r>
      <w:r>
        <w:t>It is recommended that site selection be</w:t>
      </w:r>
      <w:r w:rsidR="00BB2C9C">
        <w:t xml:space="preserve"> documented </w:t>
      </w:r>
      <w:r w:rsidR="00FD2F5E">
        <w:t>in a</w:t>
      </w:r>
      <w:r>
        <w:t xml:space="preserve"> transparent way and include, where necessary,</w:t>
      </w:r>
      <w:r w:rsidR="00BB2C9C">
        <w:t xml:space="preserve"> the</w:t>
      </w:r>
      <w:r>
        <w:t xml:space="preserve"> reasons why a </w:t>
      </w:r>
      <w:r w:rsidR="00BB2C9C">
        <w:t xml:space="preserve">chosen </w:t>
      </w:r>
      <w:r>
        <w:t xml:space="preserve">site </w:t>
      </w:r>
      <w:r w:rsidR="00BB2C9C">
        <w:t>varies from an optimal site and what the potential impact on the results may be.</w:t>
      </w:r>
    </w:p>
    <w:p w14:paraId="3723547A" w14:textId="77777777" w:rsidR="004A7EAC" w:rsidRDefault="004A7EAC" w:rsidP="004A7EAC"/>
    <w:p w14:paraId="616CA8DB" w14:textId="77777777" w:rsidR="004A7EAC" w:rsidRPr="006F544A" w:rsidRDefault="004A7EAC" w:rsidP="004A7EAC">
      <w:pPr>
        <w:rPr>
          <w:iCs/>
        </w:rPr>
      </w:pPr>
      <w:r w:rsidRPr="006F544A">
        <w:t>All monitoring locations should comply</w:t>
      </w:r>
      <w:r w:rsidR="004B72C8">
        <w:t>, as far as practicable,</w:t>
      </w:r>
      <w:r w:rsidRPr="006F544A">
        <w:t xml:space="preserve"> with the recommended site categories described in the Ministry for the Environment’s </w:t>
      </w:r>
      <w:r w:rsidRPr="00FA162B">
        <w:rPr>
          <w:iCs/>
        </w:rPr>
        <w:t>Good Practice Guide for Air Quality Monitoring and Data Management 2009</w:t>
      </w:r>
      <w:r w:rsidRPr="006F544A">
        <w:rPr>
          <w:i/>
          <w:iCs/>
        </w:rPr>
        <w:t xml:space="preserve"> </w:t>
      </w:r>
      <w:r w:rsidRPr="006F544A">
        <w:rPr>
          <w:iCs/>
        </w:rPr>
        <w:t>(</w:t>
      </w:r>
      <w:r w:rsidR="00FD2F5E">
        <w:t>MfE</w:t>
      </w:r>
      <w:r w:rsidRPr="006F544A">
        <w:rPr>
          <w:iCs/>
        </w:rPr>
        <w:t>, 2009</w:t>
      </w:r>
      <w:r w:rsidR="00FA162B">
        <w:rPr>
          <w:iCs/>
        </w:rPr>
        <w:t>a</w:t>
      </w:r>
      <w:r w:rsidRPr="006F544A">
        <w:rPr>
          <w:iCs/>
        </w:rPr>
        <w:t>)</w:t>
      </w:r>
      <w:r w:rsidR="00782D75">
        <w:rPr>
          <w:iCs/>
        </w:rPr>
        <w:t>.</w:t>
      </w:r>
      <w:r w:rsidR="003326E2">
        <w:rPr>
          <w:iCs/>
        </w:rPr>
        <w:t xml:space="preserve"> More guidance on worst locations and </w:t>
      </w:r>
      <w:r w:rsidR="004B72C8">
        <w:rPr>
          <w:iCs/>
        </w:rPr>
        <w:t xml:space="preserve">potential </w:t>
      </w:r>
      <w:r w:rsidR="003326E2">
        <w:rPr>
          <w:iCs/>
        </w:rPr>
        <w:t>conflict</w:t>
      </w:r>
      <w:r w:rsidR="004B72C8">
        <w:rPr>
          <w:iCs/>
        </w:rPr>
        <w:t>s</w:t>
      </w:r>
      <w:r w:rsidR="003326E2">
        <w:rPr>
          <w:iCs/>
        </w:rPr>
        <w:t xml:space="preserve"> when siting instruments is given in</w:t>
      </w:r>
      <w:r w:rsidRPr="006F544A">
        <w:rPr>
          <w:iCs/>
        </w:rPr>
        <w:t xml:space="preserve"> </w:t>
      </w:r>
      <w:r w:rsidR="003326E2">
        <w:rPr>
          <w:iCs/>
        </w:rPr>
        <w:t xml:space="preserve">Australian/New Zealand Standard </w:t>
      </w:r>
      <w:r w:rsidRPr="006F544A">
        <w:rPr>
          <w:iCs/>
        </w:rPr>
        <w:t>AS</w:t>
      </w:r>
      <w:r w:rsidR="003326E2">
        <w:rPr>
          <w:iCs/>
        </w:rPr>
        <w:t>/NZS</w:t>
      </w:r>
      <w:r w:rsidRPr="006F544A">
        <w:rPr>
          <w:iCs/>
        </w:rPr>
        <w:t xml:space="preserve"> </w:t>
      </w:r>
      <w:r w:rsidR="003326E2">
        <w:rPr>
          <w:iCs/>
        </w:rPr>
        <w:t xml:space="preserve">3580.1.1:2007 </w:t>
      </w:r>
      <w:r w:rsidR="003326E2" w:rsidRPr="003326E2">
        <w:rPr>
          <w:i/>
          <w:iCs/>
        </w:rPr>
        <w:t>Methods for Sampling and analysis of ambient air – Guide to siting air monitoring equipment</w:t>
      </w:r>
      <w:r w:rsidR="003326E2">
        <w:rPr>
          <w:iCs/>
        </w:rPr>
        <w:t xml:space="preserve">.  </w:t>
      </w:r>
    </w:p>
    <w:p w14:paraId="2096BFEA" w14:textId="77777777" w:rsidR="00CF28F1" w:rsidRDefault="00CF28F1" w:rsidP="004A7EAC">
      <w:pPr>
        <w:rPr>
          <w:iCs/>
          <w:highlight w:val="yellow"/>
        </w:rPr>
      </w:pPr>
    </w:p>
    <w:p w14:paraId="524D2C21" w14:textId="77777777" w:rsidR="00C82696" w:rsidRDefault="00C82696" w:rsidP="00C82696">
      <w:r>
        <w:t>Bay of Plenty</w:t>
      </w:r>
      <w:r w:rsidR="004B72C8">
        <w:t xml:space="preserve"> Regional Council</w:t>
      </w:r>
      <w:r>
        <w:t>’s</w:t>
      </w:r>
      <w:r w:rsidR="004B72C8">
        <w:t xml:space="preserve"> selection process for the </w:t>
      </w:r>
      <w:r>
        <w:t xml:space="preserve">Edmund Road </w:t>
      </w:r>
      <w:r w:rsidR="004B72C8">
        <w:t>monitoring site in Rotorua is a</w:t>
      </w:r>
      <w:r>
        <w:t xml:space="preserve"> </w:t>
      </w:r>
      <w:r w:rsidR="004B72C8">
        <w:t xml:space="preserve">good </w:t>
      </w:r>
      <w:r>
        <w:t>example of finding a representati</w:t>
      </w:r>
      <w:r w:rsidR="00782D75">
        <w:t>ve ‘worst’ monitoring location.</w:t>
      </w:r>
      <w:r>
        <w:t xml:space="preserve"> This site was determined using </w:t>
      </w:r>
      <w:r w:rsidR="004B72C8">
        <w:t xml:space="preserve">preliminary monitoring supported by </w:t>
      </w:r>
      <w:r>
        <w:t>a domestic heating survey, Rotorua’s emission inventory and dispersion modelling</w:t>
      </w:r>
      <w:r w:rsidR="006B25D6">
        <w:t xml:space="preserve"> (</w:t>
      </w:r>
      <w:r w:rsidR="00FA162B">
        <w:t>Iremonger</w:t>
      </w:r>
      <w:r w:rsidR="006B25D6" w:rsidRPr="00FA162B">
        <w:t>, 2010</w:t>
      </w:r>
      <w:r w:rsidR="006B25D6">
        <w:t>)</w:t>
      </w:r>
      <w:r>
        <w:t>.</w:t>
      </w:r>
    </w:p>
    <w:p w14:paraId="75A2C9B3" w14:textId="77777777" w:rsidR="006F544A" w:rsidRPr="00E54F4E" w:rsidRDefault="006F544A" w:rsidP="00017639">
      <w:pPr>
        <w:pStyle w:val="Heading4"/>
      </w:pPr>
      <w:r w:rsidRPr="00E54F4E">
        <w:t>Proxy airshed monitoring</w:t>
      </w:r>
    </w:p>
    <w:p w14:paraId="0120BE75" w14:textId="77777777" w:rsidR="00CF65D6" w:rsidRDefault="006F544A" w:rsidP="004A7EAC">
      <w:r w:rsidRPr="006F544A">
        <w:t>Regions may be split into multiple airsheds or, conversely, multiple areas that are geographically separate ca</w:t>
      </w:r>
      <w:r w:rsidR="00782D75">
        <w:t>n be designated as one airshed.</w:t>
      </w:r>
      <w:r w:rsidRPr="006F544A">
        <w:t xml:space="preserve"> </w:t>
      </w:r>
      <w:r w:rsidR="004A7EAC" w:rsidRPr="006F544A">
        <w:t xml:space="preserve">If a council chooses to classify a number of differing parts of its region as one airshed area (eg, three towns of a similar size and nature), monitoring will need to be undertaken in the town that is likely to </w:t>
      </w:r>
      <w:r w:rsidR="008B5815">
        <w:t>breach</w:t>
      </w:r>
      <w:r w:rsidR="004A7EAC" w:rsidRPr="006F544A">
        <w:t xml:space="preserve"> the ambient standard by the greatest margin or where it is </w:t>
      </w:r>
      <w:r w:rsidR="008B5815">
        <w:t>breached</w:t>
      </w:r>
      <w:r w:rsidR="004A7EAC" w:rsidRPr="006F544A">
        <w:t xml:space="preserve"> most frequently</w:t>
      </w:r>
      <w:r w:rsidR="00E54F4E">
        <w:t xml:space="preserve"> (the ‘proxy’ monitor)</w:t>
      </w:r>
      <w:r w:rsidR="00782D75">
        <w:t xml:space="preserve">. </w:t>
      </w:r>
      <w:r w:rsidR="004A7EAC" w:rsidRPr="006F544A">
        <w:t>Monitoring data from this town will then be representative of the air quality in the other towns included within the same airshed.</w:t>
      </w:r>
      <w:r w:rsidR="00CF65D6" w:rsidRPr="00CF65D6">
        <w:t xml:space="preserve"> </w:t>
      </w:r>
    </w:p>
    <w:p w14:paraId="60374DAB" w14:textId="77777777" w:rsidR="00CF65D6" w:rsidRDefault="00CF65D6" w:rsidP="004A7EAC"/>
    <w:p w14:paraId="44AB77AF" w14:textId="77777777" w:rsidR="00197174" w:rsidRDefault="00CF65D6" w:rsidP="004A7EAC">
      <w:r>
        <w:t xml:space="preserve">Otago Regional Council’s Airshed 1 </w:t>
      </w:r>
      <w:r w:rsidR="00FA162B">
        <w:t>(</w:t>
      </w:r>
      <w:r>
        <w:t>which includes the towns of Arrowtown, Alexandra, Clyde, Cromwell, Naseby, Ranfurly and Roxburgh</w:t>
      </w:r>
      <w:r w:rsidR="00FA162B">
        <w:t>)</w:t>
      </w:r>
      <w:r>
        <w:t xml:space="preserve"> is an example of proxy airshed monitoring. At the time of writing</w:t>
      </w:r>
      <w:r w:rsidR="00FA162B">
        <w:t>,</w:t>
      </w:r>
      <w:r>
        <w:t xml:space="preserve"> </w:t>
      </w:r>
      <w:r w:rsidR="0096118F">
        <w:t>PM</w:t>
      </w:r>
      <w:r w:rsidR="0096118F" w:rsidRPr="0096118F">
        <w:rPr>
          <w:vertAlign w:val="subscript"/>
        </w:rPr>
        <w:t>10</w:t>
      </w:r>
      <w:r w:rsidR="0096118F">
        <w:t xml:space="preserve"> </w:t>
      </w:r>
      <w:r>
        <w:t xml:space="preserve">monitors </w:t>
      </w:r>
      <w:r w:rsidR="00FA162B">
        <w:t>wer</w:t>
      </w:r>
      <w:r w:rsidR="001A76B9">
        <w:t xml:space="preserve">e only located </w:t>
      </w:r>
      <w:r>
        <w:t>in Arrowtown, Alexandra, Clyde and Cromwell</w:t>
      </w:r>
      <w:r w:rsidR="001A76B9">
        <w:t>. T</w:t>
      </w:r>
      <w:r>
        <w:t xml:space="preserve">he results from these monitors are </w:t>
      </w:r>
      <w:r w:rsidR="001A76B9">
        <w:t>therefore</w:t>
      </w:r>
      <w:r>
        <w:t xml:space="preserve"> used as proxy results for Naseby, Ranfurly and Roxburgh.</w:t>
      </w:r>
    </w:p>
    <w:p w14:paraId="011B3C5C" w14:textId="77777777" w:rsidR="00CF65D6" w:rsidRDefault="00CF65D6" w:rsidP="004A7EAC"/>
    <w:p w14:paraId="0CE7495A" w14:textId="77777777" w:rsidR="00CF65D6" w:rsidRDefault="00CF65D6" w:rsidP="004A7EAC">
      <w:r>
        <w:t>If two or more of the towns within the airshed have a monitor then these must be dealt with as multiple monitors within an airshed as discussed below.</w:t>
      </w:r>
    </w:p>
    <w:p w14:paraId="1FF5B074" w14:textId="77777777" w:rsidR="00C21791" w:rsidRDefault="00C21791" w:rsidP="004A7EAC"/>
    <w:p w14:paraId="2F7F1E4E" w14:textId="77777777" w:rsidR="00C21791" w:rsidRPr="00A74F05" w:rsidRDefault="00C21791" w:rsidP="00BC3C1F">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2</w:t>
      </w:r>
    </w:p>
    <w:p w14:paraId="3ABA7575" w14:textId="77777777" w:rsidR="00C21791" w:rsidRPr="001A6923" w:rsidRDefault="00C21791" w:rsidP="00C21791">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 xml:space="preserve">The </w:t>
      </w:r>
      <w:r w:rsidR="00E54A2A">
        <w:rPr>
          <w:rStyle w:val="SubtleEmphasis"/>
          <w:color w:val="auto"/>
          <w:sz w:val="20"/>
        </w:rPr>
        <w:t>Tōtara</w:t>
      </w:r>
      <w:r>
        <w:rPr>
          <w:rStyle w:val="SubtleEmphasis"/>
          <w:color w:val="auto"/>
          <w:sz w:val="20"/>
        </w:rPr>
        <w:t xml:space="preserve"> Regional Council has created the </w:t>
      </w:r>
      <w:r w:rsidR="00E54A2A">
        <w:rPr>
          <w:rStyle w:val="SubtleEmphasis"/>
          <w:color w:val="auto"/>
          <w:sz w:val="20"/>
        </w:rPr>
        <w:t xml:space="preserve">Kea </w:t>
      </w:r>
      <w:r>
        <w:rPr>
          <w:rStyle w:val="SubtleEmphasis"/>
          <w:color w:val="auto"/>
          <w:sz w:val="20"/>
        </w:rPr>
        <w:t xml:space="preserve">Airshed, which includes </w:t>
      </w:r>
      <w:r w:rsidR="00E54A2A">
        <w:rPr>
          <w:rStyle w:val="SubtleEmphasis"/>
          <w:color w:val="auto"/>
          <w:sz w:val="20"/>
        </w:rPr>
        <w:t xml:space="preserve">Orangetown </w:t>
      </w:r>
      <w:r>
        <w:rPr>
          <w:rStyle w:val="SubtleEmphasis"/>
          <w:color w:val="auto"/>
          <w:sz w:val="20"/>
        </w:rPr>
        <w:t xml:space="preserve">and </w:t>
      </w:r>
      <w:r w:rsidR="00E5077A">
        <w:rPr>
          <w:rStyle w:val="SubtleEmphasis"/>
          <w:color w:val="auto"/>
          <w:sz w:val="20"/>
        </w:rPr>
        <w:t>Purpletown</w:t>
      </w:r>
      <w:r w:rsidRPr="00A74F05">
        <w:rPr>
          <w:rStyle w:val="SubtleEmphasis"/>
          <w:color w:val="auto"/>
          <w:sz w:val="20"/>
        </w:rPr>
        <w:t>.</w:t>
      </w:r>
      <w:r>
        <w:rPr>
          <w:rStyle w:val="SubtleEmphasis"/>
          <w:color w:val="auto"/>
          <w:sz w:val="20"/>
        </w:rPr>
        <w:t xml:space="preserve"> The airshed only has one PM</w:t>
      </w:r>
      <w:r w:rsidRPr="0096118F">
        <w:rPr>
          <w:rStyle w:val="SubtleEmphasis"/>
          <w:color w:val="auto"/>
          <w:sz w:val="20"/>
          <w:vertAlign w:val="subscript"/>
        </w:rPr>
        <w:t>10</w:t>
      </w:r>
      <w:r>
        <w:rPr>
          <w:rStyle w:val="SubtleEmphasis"/>
          <w:color w:val="auto"/>
          <w:sz w:val="20"/>
        </w:rPr>
        <w:t xml:space="preserve"> monitor - in </w:t>
      </w:r>
      <w:r w:rsidR="00E5077A">
        <w:rPr>
          <w:rStyle w:val="SubtleEmphasis"/>
          <w:color w:val="auto"/>
          <w:sz w:val="20"/>
        </w:rPr>
        <w:t>Orangetown</w:t>
      </w:r>
      <w:r>
        <w:rPr>
          <w:rStyle w:val="SubtleEmphasis"/>
          <w:color w:val="auto"/>
          <w:sz w:val="20"/>
        </w:rPr>
        <w:t>. The monitor recorded 15 exceedances of the ambient PM</w:t>
      </w:r>
      <w:r w:rsidRPr="0096118F">
        <w:rPr>
          <w:rStyle w:val="SubtleEmphasis"/>
          <w:color w:val="auto"/>
          <w:sz w:val="20"/>
          <w:vertAlign w:val="subscript"/>
        </w:rPr>
        <w:t>10</w:t>
      </w:r>
      <w:r>
        <w:rPr>
          <w:rStyle w:val="SubtleEmphasis"/>
          <w:color w:val="auto"/>
          <w:sz w:val="20"/>
        </w:rPr>
        <w:t xml:space="preserve"> standard of 50 </w:t>
      </w:r>
      <w:r w:rsidRPr="00C82696">
        <w:rPr>
          <w:rStyle w:val="SubtleEmphasis"/>
          <w:rFonts w:ascii="Symbol" w:hAnsi="Symbol"/>
          <w:color w:val="auto"/>
          <w:sz w:val="20"/>
        </w:rPr>
        <w:t></w:t>
      </w:r>
      <w:r>
        <w:rPr>
          <w:rStyle w:val="SubtleEmphasis"/>
          <w:color w:val="auto"/>
          <w:sz w:val="20"/>
        </w:rPr>
        <w:t>g.m</w:t>
      </w:r>
      <w:r w:rsidRPr="00C82696">
        <w:rPr>
          <w:rStyle w:val="SubtleEmphasis"/>
          <w:color w:val="auto"/>
          <w:sz w:val="20"/>
          <w:vertAlign w:val="superscript"/>
        </w:rPr>
        <w:t>-3</w:t>
      </w:r>
      <w:r>
        <w:rPr>
          <w:rStyle w:val="SubtleEmphasis"/>
          <w:color w:val="auto"/>
          <w:sz w:val="20"/>
          <w:vertAlign w:val="superscript"/>
        </w:rPr>
        <w:t xml:space="preserve"> </w:t>
      </w:r>
      <w:r>
        <w:rPr>
          <w:rStyle w:val="SubtleEmphasis"/>
          <w:color w:val="auto"/>
          <w:sz w:val="20"/>
        </w:rPr>
        <w:t xml:space="preserve">(24-hour average) in </w:t>
      </w:r>
      <w:r w:rsidR="00E5077A">
        <w:rPr>
          <w:rStyle w:val="SubtleEmphasis"/>
          <w:color w:val="auto"/>
          <w:sz w:val="20"/>
        </w:rPr>
        <w:t>Orangetown</w:t>
      </w:r>
      <w:r>
        <w:rPr>
          <w:rStyle w:val="SubtleEmphasis"/>
          <w:color w:val="auto"/>
          <w:sz w:val="20"/>
        </w:rPr>
        <w:t xml:space="preserve">. The standard only allows </w:t>
      </w:r>
      <w:r w:rsidR="00BC3C1F">
        <w:rPr>
          <w:rStyle w:val="SubtleEmphasis"/>
          <w:color w:val="auto"/>
          <w:sz w:val="20"/>
        </w:rPr>
        <w:br/>
      </w:r>
      <w:r>
        <w:rPr>
          <w:rStyle w:val="SubtleEmphasis"/>
          <w:color w:val="auto"/>
          <w:sz w:val="20"/>
        </w:rPr>
        <w:t>1 exceedance</w:t>
      </w:r>
      <w:r w:rsidRPr="00A74F05">
        <w:rPr>
          <w:rStyle w:val="SubtleEmphasis"/>
          <w:color w:val="auto"/>
          <w:sz w:val="20"/>
        </w:rPr>
        <w:t xml:space="preserve"> </w:t>
      </w:r>
      <w:r>
        <w:rPr>
          <w:rStyle w:val="SubtleEmphasis"/>
          <w:color w:val="auto"/>
          <w:sz w:val="20"/>
        </w:rPr>
        <w:t>in a 12-month period. Therefore:</w:t>
      </w:r>
    </w:p>
    <w:p w14:paraId="1E38E6E8" w14:textId="77777777" w:rsidR="00C21791" w:rsidRPr="00A74F05" w:rsidRDefault="00C21791" w:rsidP="00C21791">
      <w:pPr>
        <w:pBdr>
          <w:top w:val="single" w:sz="4" w:space="1" w:color="auto"/>
          <w:left w:val="single" w:sz="4" w:space="4" w:color="auto"/>
          <w:bottom w:val="single" w:sz="4" w:space="1" w:color="auto"/>
          <w:right w:val="single" w:sz="4" w:space="4" w:color="auto"/>
        </w:pBdr>
        <w:rPr>
          <w:rStyle w:val="SubtleEmphasis"/>
          <w:color w:val="auto"/>
          <w:sz w:val="20"/>
        </w:rPr>
      </w:pPr>
    </w:p>
    <w:p w14:paraId="07FF028A" w14:textId="77777777" w:rsidR="00C21791"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1A6923">
        <w:rPr>
          <w:i/>
          <w:sz w:val="20"/>
        </w:rPr>
        <w:t xml:space="preserve">he </w:t>
      </w:r>
      <w:r w:rsidR="00C21791" w:rsidRPr="001A6923">
        <w:rPr>
          <w:i/>
          <w:sz w:val="20"/>
        </w:rPr>
        <w:t>monitor has recorded breaches of the ambient PM</w:t>
      </w:r>
      <w:r w:rsidR="00C21791" w:rsidRPr="001A6923">
        <w:rPr>
          <w:i/>
          <w:sz w:val="20"/>
          <w:vertAlign w:val="subscript"/>
        </w:rPr>
        <w:t>10</w:t>
      </w:r>
      <w:r w:rsidR="00C21791" w:rsidRPr="001A6923">
        <w:rPr>
          <w:i/>
          <w:sz w:val="20"/>
        </w:rPr>
        <w:t xml:space="preserve"> standard</w:t>
      </w:r>
    </w:p>
    <w:p w14:paraId="5D111AB5" w14:textId="77777777" w:rsidR="00C21791"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1A6923">
        <w:rPr>
          <w:i/>
          <w:sz w:val="20"/>
        </w:rPr>
        <w:t xml:space="preserve">he </w:t>
      </w:r>
      <w:r w:rsidR="00E5077A">
        <w:rPr>
          <w:i/>
          <w:sz w:val="20"/>
        </w:rPr>
        <w:t>Kea</w:t>
      </w:r>
      <w:r w:rsidR="00E5077A" w:rsidRPr="001A6923">
        <w:rPr>
          <w:i/>
          <w:sz w:val="20"/>
        </w:rPr>
        <w:t xml:space="preserve"> </w:t>
      </w:r>
      <w:r w:rsidR="00C21791" w:rsidRPr="001A6923">
        <w:rPr>
          <w:i/>
          <w:sz w:val="20"/>
        </w:rPr>
        <w:t>Airshed has recorded 14 breaches(15 recorded-1 allowed =14 breaches) of the ambient PM</w:t>
      </w:r>
      <w:r w:rsidR="00C21791" w:rsidRPr="001A6923">
        <w:rPr>
          <w:i/>
          <w:sz w:val="20"/>
          <w:vertAlign w:val="subscript"/>
        </w:rPr>
        <w:t>10</w:t>
      </w:r>
      <w:r w:rsidR="00C21791" w:rsidRPr="001A6923">
        <w:rPr>
          <w:i/>
          <w:sz w:val="20"/>
        </w:rPr>
        <w:t xml:space="preserve"> standard and is not complying with the </w:t>
      </w:r>
      <w:r>
        <w:rPr>
          <w:i/>
          <w:sz w:val="20"/>
        </w:rPr>
        <w:t>Regulations</w:t>
      </w:r>
    </w:p>
    <w:p w14:paraId="743A82E5" w14:textId="77777777" w:rsidR="00C21791"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b</w:t>
      </w:r>
      <w:r w:rsidRPr="001A6923">
        <w:rPr>
          <w:i/>
          <w:sz w:val="20"/>
        </w:rPr>
        <w:t xml:space="preserve">oth </w:t>
      </w:r>
      <w:r w:rsidR="00E5077A">
        <w:rPr>
          <w:i/>
          <w:sz w:val="20"/>
        </w:rPr>
        <w:t>Orange</w:t>
      </w:r>
      <w:r w:rsidR="00E5077A" w:rsidRPr="001A6923">
        <w:rPr>
          <w:i/>
          <w:sz w:val="20"/>
        </w:rPr>
        <w:t xml:space="preserve">town </w:t>
      </w:r>
      <w:r w:rsidR="00C21791" w:rsidRPr="001A6923">
        <w:rPr>
          <w:i/>
          <w:sz w:val="20"/>
        </w:rPr>
        <w:t xml:space="preserve">and </w:t>
      </w:r>
      <w:r w:rsidR="00E5077A">
        <w:rPr>
          <w:i/>
          <w:sz w:val="20"/>
        </w:rPr>
        <w:t>Purple</w:t>
      </w:r>
      <w:r w:rsidR="00E5077A" w:rsidRPr="001A6923">
        <w:rPr>
          <w:i/>
          <w:sz w:val="20"/>
        </w:rPr>
        <w:t xml:space="preserve">town </w:t>
      </w:r>
      <w:r w:rsidR="00C21791" w:rsidRPr="001A6923">
        <w:rPr>
          <w:i/>
          <w:sz w:val="20"/>
        </w:rPr>
        <w:t>are deemed to have 15 exceedances (or 14 breaches) of the ambient PM</w:t>
      </w:r>
      <w:r w:rsidR="00C21791" w:rsidRPr="001A6923">
        <w:rPr>
          <w:i/>
          <w:sz w:val="20"/>
          <w:vertAlign w:val="subscript"/>
        </w:rPr>
        <w:t>10</w:t>
      </w:r>
      <w:r w:rsidR="00C21791" w:rsidRPr="001A6923">
        <w:rPr>
          <w:i/>
          <w:sz w:val="20"/>
        </w:rPr>
        <w:t xml:space="preserve"> standard</w:t>
      </w:r>
    </w:p>
    <w:p w14:paraId="03BC6FAD" w14:textId="77777777" w:rsidR="00C21791" w:rsidRPr="004A768B" w:rsidRDefault="00551BBF" w:rsidP="00C2179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sidRPr="004A768B">
        <w:rPr>
          <w:i/>
          <w:sz w:val="20"/>
        </w:rPr>
        <w:t xml:space="preserve">the </w:t>
      </w:r>
      <w:r w:rsidR="00C21791" w:rsidRPr="004A768B">
        <w:rPr>
          <w:i/>
          <w:sz w:val="20"/>
        </w:rPr>
        <w:t>breaches must be notified in accordance with Regulation 16.</w:t>
      </w:r>
    </w:p>
    <w:p w14:paraId="6F14E349" w14:textId="77777777" w:rsidR="00BB2C9C" w:rsidRPr="00E54F4E" w:rsidRDefault="00BB2C9C" w:rsidP="00017639">
      <w:pPr>
        <w:pStyle w:val="Heading4"/>
      </w:pPr>
      <w:r w:rsidRPr="00E54F4E">
        <w:t>Multiple monitors within an airshed</w:t>
      </w:r>
    </w:p>
    <w:p w14:paraId="0F606481" w14:textId="77777777" w:rsidR="00E54F4E" w:rsidRDefault="00E54F4E" w:rsidP="004A7EAC">
      <w:r w:rsidRPr="0057310B">
        <w:t xml:space="preserve">Large airsheds </w:t>
      </w:r>
      <w:r w:rsidR="001A76B9">
        <w:t xml:space="preserve">(eg, Auckland) </w:t>
      </w:r>
      <w:r w:rsidRPr="0057310B">
        <w:t xml:space="preserve">or airsheds with complex terrain or source characteristics </w:t>
      </w:r>
      <w:r w:rsidR="00BC3C1F">
        <w:br/>
      </w:r>
      <w:r w:rsidR="001A76B9">
        <w:t xml:space="preserve">(eg, Nelson) </w:t>
      </w:r>
      <w:r w:rsidR="00782D75">
        <w:t xml:space="preserve">may require several monitors. </w:t>
      </w:r>
      <w:r w:rsidRPr="0057310B">
        <w:t xml:space="preserve">This can mean that several monitors within an airshed may record </w:t>
      </w:r>
      <w:r w:rsidR="00472397">
        <w:t>exceedance</w:t>
      </w:r>
      <w:r w:rsidRPr="0057310B">
        <w:t xml:space="preserve">s of the ambient standard on the same (or different) </w:t>
      </w:r>
      <w:r w:rsidR="0057310B" w:rsidRPr="0057310B">
        <w:t>averaging periods</w:t>
      </w:r>
      <w:r w:rsidR="00BC3C1F">
        <w:t>.</w:t>
      </w:r>
    </w:p>
    <w:p w14:paraId="7FFC5B70" w14:textId="77777777" w:rsidR="00261B28" w:rsidRDefault="00261B28" w:rsidP="004A7EAC"/>
    <w:p w14:paraId="0F4CC8D5" w14:textId="77777777" w:rsidR="00261B28" w:rsidRPr="0057310B" w:rsidRDefault="00261B28" w:rsidP="004A7EAC">
      <w:r>
        <w:t>Airsheds with multiple towns (proxy airsheds) as discussed above may also have two, or more, tow</w:t>
      </w:r>
      <w:r w:rsidR="00782D75">
        <w:t xml:space="preserve">ns that have monitors in them. </w:t>
      </w:r>
      <w:r>
        <w:t>These are still considered to be multiple monitors within an airshed.</w:t>
      </w:r>
    </w:p>
    <w:p w14:paraId="0FC151A6" w14:textId="77777777" w:rsidR="00E54F4E" w:rsidRPr="0057310B" w:rsidRDefault="00E54F4E" w:rsidP="004A7EAC"/>
    <w:p w14:paraId="0665FE9D" w14:textId="77777777" w:rsidR="00E54F4E" w:rsidRPr="00613367" w:rsidRDefault="00E54F4E" w:rsidP="00613367">
      <w:r w:rsidRPr="00613367">
        <w:t xml:space="preserve">For the purpose of compliance with the </w:t>
      </w:r>
      <w:r w:rsidR="00261B28" w:rsidRPr="00613367">
        <w:t>Regulation</w:t>
      </w:r>
      <w:r w:rsidR="00261B28">
        <w:t>s</w:t>
      </w:r>
      <w:r w:rsidR="00261B28" w:rsidRPr="00613367">
        <w:t xml:space="preserve"> </w:t>
      </w:r>
      <w:r w:rsidRPr="00613367">
        <w:t>the airshed is deemed t</w:t>
      </w:r>
      <w:r w:rsidR="00613367" w:rsidRPr="00613367">
        <w:t xml:space="preserve">o have </w:t>
      </w:r>
      <w:r w:rsidR="00261B28">
        <w:t>exceeded</w:t>
      </w:r>
      <w:r w:rsidR="00613367" w:rsidRPr="00613367">
        <w:t xml:space="preserve"> the standard if </w:t>
      </w:r>
      <w:r w:rsidR="00613367" w:rsidRPr="00261B28">
        <w:rPr>
          <w:b/>
        </w:rPr>
        <w:t>o</w:t>
      </w:r>
      <w:r w:rsidR="0057310B" w:rsidRPr="00261B28">
        <w:rPr>
          <w:b/>
        </w:rPr>
        <w:t>ne or more</w:t>
      </w:r>
      <w:r w:rsidRPr="00261B28">
        <w:rPr>
          <w:b/>
        </w:rPr>
        <w:t xml:space="preserve"> monitor</w:t>
      </w:r>
      <w:r w:rsidR="0057310B" w:rsidRPr="00261B28">
        <w:rPr>
          <w:b/>
        </w:rPr>
        <w:t>s</w:t>
      </w:r>
      <w:r w:rsidR="00613367" w:rsidRPr="00261B28">
        <w:rPr>
          <w:b/>
        </w:rPr>
        <w:t xml:space="preserve"> within the airshed </w:t>
      </w:r>
      <w:r w:rsidR="00261B28">
        <w:rPr>
          <w:b/>
        </w:rPr>
        <w:t>exceed</w:t>
      </w:r>
      <w:r w:rsidR="0057310B" w:rsidRPr="00261B28">
        <w:rPr>
          <w:b/>
        </w:rPr>
        <w:t xml:space="preserve"> the standard on any one averaging period</w:t>
      </w:r>
      <w:r w:rsidR="00782D75">
        <w:t xml:space="preserve">. </w:t>
      </w:r>
      <w:r w:rsidR="0057310B" w:rsidRPr="00613367">
        <w:t xml:space="preserve">This is recorded as only one </w:t>
      </w:r>
      <w:r w:rsidR="00472397">
        <w:t>exceedance</w:t>
      </w:r>
      <w:r w:rsidR="0057310B" w:rsidRPr="00613367">
        <w:t xml:space="preserve"> for each averaging period irrespective of how many monitors record the </w:t>
      </w:r>
      <w:r w:rsidR="00BB7483">
        <w:t>exceedance</w:t>
      </w:r>
      <w:r w:rsidR="001A76B9">
        <w:t xml:space="preserve"> (at the same time)</w:t>
      </w:r>
      <w:r w:rsidR="0057310B" w:rsidRPr="00613367">
        <w:t>.</w:t>
      </w:r>
      <w:r w:rsidR="00BB7483">
        <w:t xml:space="preserve"> </w:t>
      </w:r>
      <w:r w:rsidR="001A76B9">
        <w:t>In accordance with the intent of Regulation 15(b)(i)(B),</w:t>
      </w:r>
      <w:r w:rsidR="00BB7483">
        <w:t xml:space="preserve"> </w:t>
      </w:r>
      <w:r w:rsidR="001A76B9">
        <w:t xml:space="preserve">the </w:t>
      </w:r>
      <w:r w:rsidR="00BB7483">
        <w:t xml:space="preserve">value to be used </w:t>
      </w:r>
      <w:r w:rsidR="001A76B9">
        <w:t>should</w:t>
      </w:r>
      <w:r w:rsidR="00BB7483">
        <w:t xml:space="preserve"> be the highest recorded by any monitor during the averaging period.  </w:t>
      </w:r>
    </w:p>
    <w:p w14:paraId="11E56E15" w14:textId="77777777" w:rsidR="006B25D6" w:rsidRDefault="006B25D6" w:rsidP="00613367"/>
    <w:p w14:paraId="29BCD314" w14:textId="77777777" w:rsidR="00551BBF" w:rsidRPr="00A74F05" w:rsidRDefault="00551BBF" w:rsidP="00BC3C1F">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3</w:t>
      </w:r>
    </w:p>
    <w:p w14:paraId="4BFA69A0" w14:textId="77777777" w:rsidR="00551BBF" w:rsidRDefault="00551BBF" w:rsidP="00551BBF">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 xml:space="preserve">The </w:t>
      </w:r>
      <w:r w:rsidR="00330A10">
        <w:rPr>
          <w:rStyle w:val="SubtleEmphasis"/>
          <w:color w:val="auto"/>
          <w:sz w:val="20"/>
        </w:rPr>
        <w:t>Kōwhai</w:t>
      </w:r>
      <w:r>
        <w:rPr>
          <w:rStyle w:val="SubtleEmphasis"/>
          <w:color w:val="auto"/>
          <w:sz w:val="20"/>
        </w:rPr>
        <w:t xml:space="preserve"> Regional Council has created the </w:t>
      </w:r>
      <w:r w:rsidR="00E5077A">
        <w:rPr>
          <w:rStyle w:val="SubtleEmphasis"/>
          <w:color w:val="auto"/>
          <w:sz w:val="20"/>
        </w:rPr>
        <w:t xml:space="preserve">Kiwi </w:t>
      </w:r>
      <w:r>
        <w:rPr>
          <w:rStyle w:val="SubtleEmphasis"/>
          <w:color w:val="auto"/>
          <w:sz w:val="20"/>
        </w:rPr>
        <w:t>Airshed</w:t>
      </w:r>
      <w:r w:rsidRPr="00A74F05">
        <w:rPr>
          <w:rStyle w:val="SubtleEmphasis"/>
          <w:color w:val="auto"/>
          <w:sz w:val="20"/>
        </w:rPr>
        <w:t>.</w:t>
      </w:r>
      <w:r>
        <w:rPr>
          <w:rStyle w:val="SubtleEmphasis"/>
          <w:color w:val="auto"/>
          <w:sz w:val="20"/>
        </w:rPr>
        <w:t xml:space="preserve">  The airshed has three PM</w:t>
      </w:r>
      <w:r w:rsidRPr="001A6923">
        <w:rPr>
          <w:rStyle w:val="SubtleEmphasis"/>
          <w:color w:val="auto"/>
          <w:sz w:val="20"/>
          <w:vertAlign w:val="subscript"/>
        </w:rPr>
        <w:t>10</w:t>
      </w:r>
      <w:r>
        <w:rPr>
          <w:rStyle w:val="SubtleEmphasis"/>
          <w:color w:val="auto"/>
          <w:sz w:val="20"/>
        </w:rPr>
        <w:t xml:space="preserve"> monitors (Monitor1, Monitor2 and Monitor3) located in three densely populated centres within the airshed. In a 12-month period, Monitor1 recorded an exceedance of the ambient PM</w:t>
      </w:r>
      <w:r w:rsidRPr="001A6923">
        <w:rPr>
          <w:rStyle w:val="SubtleEmphasis"/>
          <w:color w:val="auto"/>
          <w:sz w:val="20"/>
          <w:vertAlign w:val="subscript"/>
        </w:rPr>
        <w:t>10</w:t>
      </w:r>
      <w:r>
        <w:rPr>
          <w:rStyle w:val="SubtleEmphasis"/>
          <w:color w:val="auto"/>
          <w:sz w:val="20"/>
        </w:rPr>
        <w:t xml:space="preserve"> concentration standard of </w:t>
      </w:r>
      <w:r w:rsidR="00BC3C1F">
        <w:rPr>
          <w:rStyle w:val="SubtleEmphasis"/>
          <w:color w:val="auto"/>
          <w:sz w:val="20"/>
        </w:rPr>
        <w:br/>
      </w:r>
      <w:r>
        <w:rPr>
          <w:rStyle w:val="SubtleEmphasis"/>
          <w:color w:val="auto"/>
          <w:sz w:val="20"/>
        </w:rPr>
        <w:t>50 µg.m</w:t>
      </w:r>
      <w:r w:rsidRPr="00753B35">
        <w:rPr>
          <w:rStyle w:val="SubtleEmphasis"/>
          <w:color w:val="auto"/>
          <w:sz w:val="20"/>
          <w:vertAlign w:val="superscript"/>
        </w:rPr>
        <w:t>-3</w:t>
      </w:r>
      <w:r w:rsidRPr="001A6923">
        <w:rPr>
          <w:rStyle w:val="SubtleEmphasis"/>
          <w:color w:val="auto"/>
          <w:sz w:val="20"/>
        </w:rPr>
        <w:t xml:space="preserve"> </w:t>
      </w:r>
      <w:r>
        <w:rPr>
          <w:rStyle w:val="SubtleEmphasis"/>
          <w:color w:val="auto"/>
          <w:sz w:val="20"/>
        </w:rPr>
        <w:t>(24-hour average) on 5 July (63 µg.m</w:t>
      </w:r>
      <w:r w:rsidRPr="00753B35">
        <w:rPr>
          <w:rStyle w:val="SubtleEmphasis"/>
          <w:color w:val="auto"/>
          <w:sz w:val="20"/>
          <w:vertAlign w:val="superscript"/>
        </w:rPr>
        <w:t>-3</w:t>
      </w:r>
      <w:r w:rsidRPr="00BB7483">
        <w:rPr>
          <w:rStyle w:val="SubtleEmphasis"/>
          <w:color w:val="auto"/>
          <w:sz w:val="20"/>
        </w:rPr>
        <w:t>)</w:t>
      </w:r>
      <w:r>
        <w:rPr>
          <w:rStyle w:val="SubtleEmphasis"/>
          <w:color w:val="auto"/>
          <w:sz w:val="20"/>
        </w:rPr>
        <w:t>; Monitor2 recorded no exceedances; and Monitor3 recorded 3 exceedances on 24 June (53 µg.m</w:t>
      </w:r>
      <w:r w:rsidRPr="00753B35">
        <w:rPr>
          <w:rStyle w:val="SubtleEmphasis"/>
          <w:color w:val="auto"/>
          <w:sz w:val="20"/>
          <w:vertAlign w:val="superscript"/>
        </w:rPr>
        <w:t>-3</w:t>
      </w:r>
      <w:r w:rsidRPr="00BB7483">
        <w:rPr>
          <w:rStyle w:val="SubtleEmphasis"/>
          <w:color w:val="auto"/>
          <w:sz w:val="20"/>
        </w:rPr>
        <w:t>)</w:t>
      </w:r>
      <w:r>
        <w:rPr>
          <w:rStyle w:val="SubtleEmphasis"/>
          <w:color w:val="auto"/>
          <w:sz w:val="20"/>
        </w:rPr>
        <w:t>, 5 July (55 µg.m</w:t>
      </w:r>
      <w:r w:rsidRPr="00753B35">
        <w:rPr>
          <w:rStyle w:val="SubtleEmphasis"/>
          <w:color w:val="auto"/>
          <w:sz w:val="20"/>
          <w:vertAlign w:val="superscript"/>
        </w:rPr>
        <w:t>-3</w:t>
      </w:r>
      <w:r>
        <w:rPr>
          <w:rStyle w:val="SubtleEmphasis"/>
          <w:color w:val="auto"/>
          <w:sz w:val="20"/>
        </w:rPr>
        <w:t>) and 17 August (57 µg.m</w:t>
      </w:r>
      <w:r w:rsidRPr="00753B35">
        <w:rPr>
          <w:rStyle w:val="SubtleEmphasis"/>
          <w:color w:val="auto"/>
          <w:sz w:val="20"/>
          <w:vertAlign w:val="superscript"/>
        </w:rPr>
        <w:t>-3</w:t>
      </w:r>
      <w:r w:rsidRPr="00BB7483">
        <w:rPr>
          <w:rStyle w:val="SubtleEmphasis"/>
          <w:color w:val="auto"/>
          <w:sz w:val="20"/>
        </w:rPr>
        <w:t>)</w:t>
      </w:r>
      <w:r>
        <w:rPr>
          <w:rStyle w:val="SubtleEmphasis"/>
          <w:color w:val="auto"/>
          <w:sz w:val="20"/>
        </w:rPr>
        <w:t>. The ambient PM</w:t>
      </w:r>
      <w:r w:rsidRPr="001A6923">
        <w:rPr>
          <w:rStyle w:val="SubtleEmphasis"/>
          <w:color w:val="auto"/>
          <w:sz w:val="20"/>
          <w:vertAlign w:val="subscript"/>
        </w:rPr>
        <w:t>10</w:t>
      </w:r>
      <w:r>
        <w:rPr>
          <w:rStyle w:val="SubtleEmphasis"/>
          <w:color w:val="auto"/>
          <w:sz w:val="20"/>
        </w:rPr>
        <w:t xml:space="preserve"> standard only allows 1 exceedance</w:t>
      </w:r>
      <w:r w:rsidRPr="00A74F05">
        <w:rPr>
          <w:rStyle w:val="SubtleEmphasis"/>
          <w:color w:val="auto"/>
          <w:sz w:val="20"/>
        </w:rPr>
        <w:t xml:space="preserve"> </w:t>
      </w:r>
      <w:r>
        <w:rPr>
          <w:rStyle w:val="SubtleEmphasis"/>
          <w:color w:val="auto"/>
          <w:sz w:val="20"/>
        </w:rPr>
        <w:t>in a 12-month period. Therefore:</w:t>
      </w:r>
    </w:p>
    <w:p w14:paraId="60B30447" w14:textId="77777777" w:rsidR="00551BBF" w:rsidRPr="00A74F05" w:rsidRDefault="00551BBF" w:rsidP="00551BBF">
      <w:pPr>
        <w:pBdr>
          <w:top w:val="single" w:sz="4" w:space="1" w:color="auto"/>
          <w:left w:val="single" w:sz="4" w:space="4" w:color="auto"/>
          <w:bottom w:val="single" w:sz="4" w:space="1" w:color="auto"/>
          <w:right w:val="single" w:sz="4" w:space="4" w:color="auto"/>
        </w:pBdr>
        <w:rPr>
          <w:rStyle w:val="SubtleEmphasis"/>
          <w:color w:val="auto"/>
          <w:sz w:val="20"/>
        </w:rPr>
      </w:pPr>
    </w:p>
    <w:p w14:paraId="4EB7F9E0" w14:textId="77777777" w:rsidR="00551BBF" w:rsidRPr="00753B35" w:rsidRDefault="00551BBF" w:rsidP="00551BBF">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753B35">
        <w:rPr>
          <w:i/>
          <w:sz w:val="20"/>
        </w:rPr>
        <w:t xml:space="preserve">here were a total of 3 exceedances of the </w:t>
      </w:r>
      <w:r>
        <w:rPr>
          <w:i/>
          <w:sz w:val="20"/>
        </w:rPr>
        <w:t xml:space="preserve">ambient </w:t>
      </w:r>
      <w:r w:rsidRPr="00753B35">
        <w:rPr>
          <w:i/>
          <w:sz w:val="20"/>
        </w:rPr>
        <w:t>PM</w:t>
      </w:r>
      <w:r w:rsidRPr="00753B35">
        <w:rPr>
          <w:i/>
          <w:sz w:val="20"/>
          <w:vertAlign w:val="subscript"/>
        </w:rPr>
        <w:t>10</w:t>
      </w:r>
      <w:r w:rsidRPr="00753B35">
        <w:rPr>
          <w:i/>
          <w:sz w:val="20"/>
        </w:rPr>
        <w:t xml:space="preserve"> standard within the </w:t>
      </w:r>
      <w:r w:rsidR="00E5077A">
        <w:rPr>
          <w:i/>
          <w:sz w:val="20"/>
        </w:rPr>
        <w:t>Kiwi</w:t>
      </w:r>
      <w:r w:rsidR="00E5077A" w:rsidRPr="00753B35">
        <w:rPr>
          <w:i/>
          <w:sz w:val="20"/>
        </w:rPr>
        <w:t xml:space="preserve"> </w:t>
      </w:r>
      <w:r w:rsidRPr="00753B35">
        <w:rPr>
          <w:i/>
          <w:sz w:val="20"/>
        </w:rPr>
        <w:t>Airshed for the 12-month period</w:t>
      </w:r>
    </w:p>
    <w:p w14:paraId="02F9D74D" w14:textId="77777777" w:rsidR="00551BBF" w:rsidRPr="00753B35" w:rsidRDefault="00551BBF" w:rsidP="00551BBF">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753B35">
        <w:rPr>
          <w:i/>
          <w:sz w:val="20"/>
        </w:rPr>
        <w:t xml:space="preserve">he exceedances were on 24 June </w:t>
      </w:r>
      <w:r w:rsidRPr="00753B35">
        <w:rPr>
          <w:i/>
          <w:iCs/>
          <w:sz w:val="20"/>
        </w:rPr>
        <w:t xml:space="preserve">(53 </w:t>
      </w:r>
      <w:r>
        <w:rPr>
          <w:i/>
          <w:iCs/>
          <w:sz w:val="20"/>
        </w:rPr>
        <w:t>µ</w:t>
      </w:r>
      <w:r w:rsidRPr="00753B35">
        <w:rPr>
          <w:i/>
          <w:iCs/>
          <w:sz w:val="20"/>
        </w:rPr>
        <w:t>g.m</w:t>
      </w:r>
      <w:r w:rsidRPr="00753B35">
        <w:rPr>
          <w:i/>
          <w:iCs/>
          <w:sz w:val="20"/>
          <w:vertAlign w:val="superscript"/>
        </w:rPr>
        <w:t>-3</w:t>
      </w:r>
      <w:r w:rsidRPr="00753B35">
        <w:rPr>
          <w:i/>
          <w:iCs/>
          <w:sz w:val="20"/>
        </w:rPr>
        <w:t xml:space="preserve">) at Monitor3, 5 July (63 </w:t>
      </w:r>
      <w:r>
        <w:rPr>
          <w:i/>
          <w:iCs/>
          <w:sz w:val="20"/>
        </w:rPr>
        <w:t>µ</w:t>
      </w:r>
      <w:r w:rsidRPr="00753B35">
        <w:rPr>
          <w:i/>
          <w:iCs/>
          <w:sz w:val="20"/>
        </w:rPr>
        <w:t xml:space="preserve">g.m3) at Monitor1 and 17 August (57 </w:t>
      </w:r>
      <w:r>
        <w:rPr>
          <w:i/>
          <w:iCs/>
          <w:sz w:val="20"/>
        </w:rPr>
        <w:t>µ</w:t>
      </w:r>
      <w:r w:rsidRPr="00753B35">
        <w:rPr>
          <w:i/>
          <w:iCs/>
          <w:sz w:val="20"/>
        </w:rPr>
        <w:t>g.m</w:t>
      </w:r>
      <w:r w:rsidRPr="00753B35">
        <w:rPr>
          <w:i/>
          <w:iCs/>
          <w:sz w:val="20"/>
          <w:vertAlign w:val="superscript"/>
        </w:rPr>
        <w:t>-3</w:t>
      </w:r>
      <w:r w:rsidRPr="00753B35">
        <w:rPr>
          <w:i/>
          <w:iCs/>
          <w:sz w:val="20"/>
        </w:rPr>
        <w:t>) at Monitor3</w:t>
      </w:r>
    </w:p>
    <w:p w14:paraId="45C55F0B" w14:textId="77777777" w:rsidR="00551BBF" w:rsidRPr="00753B35" w:rsidRDefault="00551BBF" w:rsidP="00551BBF">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753B35">
        <w:rPr>
          <w:i/>
          <w:sz w:val="20"/>
        </w:rPr>
        <w:t xml:space="preserve">he </w:t>
      </w:r>
      <w:r w:rsidR="00E5077A">
        <w:rPr>
          <w:i/>
          <w:sz w:val="20"/>
        </w:rPr>
        <w:t>Kiwi</w:t>
      </w:r>
      <w:r w:rsidR="00E5077A" w:rsidRPr="00753B35">
        <w:rPr>
          <w:i/>
          <w:sz w:val="20"/>
        </w:rPr>
        <w:t xml:space="preserve"> </w:t>
      </w:r>
      <w:r w:rsidRPr="00753B35">
        <w:rPr>
          <w:i/>
          <w:sz w:val="20"/>
        </w:rPr>
        <w:t>Airshed has experienced 2 breaches (3 recorded-1 allowed =2 breaches) of the ambient PM</w:t>
      </w:r>
      <w:r w:rsidRPr="00753B35">
        <w:rPr>
          <w:i/>
          <w:sz w:val="20"/>
          <w:vertAlign w:val="subscript"/>
        </w:rPr>
        <w:t>10</w:t>
      </w:r>
      <w:r w:rsidRPr="00753B35">
        <w:rPr>
          <w:i/>
          <w:sz w:val="20"/>
        </w:rPr>
        <w:t xml:space="preserve"> standard and is not complying with the </w:t>
      </w:r>
      <w:r>
        <w:rPr>
          <w:i/>
          <w:sz w:val="20"/>
        </w:rPr>
        <w:t>Regulations</w:t>
      </w:r>
    </w:p>
    <w:p w14:paraId="3FDBFA12" w14:textId="77777777" w:rsidR="00551BBF" w:rsidRPr="00753B35" w:rsidRDefault="00551BBF" w:rsidP="00551BBF">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w:t>
      </w:r>
      <w:r w:rsidRPr="00753B35">
        <w:rPr>
          <w:i/>
          <w:sz w:val="20"/>
        </w:rPr>
        <w:t xml:space="preserve">he </w:t>
      </w:r>
      <w:r>
        <w:rPr>
          <w:i/>
          <w:sz w:val="20"/>
        </w:rPr>
        <w:t>two</w:t>
      </w:r>
      <w:r w:rsidRPr="00753B35">
        <w:rPr>
          <w:i/>
          <w:sz w:val="20"/>
        </w:rPr>
        <w:t xml:space="preserve"> breaches must be publicly notified in accordance with Regulation 16 within one month of each breach being recorded</w:t>
      </w:r>
      <w:r w:rsidRPr="00753B35">
        <w:rPr>
          <w:i/>
          <w:iCs/>
          <w:sz w:val="20"/>
        </w:rPr>
        <w:t>.</w:t>
      </w:r>
    </w:p>
    <w:p w14:paraId="7515638C" w14:textId="77777777" w:rsidR="0027371A" w:rsidRDefault="0027371A" w:rsidP="00017639">
      <w:pPr>
        <w:pStyle w:val="Heading4"/>
      </w:pPr>
      <w:r>
        <w:t>Monitors that are not part of the ‘ambient standard network’</w:t>
      </w:r>
    </w:p>
    <w:p w14:paraId="5098D7FC" w14:textId="77777777" w:rsidR="0027371A" w:rsidRDefault="0027371A" w:rsidP="0027371A">
      <w:r w:rsidRPr="0057310B">
        <w:t xml:space="preserve">Not all ambient monitors within an airshed </w:t>
      </w:r>
      <w:r w:rsidR="001A76B9">
        <w:t>are operated</w:t>
      </w:r>
      <w:r w:rsidRPr="0057310B">
        <w:t xml:space="preserve"> for assessing complian</w:t>
      </w:r>
      <w:r w:rsidR="00782D75">
        <w:t xml:space="preserve">ce with the ambient standards. </w:t>
      </w:r>
      <w:r w:rsidRPr="0057310B">
        <w:t xml:space="preserve">Some monitors may be used for </w:t>
      </w:r>
      <w:r w:rsidR="0069672E">
        <w:t xml:space="preserve">other </w:t>
      </w:r>
      <w:r w:rsidRPr="0057310B">
        <w:t xml:space="preserve">air quality management </w:t>
      </w:r>
      <w:r w:rsidR="0069672E">
        <w:t>purposes (eg, managing</w:t>
      </w:r>
      <w:r w:rsidRPr="0057310B">
        <w:t xml:space="preserve"> emissions from local industries or roading networks</w:t>
      </w:r>
      <w:r w:rsidR="0069672E">
        <w:t>)</w:t>
      </w:r>
      <w:r>
        <w:t xml:space="preserve"> and would not generally be considered part of the ‘ambient standard network’</w:t>
      </w:r>
      <w:r w:rsidR="00782D75">
        <w:t>.</w:t>
      </w:r>
    </w:p>
    <w:p w14:paraId="12A2CE91" w14:textId="77777777" w:rsidR="009B6A2A" w:rsidRPr="00AA729B" w:rsidRDefault="009B6A2A" w:rsidP="009B6A2A"/>
    <w:p w14:paraId="0ADB595C" w14:textId="77777777" w:rsidR="009B6A2A" w:rsidRPr="00AA729B" w:rsidRDefault="0069672E" w:rsidP="009B6A2A">
      <w:r>
        <w:t xml:space="preserve">For example, some </w:t>
      </w:r>
      <w:r w:rsidR="009B6A2A" w:rsidRPr="00AA729B">
        <w:t>resource consent</w:t>
      </w:r>
      <w:r w:rsidR="00D55C80" w:rsidRPr="00AA729B">
        <w:t xml:space="preserve"> conditions require ambient monitoring to measure </w:t>
      </w:r>
      <w:r>
        <w:t xml:space="preserve">the </w:t>
      </w:r>
      <w:r w:rsidR="00D55C80" w:rsidRPr="00AA729B">
        <w:t>impacts</w:t>
      </w:r>
      <w:r>
        <w:t>, if any,</w:t>
      </w:r>
      <w:r w:rsidR="00D55C80" w:rsidRPr="00AA729B">
        <w:t xml:space="preserve"> of the consented activities off-site</w:t>
      </w:r>
      <w:r w:rsidR="00922421">
        <w:t xml:space="preserve"> (‘consent compliance monitoring’)</w:t>
      </w:r>
      <w:r w:rsidR="00782D75">
        <w:t xml:space="preserve">. </w:t>
      </w:r>
      <w:r w:rsidR="00D55C80" w:rsidRPr="00AA729B">
        <w:t xml:space="preserve">Regulation 14(2) states </w:t>
      </w:r>
      <w:r w:rsidR="00D55C80" w:rsidRPr="006B25D6">
        <w:rPr>
          <w:i/>
          <w:szCs w:val="22"/>
        </w:rPr>
        <w:t xml:space="preserve">“if the discharge of a contaminant is expressly allowed by a resource consent, the ambient standard for the contaminant does not apply </w:t>
      </w:r>
      <w:r w:rsidR="00D55C80" w:rsidRPr="006B25D6">
        <w:rPr>
          <w:b/>
          <w:i/>
          <w:szCs w:val="22"/>
        </w:rPr>
        <w:t>to the site</w:t>
      </w:r>
      <w:r w:rsidR="00D55C80" w:rsidRPr="006B25D6">
        <w:rPr>
          <w:i/>
          <w:szCs w:val="22"/>
        </w:rPr>
        <w:t xml:space="preserve"> on which the resource consent is exercised”</w:t>
      </w:r>
      <w:r w:rsidR="00D55C80" w:rsidRPr="006B25D6">
        <w:rPr>
          <w:szCs w:val="22"/>
        </w:rPr>
        <w:t>.</w:t>
      </w:r>
      <w:r w:rsidR="00922421">
        <w:t xml:space="preserve"> However, the </w:t>
      </w:r>
      <w:r>
        <w:t xml:space="preserve">ambient </w:t>
      </w:r>
      <w:r w:rsidR="00922421">
        <w:t>standard</w:t>
      </w:r>
      <w:r>
        <w:t>s</w:t>
      </w:r>
      <w:r w:rsidR="00922421">
        <w:t xml:space="preserve"> apply off-site</w:t>
      </w:r>
      <w:r>
        <w:t xml:space="preserve"> so if an exceedance is measured it may be ‘counted’.</w:t>
      </w:r>
    </w:p>
    <w:p w14:paraId="1BFFD93E" w14:textId="77777777" w:rsidR="00D55C80" w:rsidRDefault="00D55C80" w:rsidP="009B6A2A">
      <w:pPr>
        <w:rPr>
          <w:highlight w:val="cyan"/>
        </w:rPr>
      </w:pPr>
    </w:p>
    <w:p w14:paraId="413DE98E" w14:textId="77777777" w:rsidR="00922421" w:rsidRDefault="00933E0F" w:rsidP="009B6A2A">
      <w:pPr>
        <w:rPr>
          <w:highlight w:val="yellow"/>
        </w:rPr>
      </w:pPr>
      <w:r>
        <w:t>However, this premise could be</w:t>
      </w:r>
      <w:r w:rsidR="0069672E">
        <w:t xml:space="preserve"> negated </w:t>
      </w:r>
      <w:r w:rsidR="005752A8">
        <w:t>if the exceedance resulted from</w:t>
      </w:r>
      <w:r w:rsidR="0069672E">
        <w:t xml:space="preserve"> exceptional </w:t>
      </w:r>
      <w:r w:rsidR="005752A8">
        <w:t>circumstances</w:t>
      </w:r>
      <w:r w:rsidR="0069672E">
        <w:t xml:space="preserve"> (eg, a large-scale industrial incident). </w:t>
      </w:r>
      <w:r w:rsidR="00922421" w:rsidRPr="00922421">
        <w:t xml:space="preserve">This </w:t>
      </w:r>
      <w:r w:rsidR="0069672E">
        <w:t>would</w:t>
      </w:r>
      <w:r w:rsidR="00922421" w:rsidRPr="00922421">
        <w:t xml:space="preserve"> depend on </w:t>
      </w:r>
      <w:r w:rsidR="0069672E">
        <w:t xml:space="preserve">a number of factors including </w:t>
      </w:r>
      <w:r w:rsidR="00922421" w:rsidRPr="00922421">
        <w:t>the type of incident, whether the incident was foreseeable and the measures undertaken to prevent the inciden</w:t>
      </w:r>
      <w:r w:rsidR="00782D75">
        <w:t>t occurring in the first place.</w:t>
      </w:r>
      <w:r w:rsidR="00922421" w:rsidRPr="00922421">
        <w:t xml:space="preserve"> Further discussion on ‘exceptional </w:t>
      </w:r>
      <w:r w:rsidR="005752A8">
        <w:t>circumstances</w:t>
      </w:r>
      <w:r w:rsidR="00922421" w:rsidRPr="00922421">
        <w:t xml:space="preserve">’ is given in section </w:t>
      </w:r>
      <w:r w:rsidR="00922421" w:rsidRPr="00933E0F">
        <w:t>3.8.</w:t>
      </w:r>
    </w:p>
    <w:p w14:paraId="7F35B1BE" w14:textId="77777777" w:rsidR="00922421" w:rsidRPr="0088774C" w:rsidRDefault="00922421" w:rsidP="009B6A2A"/>
    <w:p w14:paraId="49F0B8F7" w14:textId="77777777" w:rsidR="00922421" w:rsidRDefault="00922421" w:rsidP="009B6A2A">
      <w:r w:rsidRPr="0088774C">
        <w:t xml:space="preserve">Councils may need to consider reviewing consent conditions for sites where ambient consent compliance monitoring is undertaken </w:t>
      </w:r>
      <w:r w:rsidR="0069672E">
        <w:t xml:space="preserve">in order </w:t>
      </w:r>
      <w:r w:rsidRPr="0088774C">
        <w:t>to enable the monitoring dat</w:t>
      </w:r>
      <w:r w:rsidR="0069672E">
        <w:t>a</w:t>
      </w:r>
      <w:r w:rsidRPr="0088774C">
        <w:t xml:space="preserve"> to be obtained </w:t>
      </w:r>
      <w:r w:rsidR="0069672E">
        <w:t>in time</w:t>
      </w:r>
      <w:r w:rsidRPr="0088774C">
        <w:t xml:space="preserve"> to enable the council to meet the notification </w:t>
      </w:r>
      <w:r w:rsidR="00782D75">
        <w:t>requirements of Regulation 16.</w:t>
      </w:r>
    </w:p>
    <w:p w14:paraId="32F4A7C9" w14:textId="77777777" w:rsidR="007F376A" w:rsidRDefault="007F376A" w:rsidP="009B6A2A">
      <w:pPr>
        <w:rPr>
          <w:highlight w:val="cyan"/>
        </w:rPr>
      </w:pPr>
    </w:p>
    <w:p w14:paraId="6ED58B81" w14:textId="77777777" w:rsidR="0027371A" w:rsidRDefault="0027371A" w:rsidP="0027371A">
      <w:r w:rsidRPr="0057310B">
        <w:t xml:space="preserve">Councils should specify and document what monitors within an airshed are being used for </w:t>
      </w:r>
      <w:r w:rsidR="00782D75">
        <w:br/>
      </w:r>
      <w:r w:rsidRPr="0057310B">
        <w:t>(ie, whether they are part of the ambient standard network or not).</w:t>
      </w:r>
      <w:r w:rsidR="00782D75">
        <w:t xml:space="preserve"> </w:t>
      </w:r>
      <w:r>
        <w:t xml:space="preserve">Irrespective of this, </w:t>
      </w:r>
      <w:r w:rsidR="007F376A">
        <w:t xml:space="preserve">in general terms, all </w:t>
      </w:r>
      <w:r w:rsidR="008B5815">
        <w:rPr>
          <w:b/>
        </w:rPr>
        <w:t>breache</w:t>
      </w:r>
      <w:r w:rsidR="007F376A">
        <w:rPr>
          <w:b/>
        </w:rPr>
        <w:t>s</w:t>
      </w:r>
      <w:r w:rsidRPr="009B6A2A">
        <w:rPr>
          <w:b/>
        </w:rPr>
        <w:t xml:space="preserve"> </w:t>
      </w:r>
      <w:r w:rsidR="007F376A">
        <w:rPr>
          <w:b/>
        </w:rPr>
        <w:t>should be notified</w:t>
      </w:r>
      <w:r>
        <w:rPr>
          <w:b/>
        </w:rPr>
        <w:t xml:space="preserve"> </w:t>
      </w:r>
      <w:r w:rsidRPr="0027371A">
        <w:t xml:space="preserve">(providing the monitoring </w:t>
      </w:r>
      <w:r>
        <w:t>has been</w:t>
      </w:r>
      <w:r w:rsidRPr="0027371A">
        <w:t xml:space="preserve"> done in accordance with the test method</w:t>
      </w:r>
      <w:r w:rsidR="009B6A2A">
        <w:t>s</w:t>
      </w:r>
      <w:r w:rsidRPr="0027371A">
        <w:t xml:space="preserve"> specified in Schedule </w:t>
      </w:r>
      <w:r w:rsidR="00FA2232">
        <w:t xml:space="preserve">2 </w:t>
      </w:r>
      <w:r w:rsidRPr="0027371A">
        <w:t>of the Regulations.)</w:t>
      </w:r>
    </w:p>
    <w:p w14:paraId="1155CAA1" w14:textId="77777777" w:rsidR="00006C58" w:rsidRDefault="00006C58" w:rsidP="0027371A"/>
    <w:p w14:paraId="234B3238" w14:textId="77777777" w:rsidR="0035656B" w:rsidRPr="00A74F05" w:rsidRDefault="0035656B" w:rsidP="00BC3C1F">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4</w:t>
      </w:r>
    </w:p>
    <w:p w14:paraId="16D25CDF" w14:textId="77777777" w:rsidR="0035656B" w:rsidRDefault="0035656B" w:rsidP="0035656B">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 xml:space="preserve">The </w:t>
      </w:r>
      <w:r w:rsidR="008F7AD3">
        <w:rPr>
          <w:rStyle w:val="SubtleEmphasis"/>
          <w:color w:val="auto"/>
          <w:sz w:val="20"/>
        </w:rPr>
        <w:t>Ponga</w:t>
      </w:r>
      <w:r>
        <w:rPr>
          <w:rStyle w:val="SubtleEmphasis"/>
          <w:color w:val="auto"/>
          <w:sz w:val="20"/>
        </w:rPr>
        <w:t xml:space="preserve"> Regional Council was undertaking some investigative nitrogen dioxide (NO</w:t>
      </w:r>
      <w:r w:rsidRPr="00753B35">
        <w:rPr>
          <w:rStyle w:val="SubtleEmphasis"/>
          <w:color w:val="auto"/>
          <w:sz w:val="20"/>
          <w:vertAlign w:val="subscript"/>
        </w:rPr>
        <w:t>2</w:t>
      </w:r>
      <w:r>
        <w:rPr>
          <w:rStyle w:val="SubtleEmphasis"/>
          <w:color w:val="auto"/>
          <w:sz w:val="20"/>
        </w:rPr>
        <w:t xml:space="preserve">) monitoring alongside a major arterial road in the </w:t>
      </w:r>
      <w:r w:rsidR="008F7AD3">
        <w:rPr>
          <w:rStyle w:val="SubtleEmphasis"/>
          <w:color w:val="auto"/>
          <w:sz w:val="20"/>
        </w:rPr>
        <w:t>Pūkeko</w:t>
      </w:r>
      <w:r>
        <w:rPr>
          <w:rStyle w:val="SubtleEmphasis"/>
          <w:color w:val="auto"/>
          <w:sz w:val="20"/>
        </w:rPr>
        <w:t xml:space="preserve"> Airshed</w:t>
      </w:r>
      <w:r w:rsidRPr="00A74F05">
        <w:rPr>
          <w:rStyle w:val="SubtleEmphasis"/>
          <w:color w:val="auto"/>
          <w:sz w:val="20"/>
        </w:rPr>
        <w:t>.</w:t>
      </w:r>
      <w:r>
        <w:rPr>
          <w:rStyle w:val="SubtleEmphasis"/>
          <w:color w:val="auto"/>
          <w:sz w:val="20"/>
        </w:rPr>
        <w:t xml:space="preserve"> The monitor was not specified by the </w:t>
      </w:r>
      <w:r w:rsidR="008F7AD3">
        <w:rPr>
          <w:rStyle w:val="SubtleEmphasis"/>
          <w:color w:val="auto"/>
          <w:sz w:val="20"/>
        </w:rPr>
        <w:t>Ponga</w:t>
      </w:r>
      <w:r>
        <w:rPr>
          <w:rStyle w:val="SubtleEmphasis"/>
          <w:color w:val="auto"/>
          <w:sz w:val="20"/>
        </w:rPr>
        <w:t xml:space="preserve"> Regional Council as part of the ambient monitoring network. The monitoring was undertaken for 3 months and recorded 15 exceedances of the ambient NO</w:t>
      </w:r>
      <w:r w:rsidRPr="00753B35">
        <w:rPr>
          <w:rStyle w:val="SubtleEmphasis"/>
          <w:color w:val="auto"/>
          <w:sz w:val="20"/>
          <w:vertAlign w:val="subscript"/>
        </w:rPr>
        <w:t>2</w:t>
      </w:r>
      <w:r>
        <w:rPr>
          <w:rStyle w:val="SubtleEmphasis"/>
          <w:color w:val="auto"/>
          <w:sz w:val="20"/>
        </w:rPr>
        <w:t xml:space="preserve"> standard of 200 µg.m</w:t>
      </w:r>
      <w:r w:rsidRPr="00753B35">
        <w:rPr>
          <w:rStyle w:val="SubtleEmphasis"/>
          <w:color w:val="auto"/>
          <w:sz w:val="20"/>
          <w:vertAlign w:val="superscript"/>
        </w:rPr>
        <w:t>-3</w:t>
      </w:r>
      <w:r w:rsidRPr="00753B35">
        <w:rPr>
          <w:rStyle w:val="SubtleEmphasis"/>
          <w:color w:val="auto"/>
          <w:sz w:val="20"/>
        </w:rPr>
        <w:t xml:space="preserve"> </w:t>
      </w:r>
      <w:r>
        <w:rPr>
          <w:rStyle w:val="SubtleEmphasis"/>
          <w:color w:val="auto"/>
          <w:sz w:val="20"/>
        </w:rPr>
        <w:t>(1-hour average).  The standard only allows 9 exceedances</w:t>
      </w:r>
      <w:r w:rsidRPr="00A74F05">
        <w:rPr>
          <w:rStyle w:val="SubtleEmphasis"/>
          <w:color w:val="auto"/>
          <w:sz w:val="20"/>
        </w:rPr>
        <w:t xml:space="preserve"> </w:t>
      </w:r>
      <w:r>
        <w:rPr>
          <w:rStyle w:val="SubtleEmphasis"/>
          <w:color w:val="auto"/>
          <w:sz w:val="20"/>
        </w:rPr>
        <w:t>in a 12-month period. Therefore:</w:t>
      </w:r>
    </w:p>
    <w:p w14:paraId="1F419847" w14:textId="77777777" w:rsidR="0035656B" w:rsidRPr="00A74F05" w:rsidRDefault="0035656B" w:rsidP="0035656B">
      <w:pPr>
        <w:pBdr>
          <w:top w:val="single" w:sz="4" w:space="1" w:color="auto"/>
          <w:left w:val="single" w:sz="4" w:space="4" w:color="auto"/>
          <w:bottom w:val="single" w:sz="4" w:space="1" w:color="auto"/>
          <w:right w:val="single" w:sz="4" w:space="4" w:color="auto"/>
        </w:pBdr>
        <w:rPr>
          <w:rStyle w:val="SubtleEmphasis"/>
          <w:color w:val="auto"/>
          <w:sz w:val="20"/>
        </w:rPr>
      </w:pPr>
    </w:p>
    <w:p w14:paraId="327B974A" w14:textId="77777777" w:rsidR="0035656B" w:rsidRPr="00753B35" w:rsidRDefault="0035656B" w:rsidP="0035656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753B35">
        <w:rPr>
          <w:i/>
          <w:sz w:val="20"/>
        </w:rPr>
        <w:t>he monitor has recorded breaches of the ambient NO</w:t>
      </w:r>
      <w:r w:rsidRPr="00753B35">
        <w:rPr>
          <w:i/>
          <w:sz w:val="20"/>
          <w:vertAlign w:val="subscript"/>
        </w:rPr>
        <w:t>2</w:t>
      </w:r>
      <w:r w:rsidRPr="00753B35">
        <w:rPr>
          <w:i/>
          <w:sz w:val="20"/>
        </w:rPr>
        <w:t xml:space="preserve"> standard</w:t>
      </w:r>
    </w:p>
    <w:p w14:paraId="4A67ADE6" w14:textId="77777777" w:rsidR="0035656B" w:rsidRDefault="0035656B" w:rsidP="0035656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w:t>
      </w:r>
      <w:r w:rsidRPr="00753B35">
        <w:rPr>
          <w:i/>
          <w:sz w:val="20"/>
        </w:rPr>
        <w:t>he breaches must be notified in accordance with Regulation 16.</w:t>
      </w:r>
    </w:p>
    <w:p w14:paraId="06873D5B" w14:textId="77777777" w:rsidR="00DA10E6" w:rsidRDefault="00DA10E6" w:rsidP="00DA10E6">
      <w:pPr>
        <w:keepNext/>
        <w:pBdr>
          <w:top w:val="single" w:sz="4" w:space="1" w:color="auto"/>
          <w:left w:val="single" w:sz="4" w:space="4" w:color="auto"/>
          <w:bottom w:val="single" w:sz="4" w:space="1" w:color="auto"/>
          <w:right w:val="single" w:sz="4" w:space="4" w:color="auto"/>
        </w:pBdr>
        <w:rPr>
          <w:rStyle w:val="SubtleEmphasis"/>
          <w:b/>
          <w:color w:val="auto"/>
          <w:sz w:val="20"/>
        </w:rPr>
      </w:pPr>
    </w:p>
    <w:p w14:paraId="0D4975A6" w14:textId="77777777" w:rsidR="00DA10E6" w:rsidRPr="00A74F05" w:rsidRDefault="00DA10E6" w:rsidP="00BC3C1F">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5</w:t>
      </w:r>
    </w:p>
    <w:p w14:paraId="56330D83" w14:textId="77777777" w:rsidR="00DA10E6" w:rsidRDefault="008F7AD3" w:rsidP="00DA10E6">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Circle</w:t>
      </w:r>
      <w:r w:rsidRPr="00753B35">
        <w:rPr>
          <w:rStyle w:val="SubtleEmphasis"/>
          <w:color w:val="auto"/>
          <w:sz w:val="20"/>
        </w:rPr>
        <w:t xml:space="preserve"> </w:t>
      </w:r>
      <w:r w:rsidR="00DA10E6" w:rsidRPr="00753B35">
        <w:rPr>
          <w:rStyle w:val="SubtleEmphasis"/>
          <w:color w:val="auto"/>
          <w:sz w:val="20"/>
        </w:rPr>
        <w:t xml:space="preserve">Fertiliser operates a super phosphate plant in the </w:t>
      </w:r>
      <w:r w:rsidR="00D86AFF">
        <w:rPr>
          <w:rStyle w:val="SubtleEmphasis"/>
          <w:color w:val="auto"/>
          <w:sz w:val="20"/>
        </w:rPr>
        <w:t>Mohua</w:t>
      </w:r>
      <w:r w:rsidR="00D86AFF" w:rsidRPr="00753B35">
        <w:rPr>
          <w:rStyle w:val="SubtleEmphasis"/>
          <w:color w:val="auto"/>
          <w:sz w:val="20"/>
        </w:rPr>
        <w:t xml:space="preserve"> </w:t>
      </w:r>
      <w:r w:rsidR="00DA10E6" w:rsidRPr="00753B35">
        <w:rPr>
          <w:rStyle w:val="SubtleEmphasis"/>
          <w:color w:val="auto"/>
          <w:sz w:val="20"/>
        </w:rPr>
        <w:t>Airshed. The plant is a large source of sulphur dioxide (SO</w:t>
      </w:r>
      <w:r w:rsidR="00DA10E6" w:rsidRPr="00753B35">
        <w:rPr>
          <w:rStyle w:val="SubtleEmphasis"/>
          <w:color w:val="auto"/>
          <w:sz w:val="20"/>
          <w:vertAlign w:val="subscript"/>
        </w:rPr>
        <w:t>2</w:t>
      </w:r>
      <w:r w:rsidR="00DA10E6" w:rsidRPr="00753B35">
        <w:rPr>
          <w:rStyle w:val="SubtleEmphasis"/>
          <w:color w:val="auto"/>
          <w:sz w:val="20"/>
        </w:rPr>
        <w:t xml:space="preserve">). As part of their consent monitoring required by </w:t>
      </w:r>
      <w:r w:rsidR="00D86AFF">
        <w:rPr>
          <w:rStyle w:val="SubtleEmphasis"/>
          <w:color w:val="auto"/>
          <w:sz w:val="20"/>
        </w:rPr>
        <w:t>Kahikatea</w:t>
      </w:r>
      <w:r w:rsidR="00D86AFF" w:rsidRPr="00753B35">
        <w:rPr>
          <w:rStyle w:val="SubtleEmphasis"/>
          <w:color w:val="auto"/>
          <w:sz w:val="20"/>
        </w:rPr>
        <w:t xml:space="preserve"> </w:t>
      </w:r>
      <w:r w:rsidR="00DA10E6" w:rsidRPr="00753B35">
        <w:rPr>
          <w:rStyle w:val="SubtleEmphasis"/>
          <w:color w:val="auto"/>
          <w:sz w:val="20"/>
        </w:rPr>
        <w:t>Regional Council, they have installed two SO</w:t>
      </w:r>
      <w:r w:rsidR="00DA10E6" w:rsidRPr="004A768B">
        <w:rPr>
          <w:rStyle w:val="SubtleEmphasis"/>
          <w:color w:val="auto"/>
          <w:sz w:val="20"/>
          <w:vertAlign w:val="subscript"/>
        </w:rPr>
        <w:t>2</w:t>
      </w:r>
      <w:r w:rsidR="00DA10E6" w:rsidRPr="00753B35">
        <w:rPr>
          <w:rStyle w:val="SubtleEmphasis"/>
          <w:color w:val="auto"/>
          <w:sz w:val="20"/>
        </w:rPr>
        <w:t xml:space="preserve"> monitors</w:t>
      </w:r>
      <w:r w:rsidR="00DA10E6">
        <w:rPr>
          <w:rStyle w:val="SubtleEmphasis"/>
          <w:color w:val="auto"/>
          <w:sz w:val="20"/>
        </w:rPr>
        <w:t xml:space="preserve"> -</w:t>
      </w:r>
      <w:r w:rsidR="00DA10E6" w:rsidRPr="00753B35">
        <w:rPr>
          <w:rStyle w:val="SubtleEmphasis"/>
          <w:color w:val="auto"/>
          <w:sz w:val="20"/>
        </w:rPr>
        <w:t xml:space="preserve"> Monitor1 is inside </w:t>
      </w:r>
      <w:r w:rsidR="00D86AFF">
        <w:rPr>
          <w:rStyle w:val="SubtleEmphasis"/>
          <w:color w:val="auto"/>
          <w:sz w:val="20"/>
        </w:rPr>
        <w:t>Circle Fertiliser</w:t>
      </w:r>
      <w:r w:rsidR="00D86AFF" w:rsidRPr="00753B35">
        <w:rPr>
          <w:rStyle w:val="SubtleEmphasis"/>
          <w:color w:val="auto"/>
          <w:sz w:val="20"/>
        </w:rPr>
        <w:t xml:space="preserve">’s </w:t>
      </w:r>
      <w:r w:rsidR="00DA10E6" w:rsidRPr="00753B35">
        <w:rPr>
          <w:rStyle w:val="SubtleEmphasis"/>
          <w:color w:val="auto"/>
          <w:sz w:val="20"/>
        </w:rPr>
        <w:t xml:space="preserve">site boundary (on-site) and Monitor2 is outside </w:t>
      </w:r>
      <w:r>
        <w:rPr>
          <w:rStyle w:val="SubtleEmphasis"/>
          <w:color w:val="auto"/>
          <w:sz w:val="20"/>
        </w:rPr>
        <w:t>Circle Fertiliser</w:t>
      </w:r>
      <w:r w:rsidR="00DA10E6" w:rsidRPr="00753B35">
        <w:rPr>
          <w:rStyle w:val="SubtleEmphasis"/>
          <w:color w:val="auto"/>
          <w:sz w:val="20"/>
        </w:rPr>
        <w:t>’s boundary (off-site) downwind in the prevailing wind direction. Whilst the plant was operating and the wind was blowing towards Monitor2, Monitor1 recorded a</w:t>
      </w:r>
      <w:r w:rsidR="00DA10E6">
        <w:rPr>
          <w:rStyle w:val="SubtleEmphasis"/>
          <w:color w:val="auto"/>
          <w:sz w:val="20"/>
        </w:rPr>
        <w:t>n SO</w:t>
      </w:r>
      <w:r w:rsidR="00DA10E6" w:rsidRPr="004A768B">
        <w:rPr>
          <w:rStyle w:val="SubtleEmphasis"/>
          <w:color w:val="auto"/>
          <w:sz w:val="20"/>
          <w:vertAlign w:val="subscript"/>
        </w:rPr>
        <w:t>2</w:t>
      </w:r>
      <w:r w:rsidR="00DA10E6">
        <w:rPr>
          <w:rStyle w:val="SubtleEmphasis"/>
          <w:color w:val="auto"/>
          <w:sz w:val="20"/>
        </w:rPr>
        <w:t xml:space="preserve"> </w:t>
      </w:r>
      <w:r w:rsidR="00DA10E6" w:rsidRPr="00753B35">
        <w:rPr>
          <w:rStyle w:val="SubtleEmphasis"/>
          <w:color w:val="auto"/>
          <w:sz w:val="20"/>
        </w:rPr>
        <w:t xml:space="preserve">concentration of 600 </w:t>
      </w:r>
      <w:r w:rsidR="00DA10E6">
        <w:rPr>
          <w:rStyle w:val="SubtleEmphasis"/>
          <w:color w:val="auto"/>
          <w:sz w:val="20"/>
        </w:rPr>
        <w:t>µg.m</w:t>
      </w:r>
      <w:r w:rsidR="00DA10E6" w:rsidRPr="00753B35">
        <w:rPr>
          <w:rStyle w:val="SubtleEmphasis"/>
          <w:color w:val="auto"/>
          <w:sz w:val="20"/>
          <w:vertAlign w:val="superscript"/>
        </w:rPr>
        <w:t>-3</w:t>
      </w:r>
      <w:r w:rsidR="00DA10E6" w:rsidRPr="00753B35">
        <w:rPr>
          <w:rStyle w:val="SubtleEmphasis"/>
          <w:color w:val="auto"/>
          <w:sz w:val="20"/>
        </w:rPr>
        <w:t xml:space="preserve"> (1-hour average) and Monitor2 recorded a concentration of 590</w:t>
      </w:r>
      <w:r w:rsidR="00DA10E6">
        <w:rPr>
          <w:rStyle w:val="SubtleEmphasis"/>
          <w:color w:val="auto"/>
          <w:sz w:val="20"/>
        </w:rPr>
        <w:t xml:space="preserve"> µg.m</w:t>
      </w:r>
      <w:r w:rsidR="00DA10E6" w:rsidRPr="00753B35">
        <w:rPr>
          <w:rStyle w:val="SubtleEmphasis"/>
          <w:color w:val="auto"/>
          <w:sz w:val="20"/>
          <w:vertAlign w:val="superscript"/>
        </w:rPr>
        <w:t>-3</w:t>
      </w:r>
      <w:r w:rsidR="00DA10E6">
        <w:rPr>
          <w:rStyle w:val="SubtleEmphasis"/>
          <w:color w:val="auto"/>
          <w:sz w:val="20"/>
        </w:rPr>
        <w:t>. The</w:t>
      </w:r>
      <w:r w:rsidR="00DA10E6" w:rsidRPr="00753B35">
        <w:rPr>
          <w:rStyle w:val="SubtleEmphasis"/>
          <w:color w:val="auto"/>
          <w:sz w:val="20"/>
        </w:rPr>
        <w:t xml:space="preserve"> ambient SO</w:t>
      </w:r>
      <w:r w:rsidR="00DA10E6" w:rsidRPr="004A768B">
        <w:rPr>
          <w:rStyle w:val="SubtleEmphasis"/>
          <w:color w:val="auto"/>
          <w:sz w:val="20"/>
          <w:vertAlign w:val="subscript"/>
        </w:rPr>
        <w:t>2</w:t>
      </w:r>
      <w:r w:rsidR="00DA10E6" w:rsidRPr="00753B35">
        <w:rPr>
          <w:rStyle w:val="SubtleEmphasis"/>
          <w:color w:val="auto"/>
          <w:sz w:val="20"/>
        </w:rPr>
        <w:t xml:space="preserve"> standard is 570 </w:t>
      </w:r>
      <w:r w:rsidR="00DA10E6">
        <w:rPr>
          <w:rStyle w:val="SubtleEmphasis"/>
          <w:color w:val="auto"/>
          <w:sz w:val="20"/>
        </w:rPr>
        <w:t>µg.m</w:t>
      </w:r>
      <w:r w:rsidR="00DA10E6" w:rsidRPr="00753B35">
        <w:rPr>
          <w:rStyle w:val="SubtleEmphasis"/>
          <w:color w:val="auto"/>
          <w:sz w:val="20"/>
          <w:vertAlign w:val="superscript"/>
        </w:rPr>
        <w:t>-3</w:t>
      </w:r>
      <w:r w:rsidR="00DA10E6">
        <w:rPr>
          <w:rStyle w:val="SubtleEmphasis"/>
          <w:color w:val="auto"/>
          <w:sz w:val="20"/>
        </w:rPr>
        <w:t xml:space="preserve"> with no allowed exceedances</w:t>
      </w:r>
      <w:r w:rsidR="00DA10E6" w:rsidRPr="00753B35">
        <w:rPr>
          <w:rStyle w:val="SubtleEmphasis"/>
          <w:color w:val="auto"/>
          <w:sz w:val="20"/>
        </w:rPr>
        <w:t>.</w:t>
      </w:r>
      <w:r w:rsidR="00DA10E6">
        <w:rPr>
          <w:rStyle w:val="SubtleEmphasis"/>
          <w:color w:val="auto"/>
          <w:sz w:val="20"/>
        </w:rPr>
        <w:t xml:space="preserve"> Therefore:</w:t>
      </w:r>
    </w:p>
    <w:p w14:paraId="7F9A3ADF" w14:textId="77777777" w:rsidR="00DA10E6" w:rsidRPr="00A74F05" w:rsidRDefault="00DA10E6" w:rsidP="00DA10E6">
      <w:pPr>
        <w:pBdr>
          <w:top w:val="single" w:sz="4" w:space="1" w:color="auto"/>
          <w:left w:val="single" w:sz="4" w:space="4" w:color="auto"/>
          <w:bottom w:val="single" w:sz="4" w:space="1" w:color="auto"/>
          <w:right w:val="single" w:sz="4" w:space="4" w:color="auto"/>
        </w:pBdr>
        <w:rPr>
          <w:rStyle w:val="SubtleEmphasis"/>
          <w:color w:val="auto"/>
          <w:sz w:val="20"/>
        </w:rPr>
      </w:pPr>
    </w:p>
    <w:p w14:paraId="5AD16682" w14:textId="77777777" w:rsidR="00DA10E6" w:rsidRPr="009C222B" w:rsidRDefault="00DA10E6" w:rsidP="00DA10E6">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sidRPr="009C222B">
        <w:rPr>
          <w:i/>
          <w:sz w:val="20"/>
        </w:rPr>
        <w:t>Monitor1 has recorded a breach of the ambient SO</w:t>
      </w:r>
      <w:r w:rsidRPr="009C222B">
        <w:rPr>
          <w:i/>
          <w:sz w:val="20"/>
          <w:vertAlign w:val="subscript"/>
        </w:rPr>
        <w:t>2</w:t>
      </w:r>
      <w:r w:rsidRPr="009C222B">
        <w:rPr>
          <w:i/>
          <w:sz w:val="20"/>
        </w:rPr>
        <w:t xml:space="preserve"> standard but, due to Regulation 14(2)</w:t>
      </w:r>
      <w:r>
        <w:rPr>
          <w:i/>
          <w:sz w:val="20"/>
        </w:rPr>
        <w:t>,</w:t>
      </w:r>
      <w:r w:rsidRPr="009C222B">
        <w:rPr>
          <w:i/>
          <w:sz w:val="20"/>
        </w:rPr>
        <w:t xml:space="preserve"> the ambient standard does not apply on this site</w:t>
      </w:r>
    </w:p>
    <w:p w14:paraId="2E567FD7" w14:textId="77777777" w:rsidR="00DA10E6" w:rsidRPr="009C222B" w:rsidRDefault="00DA10E6" w:rsidP="00DA10E6">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sidRPr="009C222B">
        <w:rPr>
          <w:i/>
          <w:sz w:val="20"/>
        </w:rPr>
        <w:t>Monitor2 has recorded a breach of the ambient SO</w:t>
      </w:r>
      <w:r w:rsidRPr="009C222B">
        <w:rPr>
          <w:i/>
          <w:sz w:val="20"/>
          <w:vertAlign w:val="subscript"/>
        </w:rPr>
        <w:t>2</w:t>
      </w:r>
      <w:r w:rsidRPr="009C222B">
        <w:rPr>
          <w:i/>
          <w:sz w:val="20"/>
        </w:rPr>
        <w:t xml:space="preserve"> standard and, as the monitor was off-site, the ambient standard applies</w:t>
      </w:r>
    </w:p>
    <w:p w14:paraId="47732330" w14:textId="77777777" w:rsidR="00DA10E6" w:rsidRPr="00EF7865" w:rsidRDefault="00DA10E6" w:rsidP="00DA10E6">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w:t>
      </w:r>
      <w:r w:rsidRPr="009C222B">
        <w:rPr>
          <w:i/>
          <w:sz w:val="20"/>
        </w:rPr>
        <w:t xml:space="preserve">he </w:t>
      </w:r>
      <w:r w:rsidR="003C6519">
        <w:rPr>
          <w:i/>
          <w:sz w:val="20"/>
        </w:rPr>
        <w:t>Kahikatea</w:t>
      </w:r>
      <w:r w:rsidR="003C6519" w:rsidRPr="009C222B">
        <w:rPr>
          <w:i/>
          <w:sz w:val="20"/>
        </w:rPr>
        <w:t xml:space="preserve"> </w:t>
      </w:r>
      <w:r w:rsidRPr="009C222B">
        <w:rPr>
          <w:i/>
          <w:sz w:val="20"/>
        </w:rPr>
        <w:t>Regional Council must notify the breach in accordance with Regulation 16</w:t>
      </w:r>
      <w:r w:rsidRPr="009C222B">
        <w:rPr>
          <w:iCs/>
        </w:rPr>
        <w:t>.</w:t>
      </w:r>
    </w:p>
    <w:p w14:paraId="2719B83D" w14:textId="77777777" w:rsidR="009C69C3" w:rsidRDefault="009C69C3" w:rsidP="00017639">
      <w:pPr>
        <w:pStyle w:val="Heading4"/>
      </w:pPr>
      <w:r>
        <w:t>Reporting</w:t>
      </w:r>
    </w:p>
    <w:p w14:paraId="20BDC0CC" w14:textId="77777777" w:rsidR="009C69C3" w:rsidRDefault="00BC3C1F" w:rsidP="009C69C3">
      <w:r>
        <w:t>To</w:t>
      </w:r>
      <w:r w:rsidR="009C69C3">
        <w:t xml:space="preserve"> provide surety to the general public regarding potential health impacts</w:t>
      </w:r>
      <w:r w:rsidR="00D300AF">
        <w:t>,</w:t>
      </w:r>
      <w:r w:rsidR="009C69C3">
        <w:t xml:space="preserve"> councils should</w:t>
      </w:r>
      <w:r w:rsidR="00010CA6">
        <w:t xml:space="preserve">, as a matter of best practice, </w:t>
      </w:r>
      <w:r w:rsidR="009C69C3">
        <w:t xml:space="preserve">publish </w:t>
      </w:r>
      <w:r w:rsidR="00010CA6">
        <w:t>the</w:t>
      </w:r>
      <w:r w:rsidR="009C69C3">
        <w:t xml:space="preserve"> </w:t>
      </w:r>
      <w:r w:rsidR="00010CA6">
        <w:t>rationale behind the</w:t>
      </w:r>
      <w:r w:rsidR="003E7D3E">
        <w:t>ir</w:t>
      </w:r>
      <w:r w:rsidR="00010CA6">
        <w:t xml:space="preserve"> choice</w:t>
      </w:r>
      <w:r w:rsidR="009C69C3">
        <w:t xml:space="preserve"> </w:t>
      </w:r>
      <w:r w:rsidR="00010CA6">
        <w:t>of</w:t>
      </w:r>
      <w:r w:rsidR="009C69C3">
        <w:t xml:space="preserve"> ambient standard monitoring sites and why </w:t>
      </w:r>
      <w:r w:rsidR="00D300AF">
        <w:t>each site</w:t>
      </w:r>
      <w:r w:rsidR="009C69C3">
        <w:t xml:space="preserve"> </w:t>
      </w:r>
      <w:r w:rsidR="00D300AF">
        <w:t>is considered</w:t>
      </w:r>
      <w:r w:rsidR="009C69C3">
        <w:t xml:space="preserve"> representative of ‘worst’ case emissio</w:t>
      </w:r>
      <w:r w:rsidR="00782D75">
        <w:t>n levels.</w:t>
      </w:r>
      <w:r w:rsidR="009C69C3">
        <w:t xml:space="preserve"> This assessment should include:</w:t>
      </w:r>
    </w:p>
    <w:p w14:paraId="2A9A1446" w14:textId="77777777" w:rsidR="009C69C3" w:rsidRDefault="00877425" w:rsidP="00152DF6">
      <w:pPr>
        <w:pStyle w:val="Bullet"/>
        <w:numPr>
          <w:ilvl w:val="0"/>
          <w:numId w:val="11"/>
        </w:numPr>
      </w:pPr>
      <w:r>
        <w:t xml:space="preserve">the </w:t>
      </w:r>
      <w:r w:rsidR="009C69C3">
        <w:t>methods to assess whether each airshed is likely to breach the ambient standards</w:t>
      </w:r>
    </w:p>
    <w:p w14:paraId="740883D0" w14:textId="77777777" w:rsidR="009C69C3" w:rsidRDefault="00877425" w:rsidP="00152DF6">
      <w:pPr>
        <w:pStyle w:val="Bullet"/>
        <w:numPr>
          <w:ilvl w:val="0"/>
          <w:numId w:val="11"/>
        </w:numPr>
      </w:pPr>
      <w:r>
        <w:t xml:space="preserve">a </w:t>
      </w:r>
      <w:r w:rsidR="00F275AC">
        <w:t>discussion of the potential levels of population exposure</w:t>
      </w:r>
    </w:p>
    <w:p w14:paraId="05B5C039" w14:textId="77777777" w:rsidR="00F275AC" w:rsidRDefault="00877425" w:rsidP="00152DF6">
      <w:pPr>
        <w:pStyle w:val="Bullet"/>
        <w:numPr>
          <w:ilvl w:val="0"/>
          <w:numId w:val="11"/>
        </w:numPr>
      </w:pPr>
      <w:r>
        <w:t xml:space="preserve">the </w:t>
      </w:r>
      <w:r w:rsidR="00F275AC">
        <w:t>rationale for choosing the monitoring location including any deviations from ‘worst’ location or from standard site location requirements</w:t>
      </w:r>
    </w:p>
    <w:p w14:paraId="289BEF59" w14:textId="77777777" w:rsidR="00F275AC" w:rsidRDefault="00877425" w:rsidP="00152DF6">
      <w:pPr>
        <w:pStyle w:val="Bullet"/>
        <w:numPr>
          <w:ilvl w:val="0"/>
          <w:numId w:val="11"/>
        </w:numPr>
      </w:pPr>
      <w:r>
        <w:t xml:space="preserve">whether </w:t>
      </w:r>
      <w:r w:rsidR="00F275AC">
        <w:t>the monitor is for assessing compliance with the ambient standards or for local air quality management.</w:t>
      </w:r>
    </w:p>
    <w:p w14:paraId="0139FC5B" w14:textId="77777777" w:rsidR="009C69C3" w:rsidRDefault="009C69C3" w:rsidP="009C69C3"/>
    <w:p w14:paraId="2892EC6D" w14:textId="77777777" w:rsidR="009C69C3" w:rsidRDefault="009C69C3" w:rsidP="009C69C3">
      <w:r w:rsidRPr="00FA05FB">
        <w:t>Waikato Regional Council</w:t>
      </w:r>
      <w:r w:rsidR="00F275AC" w:rsidRPr="00FA05FB">
        <w:t xml:space="preserve"> has undertaken an assessment of all PM</w:t>
      </w:r>
      <w:r w:rsidR="00F275AC" w:rsidRPr="00164E9E">
        <w:rPr>
          <w:vertAlign w:val="subscript"/>
        </w:rPr>
        <w:t>10</w:t>
      </w:r>
      <w:r w:rsidR="00F275AC" w:rsidRPr="00FA05FB">
        <w:t xml:space="preserve"> monitoring sites within the Waikato region, </w:t>
      </w:r>
      <w:r w:rsidR="00F275AC" w:rsidRPr="00933E0F">
        <w:t>PM</w:t>
      </w:r>
      <w:r w:rsidR="00F275AC" w:rsidRPr="00933E0F">
        <w:rPr>
          <w:vertAlign w:val="subscript"/>
        </w:rPr>
        <w:t>10</w:t>
      </w:r>
      <w:r w:rsidR="00F275AC" w:rsidRPr="00933E0F">
        <w:t xml:space="preserve"> in towns monitored by Waikato Regional Council to year ending 2010 – air quality, sources and trends</w:t>
      </w:r>
      <w:r w:rsidR="00F275AC" w:rsidRPr="00FA05FB">
        <w:t xml:space="preserve"> (</w:t>
      </w:r>
      <w:r w:rsidR="00FA05FB" w:rsidRPr="00FA05FB">
        <w:t>Waikato Regional Council, 2010)</w:t>
      </w:r>
      <w:r w:rsidR="00782D75">
        <w:t xml:space="preserve">. </w:t>
      </w:r>
      <w:r w:rsidR="00F275AC" w:rsidRPr="00FA05FB">
        <w:t>This report is an example of best practice.</w:t>
      </w:r>
    </w:p>
    <w:p w14:paraId="2784E260" w14:textId="77777777" w:rsidR="00433ACA" w:rsidRDefault="00433ACA" w:rsidP="009C69C3"/>
    <w:p w14:paraId="2FED3483" w14:textId="77777777" w:rsidR="003E7D3E" w:rsidRDefault="00433ACA" w:rsidP="003E7D3E">
      <w:r w:rsidRPr="00433ACA">
        <w:t>In the event a regional council does not publish a monitoring site assessment</w:t>
      </w:r>
      <w:r w:rsidR="00933E0F">
        <w:t>,</w:t>
      </w:r>
      <w:r w:rsidRPr="00433ACA">
        <w:t xml:space="preserve"> an internal </w:t>
      </w:r>
      <w:r>
        <w:t xml:space="preserve">report </w:t>
      </w:r>
      <w:r w:rsidRPr="00433ACA">
        <w:t xml:space="preserve">should still be </w:t>
      </w:r>
      <w:r>
        <w:t xml:space="preserve">available </w:t>
      </w:r>
      <w:r w:rsidR="00557D15" w:rsidRPr="00433ACA">
        <w:t>in the event that</w:t>
      </w:r>
      <w:r w:rsidR="00C96D76" w:rsidRPr="00433ACA">
        <w:t xml:space="preserve"> the Minister for the</w:t>
      </w:r>
      <w:r w:rsidR="009F6CD8" w:rsidRPr="00433ACA">
        <w:t xml:space="preserve"> Environment</w:t>
      </w:r>
      <w:r w:rsidR="00C40D2C" w:rsidRPr="00433ACA">
        <w:t>, or other third party,</w:t>
      </w:r>
      <w:r w:rsidR="00C96D76" w:rsidRPr="00433ACA">
        <w:t xml:space="preserve"> request</w:t>
      </w:r>
      <w:r w:rsidR="00E10AF2" w:rsidRPr="00433ACA">
        <w:t>s</w:t>
      </w:r>
      <w:r w:rsidR="00C96D76" w:rsidRPr="00433ACA">
        <w:t xml:space="preserve"> </w:t>
      </w:r>
      <w:r w:rsidR="00E10AF2" w:rsidRPr="00433ACA">
        <w:t xml:space="preserve">evidence of </w:t>
      </w:r>
      <w:r w:rsidR="009F6CD8" w:rsidRPr="00433ACA">
        <w:t xml:space="preserve">compliance with </w:t>
      </w:r>
      <w:r w:rsidR="00447F2A" w:rsidRPr="00433ACA">
        <w:t xml:space="preserve">Regulation </w:t>
      </w:r>
      <w:r w:rsidR="009F6CD8" w:rsidRPr="00433ACA">
        <w:t>15</w:t>
      </w:r>
      <w:r w:rsidR="003E7D3E">
        <w:t>.</w:t>
      </w:r>
    </w:p>
    <w:p w14:paraId="3A044731" w14:textId="77777777" w:rsidR="004D199C" w:rsidRDefault="004D199C" w:rsidP="00DB0E62">
      <w:pPr>
        <w:pStyle w:val="Heading3"/>
      </w:pPr>
      <w:r>
        <w:t>3.5.4</w:t>
      </w:r>
      <w:r>
        <w:tab/>
        <w:t xml:space="preserve">Monitoring </w:t>
      </w:r>
      <w:r w:rsidR="000F61D7">
        <w:t>methods</w:t>
      </w:r>
    </w:p>
    <w:p w14:paraId="512BEA78" w14:textId="77777777" w:rsidR="004D199C" w:rsidRPr="00234369" w:rsidRDefault="004D199C" w:rsidP="00DB0E62">
      <w:pPr>
        <w:keepNext/>
      </w:pPr>
      <w:r>
        <w:t xml:space="preserve">Schedule 2 of the </w:t>
      </w:r>
      <w:r w:rsidR="00462DA0">
        <w:t xml:space="preserve">Regulations </w:t>
      </w:r>
      <w:r>
        <w:t xml:space="preserve">provides standard methods for ambient air quality monitoring as </w:t>
      </w:r>
      <w:r w:rsidR="00933E0F">
        <w:t>summarised in t</w:t>
      </w:r>
      <w:r w:rsidRPr="00234369">
        <w:t xml:space="preserve">able </w:t>
      </w:r>
      <w:r w:rsidR="00462DA0" w:rsidRPr="00933E0F">
        <w:t>5</w:t>
      </w:r>
      <w:r>
        <w:t xml:space="preserve"> (PM</w:t>
      </w:r>
      <w:r w:rsidRPr="004D199C">
        <w:rPr>
          <w:vertAlign w:val="subscript"/>
        </w:rPr>
        <w:t>10</w:t>
      </w:r>
      <w:r>
        <w:t xml:space="preserve"> is discussed in </w:t>
      </w:r>
      <w:r w:rsidR="00447F2A">
        <w:t>Chapter</w:t>
      </w:r>
      <w:r>
        <w:t xml:space="preserve"> </w:t>
      </w:r>
      <w:r w:rsidR="00447F2A">
        <w:t>4</w:t>
      </w:r>
      <w:r w:rsidR="00782D75">
        <w:t>.).</w:t>
      </w:r>
      <w:r>
        <w:t xml:space="preserve"> </w:t>
      </w:r>
      <w:r w:rsidRPr="00234369">
        <w:t xml:space="preserve">These methods must be used for determining compliance with the </w:t>
      </w:r>
      <w:r>
        <w:t xml:space="preserve">ambient </w:t>
      </w:r>
      <w:r w:rsidRPr="00234369">
        <w:t>standards.</w:t>
      </w:r>
    </w:p>
    <w:p w14:paraId="1CCEE0A7" w14:textId="77777777" w:rsidR="004D199C" w:rsidRDefault="004D199C" w:rsidP="00F322CA"/>
    <w:p w14:paraId="478D1F17" w14:textId="77777777" w:rsidR="004D199C" w:rsidRPr="00462DA0" w:rsidRDefault="004D199C" w:rsidP="00462DA0">
      <w:pPr>
        <w:pStyle w:val="TableHeading0"/>
      </w:pPr>
      <w:bookmarkStart w:id="43" w:name="_Toc222291437"/>
      <w:bookmarkStart w:id="44" w:name="_Toc222291586"/>
      <w:bookmarkStart w:id="45" w:name="_Toc222291845"/>
      <w:bookmarkStart w:id="46" w:name="_Toc222291998"/>
      <w:bookmarkStart w:id="47" w:name="_Toc222292279"/>
      <w:bookmarkStart w:id="48" w:name="_Toc222301582"/>
      <w:r w:rsidRPr="00462DA0">
        <w:t xml:space="preserve">Table </w:t>
      </w:r>
      <w:r w:rsidR="00462DA0" w:rsidRPr="00933E0F">
        <w:t>5</w:t>
      </w:r>
      <w:r w:rsidRPr="00462DA0">
        <w:t>:</w:t>
      </w:r>
      <w:r w:rsidRPr="00462DA0">
        <w:tab/>
        <w:t>Monitoring methods for ambient standards</w:t>
      </w:r>
      <w:bookmarkEnd w:id="43"/>
      <w:bookmarkEnd w:id="44"/>
      <w:bookmarkEnd w:id="45"/>
      <w:bookmarkEnd w:id="46"/>
      <w:bookmarkEnd w:id="47"/>
      <w:bookmarkEnd w:id="48"/>
      <w:r w:rsidR="005E3A86" w:rsidRPr="00462DA0">
        <w:t xml:space="preserve"> (excluding PM</w:t>
      </w:r>
      <w:r w:rsidR="005E3A86" w:rsidRPr="00462DA0">
        <w:rPr>
          <w:vertAlign w:val="subscript"/>
        </w:rPr>
        <w:t>10</w:t>
      </w:r>
      <w:r w:rsidR="005E3A86" w:rsidRPr="00462DA0">
        <w:t>)</w:t>
      </w:r>
    </w:p>
    <w:tbl>
      <w:tblPr>
        <w:tblW w:w="8505" w:type="dxa"/>
        <w:tblInd w:w="108" w:type="dxa"/>
        <w:tblBorders>
          <w:top w:val="single" w:sz="8" w:space="0" w:color="auto"/>
          <w:bottom w:val="single" w:sz="8" w:space="0" w:color="auto"/>
        </w:tblBorders>
        <w:tblLayout w:type="fixed"/>
        <w:tblLook w:val="01E0" w:firstRow="1" w:lastRow="1" w:firstColumn="1" w:lastColumn="1" w:noHBand="0" w:noVBand="0"/>
      </w:tblPr>
      <w:tblGrid>
        <w:gridCol w:w="1276"/>
        <w:gridCol w:w="7229"/>
      </w:tblGrid>
      <w:tr w:rsidR="004D199C" w:rsidRPr="00F948D5" w14:paraId="1A8753B5" w14:textId="77777777">
        <w:trPr>
          <w:cantSplit/>
        </w:trPr>
        <w:tc>
          <w:tcPr>
            <w:tcW w:w="1276" w:type="dxa"/>
            <w:tcBorders>
              <w:top w:val="single" w:sz="8" w:space="0" w:color="auto"/>
              <w:bottom w:val="single" w:sz="8" w:space="0" w:color="auto"/>
            </w:tcBorders>
          </w:tcPr>
          <w:p w14:paraId="0BEE8695" w14:textId="77777777" w:rsidR="004D199C" w:rsidRPr="00F948D5" w:rsidRDefault="004D199C" w:rsidP="00F322CA">
            <w:pPr>
              <w:pStyle w:val="TableText"/>
              <w:keepNext/>
              <w:jc w:val="center"/>
              <w:rPr>
                <w:b/>
              </w:rPr>
            </w:pPr>
            <w:r w:rsidRPr="00F948D5">
              <w:rPr>
                <w:b/>
              </w:rPr>
              <w:t>Contaminant</w:t>
            </w:r>
          </w:p>
        </w:tc>
        <w:tc>
          <w:tcPr>
            <w:tcW w:w="7229" w:type="dxa"/>
            <w:tcBorders>
              <w:top w:val="single" w:sz="8" w:space="0" w:color="auto"/>
              <w:bottom w:val="single" w:sz="8" w:space="0" w:color="auto"/>
            </w:tcBorders>
          </w:tcPr>
          <w:p w14:paraId="58ADB1B5" w14:textId="77777777" w:rsidR="004D199C" w:rsidRPr="00F948D5" w:rsidRDefault="004D199C" w:rsidP="00F322CA">
            <w:pPr>
              <w:pStyle w:val="TableText"/>
              <w:keepNext/>
              <w:rPr>
                <w:b/>
              </w:rPr>
            </w:pPr>
            <w:r w:rsidRPr="00F948D5">
              <w:rPr>
                <w:b/>
              </w:rPr>
              <w:t>Method</w:t>
            </w:r>
          </w:p>
        </w:tc>
      </w:tr>
      <w:tr w:rsidR="004D199C" w14:paraId="1A6B300E" w14:textId="77777777">
        <w:trPr>
          <w:cantSplit/>
        </w:trPr>
        <w:tc>
          <w:tcPr>
            <w:tcW w:w="1276" w:type="dxa"/>
            <w:tcBorders>
              <w:top w:val="single" w:sz="8" w:space="0" w:color="auto"/>
            </w:tcBorders>
          </w:tcPr>
          <w:p w14:paraId="54A31042" w14:textId="77777777" w:rsidR="004D199C" w:rsidRDefault="004D199C" w:rsidP="00F322CA">
            <w:pPr>
              <w:pStyle w:val="TableText"/>
              <w:keepNext/>
              <w:jc w:val="center"/>
            </w:pPr>
            <w:r>
              <w:t>CO</w:t>
            </w:r>
          </w:p>
        </w:tc>
        <w:tc>
          <w:tcPr>
            <w:tcW w:w="7229" w:type="dxa"/>
            <w:tcBorders>
              <w:top w:val="single" w:sz="8" w:space="0" w:color="auto"/>
            </w:tcBorders>
          </w:tcPr>
          <w:p w14:paraId="0EB39516" w14:textId="77777777" w:rsidR="004D199C" w:rsidRDefault="004D199C" w:rsidP="00F322CA">
            <w:pPr>
              <w:pStyle w:val="TableText"/>
              <w:keepNext/>
            </w:pPr>
            <w:r>
              <w:t>Continuous infrared absorption in accordance with AS 3580.7.1</w:t>
            </w:r>
            <w:r w:rsidR="00DD5A0A">
              <w:t>.1992</w:t>
            </w:r>
            <w:r>
              <w:t xml:space="preserve"> “Methods for sampling and analysis of ambient air – Determination of carbon monoxide – Direct reading instrumental method”.</w:t>
            </w:r>
          </w:p>
        </w:tc>
      </w:tr>
      <w:tr w:rsidR="004D199C" w14:paraId="1C8BC81F" w14:textId="77777777">
        <w:trPr>
          <w:cantSplit/>
        </w:trPr>
        <w:tc>
          <w:tcPr>
            <w:tcW w:w="1276" w:type="dxa"/>
          </w:tcPr>
          <w:p w14:paraId="1D1F525E" w14:textId="77777777" w:rsidR="004D199C" w:rsidRDefault="004D199C" w:rsidP="004D199C">
            <w:pPr>
              <w:pStyle w:val="TableText"/>
              <w:jc w:val="center"/>
            </w:pPr>
            <w:r>
              <w:t>NO</w:t>
            </w:r>
            <w:r>
              <w:rPr>
                <w:vertAlign w:val="subscript"/>
              </w:rPr>
              <w:t>2</w:t>
            </w:r>
          </w:p>
        </w:tc>
        <w:tc>
          <w:tcPr>
            <w:tcW w:w="7229" w:type="dxa"/>
          </w:tcPr>
          <w:p w14:paraId="55A7AC59" w14:textId="77777777" w:rsidR="004D199C" w:rsidRDefault="004D199C" w:rsidP="004D199C">
            <w:pPr>
              <w:pStyle w:val="TableText"/>
            </w:pPr>
            <w:r>
              <w:t>Continuous ozone chemiluminescence in accordance with AS 3580.5.1</w:t>
            </w:r>
            <w:r w:rsidR="00DD5A0A">
              <w:t>.1993</w:t>
            </w:r>
            <w:r>
              <w:t xml:space="preserve"> “Methods for sampling and analysis of ambient air – Determination of oxides of nitrogen – Chemiluminescence method”.</w:t>
            </w:r>
          </w:p>
        </w:tc>
      </w:tr>
      <w:tr w:rsidR="004D199C" w14:paraId="49DED417" w14:textId="77777777">
        <w:trPr>
          <w:cantSplit/>
        </w:trPr>
        <w:tc>
          <w:tcPr>
            <w:tcW w:w="1276" w:type="dxa"/>
          </w:tcPr>
          <w:p w14:paraId="3989156B" w14:textId="77777777" w:rsidR="004D199C" w:rsidRDefault="004D199C" w:rsidP="004D199C">
            <w:pPr>
              <w:pStyle w:val="TableText"/>
              <w:jc w:val="center"/>
            </w:pPr>
            <w:r>
              <w:t>O</w:t>
            </w:r>
            <w:r>
              <w:rPr>
                <w:vertAlign w:val="subscript"/>
              </w:rPr>
              <w:t>3</w:t>
            </w:r>
          </w:p>
        </w:tc>
        <w:tc>
          <w:tcPr>
            <w:tcW w:w="7229" w:type="dxa"/>
          </w:tcPr>
          <w:p w14:paraId="5B0780A3" w14:textId="77777777" w:rsidR="004D199C" w:rsidRDefault="004D199C" w:rsidP="004D199C">
            <w:pPr>
              <w:pStyle w:val="TableText"/>
            </w:pPr>
            <w:r>
              <w:t>Continuous ultraviolet absorption in accordance with AS 3580.6.1</w:t>
            </w:r>
            <w:r w:rsidR="00DD5A0A">
              <w:t>.1990</w:t>
            </w:r>
            <w:r>
              <w:t xml:space="preserve"> “Methods for sampling and analysis of ambient air – Determination of ozone – Direct reading instrumental method”.</w:t>
            </w:r>
          </w:p>
        </w:tc>
      </w:tr>
      <w:tr w:rsidR="004D199C" w14:paraId="49729228" w14:textId="77777777">
        <w:trPr>
          <w:cantSplit/>
        </w:trPr>
        <w:tc>
          <w:tcPr>
            <w:tcW w:w="1276" w:type="dxa"/>
          </w:tcPr>
          <w:p w14:paraId="047B5F42" w14:textId="77777777" w:rsidR="004D199C" w:rsidRDefault="004D199C" w:rsidP="004D199C">
            <w:pPr>
              <w:pStyle w:val="TableText"/>
              <w:jc w:val="center"/>
            </w:pPr>
            <w:r>
              <w:t>SO</w:t>
            </w:r>
            <w:r>
              <w:rPr>
                <w:vertAlign w:val="subscript"/>
              </w:rPr>
              <w:t>2</w:t>
            </w:r>
          </w:p>
        </w:tc>
        <w:tc>
          <w:tcPr>
            <w:tcW w:w="7229" w:type="dxa"/>
          </w:tcPr>
          <w:p w14:paraId="0C0225D8" w14:textId="77777777" w:rsidR="004D199C" w:rsidRDefault="004D199C" w:rsidP="004D199C">
            <w:pPr>
              <w:pStyle w:val="TableText"/>
            </w:pPr>
            <w:r>
              <w:t>Continuous fluorescence in accordance with AS 3580.4.1</w:t>
            </w:r>
            <w:r w:rsidR="00DD5A0A">
              <w:t>.2008</w:t>
            </w:r>
            <w:r>
              <w:t xml:space="preserve"> “Methods for sampling and analysis of ambient air – Determination of sulphur dioxide – Direct reading instrumental method”.</w:t>
            </w:r>
          </w:p>
        </w:tc>
      </w:tr>
    </w:tbl>
    <w:p w14:paraId="4B5DD555" w14:textId="77777777" w:rsidR="004D199C" w:rsidRDefault="004D199C" w:rsidP="004D199C"/>
    <w:p w14:paraId="69CDFEAF" w14:textId="77777777" w:rsidR="005955F6" w:rsidRDefault="004D199C" w:rsidP="004D199C">
      <w:pPr>
        <w:keepLines/>
      </w:pPr>
      <w:r>
        <w:t>O</w:t>
      </w:r>
      <w:r w:rsidRPr="00234369">
        <w:t xml:space="preserve">nly </w:t>
      </w:r>
      <w:r w:rsidR="00B02DF1">
        <w:t xml:space="preserve">the methods specified in </w:t>
      </w:r>
      <w:r w:rsidR="00B02DF1" w:rsidRPr="0035656B">
        <w:t>t</w:t>
      </w:r>
      <w:r w:rsidRPr="0035656B">
        <w:t xml:space="preserve">able </w:t>
      </w:r>
      <w:r w:rsidR="00462DA0" w:rsidRPr="0035656B">
        <w:t>5</w:t>
      </w:r>
      <w:r w:rsidRPr="0035656B">
        <w:t xml:space="preserve"> may</w:t>
      </w:r>
      <w:r w:rsidRPr="00234369">
        <w:t xml:space="preserve"> be used for monitoring carried out </w:t>
      </w:r>
      <w:r w:rsidRPr="00234369">
        <w:rPr>
          <w:b/>
        </w:rPr>
        <w:t xml:space="preserve">for the purposes of the </w:t>
      </w:r>
      <w:r w:rsidR="00671120" w:rsidRPr="00234369">
        <w:rPr>
          <w:b/>
        </w:rPr>
        <w:t>Regulation</w:t>
      </w:r>
      <w:r w:rsidR="00671120">
        <w:rPr>
          <w:b/>
        </w:rPr>
        <w:t>s</w:t>
      </w:r>
      <w:r>
        <w:t xml:space="preserve">.  </w:t>
      </w:r>
    </w:p>
    <w:p w14:paraId="1EB0737E" w14:textId="77777777" w:rsidR="00447F2A" w:rsidRDefault="00447F2A" w:rsidP="004D199C">
      <w:pPr>
        <w:keepLines/>
      </w:pPr>
    </w:p>
    <w:p w14:paraId="724B5C2C" w14:textId="77777777" w:rsidR="004D199C" w:rsidRDefault="00462DA0" w:rsidP="004D199C">
      <w:pPr>
        <w:keepLines/>
      </w:pPr>
      <w:r>
        <w:t>To ensure results can be compared</w:t>
      </w:r>
      <w:r w:rsidR="005955F6">
        <w:t xml:space="preserve"> however</w:t>
      </w:r>
      <w:r>
        <w:t xml:space="preserve">, monitoring for resource consent compliance should also be in accordance </w:t>
      </w:r>
      <w:r w:rsidR="00782D75">
        <w:t xml:space="preserve">with these monitoring methods. </w:t>
      </w:r>
      <w:r>
        <w:t>If investigative, research or screening monitoring utilises methods not specified in the Regulations then these results cannot be used to confirm compliance with the ambient standards in the Regulations and any results above the ambient standards cannot be counted as exceedances.</w:t>
      </w:r>
    </w:p>
    <w:p w14:paraId="501BF50D" w14:textId="77777777" w:rsidR="005E3A86" w:rsidRDefault="005E3A86" w:rsidP="004D199C">
      <w:pPr>
        <w:keepLines/>
      </w:pPr>
    </w:p>
    <w:p w14:paraId="5B94D14F" w14:textId="77777777" w:rsidR="005E3A86" w:rsidRDefault="005E3A86" w:rsidP="004D199C">
      <w:pPr>
        <w:keepLines/>
      </w:pPr>
      <w:r>
        <w:t>In most instances, meteorological monitoring will be needed alongside the ambient monitor.  This is because good meteorological information is essential in analysing and interpreting ambient monitoring data</w:t>
      </w:r>
      <w:r w:rsidR="00447F2A">
        <w:t xml:space="preserve"> and thereby</w:t>
      </w:r>
      <w:r w:rsidR="00DD5A0A">
        <w:t xml:space="preserve"> providing</w:t>
      </w:r>
      <w:r>
        <w:t xml:space="preserve"> information for effective regional air quality management.</w:t>
      </w:r>
      <w:r w:rsidR="00447F2A">
        <w:t xml:space="preserve"> Meteorological evidence will also be important to substantiate applications for exceedances to be classified as exceptional circumstance under Regulation 16A.</w:t>
      </w:r>
    </w:p>
    <w:p w14:paraId="772E9884" w14:textId="77777777" w:rsidR="005E3A86" w:rsidRDefault="005E3A86" w:rsidP="004D199C">
      <w:pPr>
        <w:keepLines/>
      </w:pPr>
    </w:p>
    <w:p w14:paraId="519DF178" w14:textId="77777777" w:rsidR="00447F2A" w:rsidRDefault="005E3A86" w:rsidP="004D199C">
      <w:pPr>
        <w:keepLines/>
      </w:pPr>
      <w:r>
        <w:t>Current best practice is for monitoring to be accredited with International Accreditation New Zealand</w:t>
      </w:r>
      <w:r w:rsidR="00DD5A0A">
        <w:t xml:space="preserve"> (IANZ)</w:t>
      </w:r>
      <w:r w:rsidR="00782D75">
        <w:t>.</w:t>
      </w:r>
    </w:p>
    <w:p w14:paraId="334569A1" w14:textId="77777777" w:rsidR="00447F2A" w:rsidRDefault="00447F2A" w:rsidP="004D199C">
      <w:pPr>
        <w:keepLines/>
      </w:pPr>
    </w:p>
    <w:p w14:paraId="08F20196" w14:textId="77777777" w:rsidR="005E3A86" w:rsidRPr="00A719D2" w:rsidRDefault="00447F2A" w:rsidP="004D199C">
      <w:pPr>
        <w:keepLines/>
      </w:pPr>
      <w:r>
        <w:t>Currently, the Australian Standard test methods for carbon monoxide, nitrogen dioxide and ozone are in the proce</w:t>
      </w:r>
      <w:r w:rsidR="00782D75">
        <w:t>ss of being updated.</w:t>
      </w:r>
      <w:r>
        <w:t xml:space="preserve"> Once these methods are changed the Regulations may be amended to reflect this.</w:t>
      </w:r>
    </w:p>
    <w:p w14:paraId="47337E88" w14:textId="77777777" w:rsidR="009449D9" w:rsidRDefault="009449D9" w:rsidP="009449D9">
      <w:pPr>
        <w:pStyle w:val="Heading5"/>
      </w:pPr>
      <w:r>
        <w:t>Amendments</w:t>
      </w:r>
    </w:p>
    <w:p w14:paraId="1D89F33C" w14:textId="77777777" w:rsidR="009449D9" w:rsidRPr="004D199C" w:rsidRDefault="009449D9" w:rsidP="004D199C">
      <w:r>
        <w:t xml:space="preserve">In </w:t>
      </w:r>
      <w:r w:rsidR="00D87D86">
        <w:t>June</w:t>
      </w:r>
      <w:r>
        <w:t xml:space="preserve"> 2011 </w:t>
      </w:r>
      <w:r w:rsidR="00BE7011">
        <w:t>the test method for sulphur dioxide was updated to refer to the 2008 version</w:t>
      </w:r>
      <w:r w:rsidR="00F322CA">
        <w:t xml:space="preserve"> of</w:t>
      </w:r>
      <w:r w:rsidR="00BE7011">
        <w:t xml:space="preserve"> Australian Standard</w:t>
      </w:r>
      <w:r w:rsidR="00447F2A">
        <w:t xml:space="preserve">.  </w:t>
      </w:r>
    </w:p>
    <w:p w14:paraId="504517BE" w14:textId="77777777" w:rsidR="00B0106A" w:rsidRDefault="00FD61F2" w:rsidP="002010BA">
      <w:pPr>
        <w:pStyle w:val="Heading2"/>
      </w:pPr>
      <w:bookmarkStart w:id="49" w:name="_Toc300856600"/>
      <w:r>
        <w:t>3.6</w:t>
      </w:r>
      <w:r w:rsidR="00B0106A">
        <w:tab/>
        <w:t>Exceedances</w:t>
      </w:r>
      <w:bookmarkEnd w:id="49"/>
    </w:p>
    <w:p w14:paraId="05ACB0CA" w14:textId="77777777" w:rsidR="00915DA5" w:rsidRDefault="00915DA5" w:rsidP="00915DA5">
      <w:r>
        <w:t xml:space="preserve">Schedule 1 of the </w:t>
      </w:r>
      <w:r w:rsidR="00671120">
        <w:t>Regulations</w:t>
      </w:r>
      <w:r>
        <w:t xml:space="preserve"> (given in table </w:t>
      </w:r>
      <w:r w:rsidR="00B02DF1" w:rsidRPr="00933E0F">
        <w:t>4</w:t>
      </w:r>
      <w:r>
        <w:t>) refers to the number of exceedances of each ambient standard that are allowed within a 12-month period. Where</w:t>
      </w:r>
      <w:r w:rsidR="005955F6">
        <w:t>:</w:t>
      </w:r>
    </w:p>
    <w:p w14:paraId="4D06E3EA" w14:textId="77777777" w:rsidR="00915DA5" w:rsidRPr="00915DA5" w:rsidRDefault="00915DA5" w:rsidP="00915DA5">
      <w:r>
        <w:t xml:space="preserve"> </w:t>
      </w:r>
    </w:p>
    <w:p w14:paraId="1C625A22" w14:textId="77777777" w:rsidR="00D35B76" w:rsidRDefault="00D35B76" w:rsidP="00933E0F">
      <w:pPr>
        <w:ind w:left="1134" w:hanging="567"/>
        <w:rPr>
          <w:i/>
          <w:sz w:val="20"/>
        </w:rPr>
      </w:pPr>
      <w:r w:rsidRPr="007E5581">
        <w:rPr>
          <w:b/>
          <w:i/>
          <w:sz w:val="20"/>
        </w:rPr>
        <w:t>exceedance</w:t>
      </w:r>
      <w:r w:rsidRPr="007E5581">
        <w:rPr>
          <w:i/>
          <w:sz w:val="20"/>
        </w:rPr>
        <w:t>, for a contaminant, means an instance where the contaminant exceeds its threshold concentration in an airshed</w:t>
      </w:r>
    </w:p>
    <w:p w14:paraId="042880D4" w14:textId="77777777" w:rsidR="00B02DF1" w:rsidRPr="007E5581" w:rsidRDefault="00B02DF1" w:rsidP="00933E0F">
      <w:pPr>
        <w:ind w:left="1134" w:hanging="567"/>
        <w:rPr>
          <w:i/>
          <w:sz w:val="20"/>
        </w:rPr>
      </w:pPr>
    </w:p>
    <w:p w14:paraId="20E2FA84" w14:textId="77777777" w:rsidR="00D35B76" w:rsidRDefault="00D35B76" w:rsidP="00933E0F">
      <w:pPr>
        <w:ind w:left="1134" w:hanging="567"/>
        <w:rPr>
          <w:i/>
          <w:sz w:val="20"/>
        </w:rPr>
      </w:pPr>
      <w:r w:rsidRPr="007E5581">
        <w:rPr>
          <w:b/>
          <w:i/>
          <w:sz w:val="20"/>
        </w:rPr>
        <w:t>permissible exceedance</w:t>
      </w:r>
      <w:r w:rsidRPr="007E5581">
        <w:rPr>
          <w:i/>
          <w:sz w:val="20"/>
        </w:rPr>
        <w:t xml:space="preserve">, for a contaminant, means </w:t>
      </w:r>
      <w:r w:rsidR="00B4503D">
        <w:rPr>
          <w:i/>
          <w:sz w:val="20"/>
        </w:rPr>
        <w:t>an exceedance of the standard that is allowed</w:t>
      </w:r>
    </w:p>
    <w:p w14:paraId="3EB167F4" w14:textId="77777777" w:rsidR="00B02DF1" w:rsidRPr="007E5581" w:rsidRDefault="00B02DF1" w:rsidP="00933E0F">
      <w:pPr>
        <w:ind w:left="1134" w:hanging="567"/>
        <w:rPr>
          <w:i/>
          <w:sz w:val="20"/>
        </w:rPr>
      </w:pPr>
    </w:p>
    <w:p w14:paraId="36EDD8DA" w14:textId="77777777" w:rsidR="00D35B76" w:rsidRDefault="00D35B76" w:rsidP="00933E0F">
      <w:pPr>
        <w:ind w:left="1134" w:hanging="567"/>
        <w:rPr>
          <w:i/>
          <w:sz w:val="20"/>
        </w:rPr>
      </w:pPr>
      <w:r w:rsidRPr="007E5581">
        <w:rPr>
          <w:b/>
          <w:i/>
          <w:sz w:val="20"/>
        </w:rPr>
        <w:t>threshold concentration</w:t>
      </w:r>
      <w:r w:rsidRPr="007E5581">
        <w:rPr>
          <w:i/>
          <w:sz w:val="20"/>
        </w:rPr>
        <w:t>, for a contaminant, means the concentration of the contaminant s</w:t>
      </w:r>
      <w:r w:rsidR="007B47EB">
        <w:rPr>
          <w:i/>
          <w:sz w:val="20"/>
        </w:rPr>
        <w:t>pecified in the second column of</w:t>
      </w:r>
      <w:r w:rsidRPr="007E5581">
        <w:rPr>
          <w:i/>
          <w:sz w:val="20"/>
        </w:rPr>
        <w:t xml:space="preserve"> the table in Schedule 1 calculated as a mean for the time period specified in the column.</w:t>
      </w:r>
    </w:p>
    <w:p w14:paraId="5DA4FB89" w14:textId="77777777" w:rsidR="00D35B76" w:rsidRDefault="00D35B76" w:rsidP="007174BB"/>
    <w:p w14:paraId="1D529688" w14:textId="77777777" w:rsidR="00A11436" w:rsidRDefault="00A11436" w:rsidP="007174BB">
      <w:r>
        <w:t>In simple terms:</w:t>
      </w:r>
    </w:p>
    <w:p w14:paraId="04659822" w14:textId="77777777" w:rsidR="00A11436" w:rsidRDefault="00A11436" w:rsidP="007174BB"/>
    <w:p w14:paraId="4889F0B8" w14:textId="77777777" w:rsidR="00B02DF1" w:rsidRDefault="00A11436" w:rsidP="00933E0F">
      <w:pPr>
        <w:shd w:val="clear" w:color="auto" w:fill="D9D9D9"/>
        <w:rPr>
          <w:b/>
          <w:i/>
        </w:rPr>
      </w:pPr>
      <w:r>
        <w:t xml:space="preserve">An </w:t>
      </w:r>
      <w:r w:rsidRPr="00A11436">
        <w:rPr>
          <w:b/>
        </w:rPr>
        <w:t>exceedance</w:t>
      </w:r>
      <w:r>
        <w:t xml:space="preserve"> is any monitoring result that is above the </w:t>
      </w:r>
      <w:r w:rsidR="005955F6">
        <w:t>limit</w:t>
      </w:r>
      <w:r>
        <w:t xml:space="preserve"> given for a contaminant in Schedule 1 of the </w:t>
      </w:r>
      <w:r w:rsidR="00B02DF1">
        <w:t>Regulation</w:t>
      </w:r>
      <w:r>
        <w:t>.</w:t>
      </w:r>
      <w:r w:rsidRPr="00A11436">
        <w:rPr>
          <w:b/>
          <w:i/>
        </w:rPr>
        <w:t xml:space="preserve"> </w:t>
      </w:r>
    </w:p>
    <w:p w14:paraId="6EE4AEAA" w14:textId="77777777" w:rsidR="00B02DF1" w:rsidRDefault="00B02DF1" w:rsidP="00933E0F">
      <w:pPr>
        <w:shd w:val="clear" w:color="auto" w:fill="D9D9D9"/>
        <w:rPr>
          <w:b/>
          <w:i/>
        </w:rPr>
      </w:pPr>
    </w:p>
    <w:p w14:paraId="560D9835" w14:textId="77777777" w:rsidR="00B02DF1" w:rsidRDefault="00B02DF1" w:rsidP="00933E0F">
      <w:pPr>
        <w:shd w:val="clear" w:color="auto" w:fill="D9D9D9"/>
        <w:rPr>
          <w:b/>
          <w:i/>
        </w:rPr>
      </w:pPr>
      <w:r>
        <w:t xml:space="preserve">A </w:t>
      </w:r>
      <w:r w:rsidRPr="0035556F">
        <w:rPr>
          <w:b/>
        </w:rPr>
        <w:t>permissible</w:t>
      </w:r>
      <w:r>
        <w:t xml:space="preserve"> </w:t>
      </w:r>
      <w:r w:rsidRPr="00A11436">
        <w:rPr>
          <w:b/>
        </w:rPr>
        <w:t>exceedance</w:t>
      </w:r>
      <w:r>
        <w:t xml:space="preserve"> is any monitoring result that is above </w:t>
      </w:r>
      <w:r w:rsidR="005955F6">
        <w:t>the limit</w:t>
      </w:r>
      <w:r>
        <w:t xml:space="preserve"> but is within the number of exceedances allowed in Schedule 1.</w:t>
      </w:r>
      <w:r w:rsidRPr="00A11436">
        <w:rPr>
          <w:b/>
          <w:i/>
        </w:rPr>
        <w:t xml:space="preserve"> </w:t>
      </w:r>
    </w:p>
    <w:p w14:paraId="62950B2F" w14:textId="77777777" w:rsidR="00053996" w:rsidRDefault="00053996" w:rsidP="00933E0F">
      <w:pPr>
        <w:shd w:val="clear" w:color="auto" w:fill="D9D9D9"/>
      </w:pPr>
    </w:p>
    <w:p w14:paraId="0ADAF36D" w14:textId="77777777" w:rsidR="00053996" w:rsidRPr="0035556F" w:rsidRDefault="00053996" w:rsidP="00933E0F">
      <w:pPr>
        <w:shd w:val="clear" w:color="auto" w:fill="D9D9D9"/>
        <w:rPr>
          <w:b/>
        </w:rPr>
      </w:pPr>
      <w:r w:rsidRPr="0035556F">
        <w:t xml:space="preserve">A </w:t>
      </w:r>
      <w:r w:rsidRPr="0035556F">
        <w:rPr>
          <w:b/>
        </w:rPr>
        <w:t>breach</w:t>
      </w:r>
      <w:r w:rsidRPr="0035556F">
        <w:t xml:space="preserve"> of the ambient standard </w:t>
      </w:r>
      <w:r>
        <w:t>is the first exceedance above the number of permissible exceedances in any 12-month period.</w:t>
      </w:r>
    </w:p>
    <w:p w14:paraId="0CB95EEA" w14:textId="77777777" w:rsidR="0035656B" w:rsidRPr="0035656B" w:rsidRDefault="0035656B" w:rsidP="0035656B"/>
    <w:p w14:paraId="3E7AE0F8" w14:textId="77777777" w:rsidR="0035656B" w:rsidRPr="00A74F05" w:rsidRDefault="0035656B" w:rsidP="005D219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6</w:t>
      </w:r>
    </w:p>
    <w:p w14:paraId="0B155926" w14:textId="77777777" w:rsidR="0035656B" w:rsidRDefault="0035656B" w:rsidP="0035656B">
      <w:pPr>
        <w:keepNext/>
        <w:pBdr>
          <w:top w:val="single" w:sz="4" w:space="1" w:color="auto"/>
          <w:left w:val="single" w:sz="4" w:space="4" w:color="auto"/>
          <w:bottom w:val="single" w:sz="4" w:space="1" w:color="auto"/>
          <w:right w:val="single" w:sz="4" w:space="4" w:color="auto"/>
        </w:pBdr>
        <w:rPr>
          <w:rStyle w:val="SubtleEmphasis"/>
          <w:color w:val="auto"/>
          <w:sz w:val="20"/>
        </w:rPr>
      </w:pPr>
      <w:r w:rsidRPr="00B02DF1">
        <w:rPr>
          <w:rStyle w:val="SubtleEmphasis"/>
          <w:color w:val="auto"/>
          <w:sz w:val="20"/>
        </w:rPr>
        <w:t>A nitrogen dioxide (NO</w:t>
      </w:r>
      <w:r w:rsidRPr="009C222B">
        <w:rPr>
          <w:rStyle w:val="SubtleEmphasis"/>
          <w:color w:val="auto"/>
          <w:sz w:val="20"/>
          <w:vertAlign w:val="subscript"/>
        </w:rPr>
        <w:t>2</w:t>
      </w:r>
      <w:r w:rsidRPr="00B02DF1">
        <w:rPr>
          <w:rStyle w:val="SubtleEmphasis"/>
          <w:color w:val="auto"/>
          <w:sz w:val="20"/>
        </w:rPr>
        <w:t xml:space="preserve">) monitor in </w:t>
      </w:r>
      <w:r w:rsidR="003C6519">
        <w:rPr>
          <w:rStyle w:val="SubtleEmphasis"/>
          <w:color w:val="auto"/>
          <w:sz w:val="20"/>
        </w:rPr>
        <w:t>Green</w:t>
      </w:r>
      <w:r w:rsidR="003C6519" w:rsidRPr="00B02DF1">
        <w:rPr>
          <w:rStyle w:val="SubtleEmphasis"/>
          <w:color w:val="auto"/>
          <w:sz w:val="20"/>
        </w:rPr>
        <w:t xml:space="preserve">town’s </w:t>
      </w:r>
      <w:r w:rsidRPr="00B02DF1">
        <w:rPr>
          <w:rStyle w:val="SubtleEmphasis"/>
          <w:color w:val="auto"/>
          <w:sz w:val="20"/>
        </w:rPr>
        <w:t>A</w:t>
      </w:r>
      <w:r>
        <w:rPr>
          <w:rStyle w:val="SubtleEmphasis"/>
          <w:color w:val="auto"/>
          <w:sz w:val="20"/>
        </w:rPr>
        <w:t xml:space="preserve">irshed commences operation. On the first day of monitoring, two </w:t>
      </w:r>
      <w:r w:rsidRPr="00B02DF1">
        <w:rPr>
          <w:rStyle w:val="SubtleEmphasis"/>
          <w:color w:val="auto"/>
          <w:sz w:val="20"/>
        </w:rPr>
        <w:t>results</w:t>
      </w:r>
      <w:r>
        <w:rPr>
          <w:rStyle w:val="SubtleEmphasis"/>
          <w:color w:val="auto"/>
          <w:sz w:val="20"/>
        </w:rPr>
        <w:t xml:space="preserve"> stand out – maximum hourly averages of </w:t>
      </w:r>
      <w:r w:rsidRPr="00B02DF1">
        <w:rPr>
          <w:rStyle w:val="SubtleEmphasis"/>
          <w:color w:val="auto"/>
          <w:sz w:val="20"/>
        </w:rPr>
        <w:t>198 and 202 µg.m</w:t>
      </w:r>
      <w:r w:rsidRPr="009C222B">
        <w:rPr>
          <w:rStyle w:val="SubtleEmphasis"/>
          <w:color w:val="auto"/>
          <w:sz w:val="20"/>
          <w:vertAlign w:val="superscript"/>
        </w:rPr>
        <w:t>-3</w:t>
      </w:r>
      <w:r w:rsidRPr="00B02DF1">
        <w:rPr>
          <w:rStyle w:val="SubtleEmphasis"/>
          <w:color w:val="auto"/>
          <w:sz w:val="20"/>
        </w:rPr>
        <w:t>. The ambient NO</w:t>
      </w:r>
      <w:r w:rsidRPr="009C222B">
        <w:rPr>
          <w:rStyle w:val="SubtleEmphasis"/>
          <w:color w:val="auto"/>
          <w:sz w:val="20"/>
          <w:vertAlign w:val="subscript"/>
        </w:rPr>
        <w:t>2</w:t>
      </w:r>
      <w:r w:rsidRPr="009C222B">
        <w:rPr>
          <w:rStyle w:val="SubtleEmphasis"/>
          <w:color w:val="auto"/>
          <w:sz w:val="20"/>
        </w:rPr>
        <w:t xml:space="preserve"> </w:t>
      </w:r>
      <w:r w:rsidRPr="00B02DF1">
        <w:rPr>
          <w:rStyle w:val="SubtleEmphasis"/>
          <w:color w:val="auto"/>
          <w:sz w:val="20"/>
        </w:rPr>
        <w:t>standard is 200 µg.m</w:t>
      </w:r>
      <w:r w:rsidRPr="009C222B">
        <w:rPr>
          <w:rStyle w:val="SubtleEmphasis"/>
          <w:color w:val="auto"/>
          <w:sz w:val="20"/>
          <w:vertAlign w:val="superscript"/>
        </w:rPr>
        <w:t>-3</w:t>
      </w:r>
      <w:r>
        <w:rPr>
          <w:rStyle w:val="SubtleEmphasis"/>
          <w:color w:val="auto"/>
          <w:sz w:val="20"/>
        </w:rPr>
        <w:t xml:space="preserve"> with only 9 exceedances</w:t>
      </w:r>
      <w:r w:rsidRPr="00A74F05">
        <w:rPr>
          <w:rStyle w:val="SubtleEmphasis"/>
          <w:color w:val="auto"/>
          <w:sz w:val="20"/>
        </w:rPr>
        <w:t xml:space="preserve"> </w:t>
      </w:r>
      <w:r>
        <w:rPr>
          <w:rStyle w:val="SubtleEmphasis"/>
          <w:color w:val="auto"/>
          <w:sz w:val="20"/>
        </w:rPr>
        <w:t>allowed in a 12-month period.</w:t>
      </w:r>
      <w:r w:rsidRPr="00B02DF1">
        <w:rPr>
          <w:rStyle w:val="SubtleEmphasis"/>
          <w:color w:val="auto"/>
          <w:sz w:val="20"/>
        </w:rPr>
        <w:t xml:space="preserve"> Therefore</w:t>
      </w:r>
      <w:r>
        <w:rPr>
          <w:rStyle w:val="SubtleEmphasis"/>
          <w:color w:val="auto"/>
          <w:sz w:val="20"/>
        </w:rPr>
        <w:t>:</w:t>
      </w:r>
    </w:p>
    <w:p w14:paraId="4D09AC1E" w14:textId="77777777" w:rsidR="0035656B" w:rsidRPr="00A74F05" w:rsidRDefault="0035656B" w:rsidP="0035656B">
      <w:pPr>
        <w:pBdr>
          <w:top w:val="single" w:sz="4" w:space="1" w:color="auto"/>
          <w:left w:val="single" w:sz="4" w:space="4" w:color="auto"/>
          <w:bottom w:val="single" w:sz="4" w:space="1" w:color="auto"/>
          <w:right w:val="single" w:sz="4" w:space="4" w:color="auto"/>
        </w:pBdr>
        <w:rPr>
          <w:rStyle w:val="SubtleEmphasis"/>
          <w:color w:val="auto"/>
          <w:sz w:val="20"/>
        </w:rPr>
      </w:pPr>
    </w:p>
    <w:p w14:paraId="071CE646" w14:textId="77777777" w:rsidR="0035656B" w:rsidRPr="00936DDA" w:rsidRDefault="0035656B" w:rsidP="0035656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o</w:t>
      </w:r>
      <w:r w:rsidRPr="00936DDA">
        <w:rPr>
          <w:i/>
          <w:sz w:val="20"/>
        </w:rPr>
        <w:t>nly the second result of 202 µg.m</w:t>
      </w:r>
      <w:r w:rsidRPr="009C222B">
        <w:rPr>
          <w:i/>
          <w:sz w:val="20"/>
          <w:vertAlign w:val="superscript"/>
        </w:rPr>
        <w:t>-</w:t>
      </w:r>
      <w:r w:rsidRPr="00936DDA">
        <w:rPr>
          <w:i/>
          <w:sz w:val="20"/>
        </w:rPr>
        <w:t>³ is an exceedance</w:t>
      </w:r>
      <w:r w:rsidR="008448E4">
        <w:rPr>
          <w:i/>
          <w:sz w:val="20"/>
        </w:rPr>
        <w:t>.</w:t>
      </w:r>
    </w:p>
    <w:p w14:paraId="7ABACA11" w14:textId="77777777" w:rsidR="0073484A" w:rsidRDefault="008448E4" w:rsidP="0073484A">
      <w:pPr>
        <w:keepNext/>
        <w:pBdr>
          <w:top w:val="single" w:sz="4" w:space="1" w:color="auto"/>
          <w:left w:val="single" w:sz="4" w:space="4" w:color="auto"/>
          <w:bottom w:val="single" w:sz="4" w:space="1" w:color="auto"/>
          <w:right w:val="single" w:sz="4" w:space="4" w:color="auto"/>
        </w:pBdr>
        <w:rPr>
          <w:rStyle w:val="SubtleEmphasis"/>
          <w:b/>
          <w:color w:val="auto"/>
          <w:sz w:val="20"/>
        </w:rPr>
      </w:pPr>
      <w:r>
        <w:rPr>
          <w:i/>
          <w:sz w:val="20"/>
        </w:rPr>
        <w:t>T</w:t>
      </w:r>
      <w:r w:rsidR="0035656B" w:rsidRPr="00936DDA">
        <w:rPr>
          <w:i/>
          <w:sz w:val="20"/>
        </w:rPr>
        <w:t>his</w:t>
      </w:r>
      <w:r w:rsidR="0035656B" w:rsidRPr="009C222B">
        <w:rPr>
          <w:i/>
          <w:sz w:val="20"/>
        </w:rPr>
        <w:t xml:space="preserve"> exceedance </w:t>
      </w:r>
      <w:r w:rsidR="0035656B">
        <w:rPr>
          <w:i/>
          <w:sz w:val="20"/>
        </w:rPr>
        <w:t xml:space="preserve">is permissible </w:t>
      </w:r>
      <w:r w:rsidR="0035656B" w:rsidRPr="009C222B">
        <w:rPr>
          <w:i/>
          <w:sz w:val="20"/>
        </w:rPr>
        <w:t>as it was the first out of 9 allowed in a 12-month period.</w:t>
      </w:r>
      <w:r w:rsidR="0073484A" w:rsidRPr="0073484A">
        <w:rPr>
          <w:rStyle w:val="SubtleEmphasis"/>
          <w:b/>
          <w:color w:val="auto"/>
          <w:sz w:val="20"/>
        </w:rPr>
        <w:t xml:space="preserve"> </w:t>
      </w:r>
    </w:p>
    <w:p w14:paraId="6AE6E8AE" w14:textId="77777777" w:rsidR="0073484A" w:rsidRDefault="0073484A" w:rsidP="0073484A">
      <w:pPr>
        <w:keepNext/>
        <w:pBdr>
          <w:top w:val="single" w:sz="4" w:space="1" w:color="auto"/>
          <w:left w:val="single" w:sz="4" w:space="4" w:color="auto"/>
          <w:bottom w:val="single" w:sz="4" w:space="1" w:color="auto"/>
          <w:right w:val="single" w:sz="4" w:space="4" w:color="auto"/>
        </w:pBdr>
        <w:rPr>
          <w:rStyle w:val="SubtleEmphasis"/>
          <w:b/>
          <w:color w:val="auto"/>
          <w:sz w:val="20"/>
        </w:rPr>
      </w:pPr>
    </w:p>
    <w:p w14:paraId="37795AD1" w14:textId="77777777" w:rsidR="0073484A" w:rsidRPr="00A74F05" w:rsidRDefault="0073484A" w:rsidP="005D219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7</w:t>
      </w:r>
    </w:p>
    <w:p w14:paraId="459DC44A" w14:textId="77777777" w:rsidR="0073484A" w:rsidRPr="00A46AC0" w:rsidRDefault="0073484A" w:rsidP="0073484A">
      <w:pPr>
        <w:keepNext/>
        <w:pBdr>
          <w:top w:val="single" w:sz="4" w:space="1" w:color="auto"/>
          <w:left w:val="single" w:sz="4" w:space="4" w:color="auto"/>
          <w:bottom w:val="single" w:sz="4" w:space="1" w:color="auto"/>
          <w:right w:val="single" w:sz="4" w:space="4" w:color="auto"/>
        </w:pBdr>
        <w:rPr>
          <w:rStyle w:val="SubtleEmphasis"/>
          <w:color w:val="auto"/>
          <w:sz w:val="20"/>
        </w:rPr>
      </w:pPr>
      <w:r w:rsidRPr="00A46AC0">
        <w:rPr>
          <w:rStyle w:val="SubtleEmphasis"/>
          <w:color w:val="auto"/>
          <w:sz w:val="20"/>
        </w:rPr>
        <w:t xml:space="preserve">A carbon monoxide (CO) monitor in </w:t>
      </w:r>
      <w:r w:rsidR="003C6519">
        <w:rPr>
          <w:rStyle w:val="SubtleEmphasis"/>
          <w:color w:val="auto"/>
          <w:sz w:val="20"/>
        </w:rPr>
        <w:t>Green</w:t>
      </w:r>
      <w:r w:rsidR="003C6519" w:rsidRPr="00A46AC0">
        <w:rPr>
          <w:rStyle w:val="SubtleEmphasis"/>
          <w:color w:val="auto"/>
          <w:sz w:val="20"/>
        </w:rPr>
        <w:t xml:space="preserve">town’s </w:t>
      </w:r>
      <w:r w:rsidRPr="00A46AC0">
        <w:rPr>
          <w:rStyle w:val="SubtleEmphasis"/>
          <w:color w:val="auto"/>
          <w:sz w:val="20"/>
        </w:rPr>
        <w:t>Airshed measures two 8-hour running mean results of 11 and 14 mg.m</w:t>
      </w:r>
      <w:r w:rsidRPr="00A46AC0">
        <w:rPr>
          <w:rStyle w:val="SubtleEmphasis"/>
          <w:color w:val="auto"/>
          <w:sz w:val="20"/>
          <w:vertAlign w:val="superscript"/>
        </w:rPr>
        <w:t>-</w:t>
      </w:r>
      <w:r w:rsidRPr="00A46AC0">
        <w:rPr>
          <w:rStyle w:val="SubtleEmphasis"/>
          <w:color w:val="auto"/>
          <w:sz w:val="20"/>
        </w:rPr>
        <w:t xml:space="preserve">³ within a 12-month period. The ambient </w:t>
      </w:r>
      <w:r>
        <w:rPr>
          <w:rStyle w:val="SubtleEmphasis"/>
          <w:color w:val="auto"/>
          <w:sz w:val="20"/>
        </w:rPr>
        <w:t xml:space="preserve">CO </w:t>
      </w:r>
      <w:r w:rsidRPr="00A46AC0">
        <w:rPr>
          <w:rStyle w:val="SubtleEmphasis"/>
          <w:color w:val="auto"/>
          <w:sz w:val="20"/>
        </w:rPr>
        <w:t>standard is 10 mg.m</w:t>
      </w:r>
      <w:r w:rsidRPr="00A46AC0">
        <w:rPr>
          <w:rStyle w:val="SubtleEmphasis"/>
          <w:color w:val="auto"/>
          <w:sz w:val="20"/>
          <w:vertAlign w:val="superscript"/>
        </w:rPr>
        <w:t>-</w:t>
      </w:r>
      <w:r w:rsidRPr="00A46AC0">
        <w:rPr>
          <w:rStyle w:val="SubtleEmphasis"/>
          <w:color w:val="auto"/>
          <w:sz w:val="20"/>
        </w:rPr>
        <w:t>³ with one exceedance allowed in a 12-month period. Therefore:</w:t>
      </w:r>
    </w:p>
    <w:p w14:paraId="508025D8" w14:textId="77777777" w:rsidR="0073484A" w:rsidRPr="00A74F05" w:rsidRDefault="0073484A" w:rsidP="0073484A">
      <w:pPr>
        <w:pBdr>
          <w:top w:val="single" w:sz="4" w:space="1" w:color="auto"/>
          <w:left w:val="single" w:sz="4" w:space="4" w:color="auto"/>
          <w:bottom w:val="single" w:sz="4" w:space="1" w:color="auto"/>
          <w:right w:val="single" w:sz="4" w:space="4" w:color="auto"/>
        </w:pBdr>
        <w:rPr>
          <w:rStyle w:val="SubtleEmphasis"/>
          <w:color w:val="auto"/>
          <w:sz w:val="20"/>
        </w:rPr>
      </w:pPr>
    </w:p>
    <w:p w14:paraId="5F38BCF0" w14:textId="77777777" w:rsidR="0073484A" w:rsidRPr="005955F6" w:rsidRDefault="0073484A" w:rsidP="0073484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b</w:t>
      </w:r>
      <w:r w:rsidRPr="005955F6">
        <w:rPr>
          <w:i/>
          <w:sz w:val="20"/>
        </w:rPr>
        <w:t>oth results are exceedances of the standard</w:t>
      </w:r>
    </w:p>
    <w:p w14:paraId="1EB52B7D" w14:textId="77777777" w:rsidR="0073484A" w:rsidRPr="005955F6" w:rsidRDefault="0073484A" w:rsidP="0073484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5955F6">
        <w:rPr>
          <w:i/>
          <w:sz w:val="20"/>
        </w:rPr>
        <w:t>he first result is a permissible exceedance</w:t>
      </w:r>
    </w:p>
    <w:p w14:paraId="27522E42" w14:textId="77777777" w:rsidR="0073484A" w:rsidRPr="00A46AC0" w:rsidRDefault="0073484A" w:rsidP="0073484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w:t>
      </w:r>
      <w:r w:rsidRPr="005955F6">
        <w:rPr>
          <w:i/>
          <w:sz w:val="20"/>
        </w:rPr>
        <w:t xml:space="preserve">he second </w:t>
      </w:r>
      <w:r>
        <w:rPr>
          <w:i/>
          <w:sz w:val="20"/>
        </w:rPr>
        <w:t xml:space="preserve">exceedance </w:t>
      </w:r>
      <w:r w:rsidRPr="005955F6">
        <w:rPr>
          <w:i/>
          <w:sz w:val="20"/>
        </w:rPr>
        <w:t>is a breach and should be notified in accordance with Regulation 16.</w:t>
      </w:r>
    </w:p>
    <w:p w14:paraId="16C55745" w14:textId="77777777" w:rsidR="0035656B" w:rsidRDefault="0035656B" w:rsidP="00933E0F"/>
    <w:p w14:paraId="2BB1BBDF" w14:textId="77777777" w:rsidR="00AF7FF2" w:rsidRDefault="00915DA5" w:rsidP="00933E0F">
      <w:r>
        <w:t xml:space="preserve">A </w:t>
      </w:r>
      <w:r w:rsidRPr="00915DA5">
        <w:rPr>
          <w:b/>
        </w:rPr>
        <w:t>12-month period</w:t>
      </w:r>
      <w:r>
        <w:t xml:space="preserve"> is a rolli</w:t>
      </w:r>
      <w:r w:rsidR="00782D75">
        <w:t>ng consecutive 12 month period.</w:t>
      </w:r>
      <w:r>
        <w:t xml:space="preserve"> It does</w:t>
      </w:r>
      <w:r w:rsidR="002C62E6">
        <w:t xml:space="preserve"> not relate to a calendar year.</w:t>
      </w:r>
      <w:r>
        <w:t xml:space="preserve"> </w:t>
      </w:r>
      <w:r w:rsidR="00EE5C78">
        <w:t xml:space="preserve">In practice, most councils report </w:t>
      </w:r>
      <w:r w:rsidR="00125316">
        <w:t>monitoring data on a calendar year</w:t>
      </w:r>
      <w:r w:rsidR="00AF7FF2">
        <w:t xml:space="preserve"> as it is easier to understand and easily captures an entire winter season (the period</w:t>
      </w:r>
      <w:r w:rsidR="005955F6">
        <w:t xml:space="preserve"> in which exceedances are</w:t>
      </w:r>
      <w:r w:rsidR="00AF7FF2">
        <w:t xml:space="preserve"> most likely to occur).</w:t>
      </w:r>
      <w:r w:rsidR="00AF7FF2" w:rsidRPr="00AF7FF2">
        <w:t xml:space="preserve"> </w:t>
      </w:r>
    </w:p>
    <w:p w14:paraId="5C8130A1" w14:textId="77777777" w:rsidR="00AF7FF2" w:rsidRDefault="00AF7FF2" w:rsidP="00933E0F"/>
    <w:p w14:paraId="6333696D" w14:textId="77777777" w:rsidR="00201609" w:rsidRDefault="005955F6" w:rsidP="00933E0F">
      <w:pPr>
        <w:shd w:val="clear" w:color="auto" w:fill="D9D9D9"/>
      </w:pPr>
      <w:r>
        <w:t>It is important to note that, whilst</w:t>
      </w:r>
      <w:r w:rsidR="008B5487">
        <w:t xml:space="preserve"> </w:t>
      </w:r>
      <w:r>
        <w:t>several Regulations have</w:t>
      </w:r>
      <w:r w:rsidR="008B5487">
        <w:t xml:space="preserve"> the dates of </w:t>
      </w:r>
      <w:r>
        <w:t xml:space="preserve">entry into force of </w:t>
      </w:r>
      <w:r w:rsidR="00782D75">
        <w:br/>
      </w:r>
      <w:r w:rsidR="008B5487">
        <w:t>1 September</w:t>
      </w:r>
      <w:r>
        <w:t>, this is not a required monitoring period for the purposes of the remainder of the Regulations. The Regulations have not changed since they were introduced in 2004 in</w:t>
      </w:r>
      <w:r w:rsidR="00386E29">
        <w:t xml:space="preserve"> requiring continuous monitoring on</w:t>
      </w:r>
      <w:r w:rsidR="00201609">
        <w:t xml:space="preserve"> a rolling consecutive 12-month period</w:t>
      </w:r>
      <w:r w:rsidR="00386E29">
        <w:t>.</w:t>
      </w:r>
      <w:r w:rsidR="00201609">
        <w:t xml:space="preserve"> </w:t>
      </w:r>
    </w:p>
    <w:p w14:paraId="46606BBD" w14:textId="77777777" w:rsidR="006D6D35" w:rsidRDefault="006D6D35" w:rsidP="006D6D35">
      <w:pPr>
        <w:pStyle w:val="Heading2"/>
      </w:pPr>
      <w:bookmarkStart w:id="50" w:name="_Toc300856601"/>
      <w:r>
        <w:t>3.7</w:t>
      </w:r>
      <w:r>
        <w:tab/>
        <w:t>Reporting</w:t>
      </w:r>
      <w:r w:rsidR="00F2413B">
        <w:t xml:space="preserve"> </w:t>
      </w:r>
      <w:bookmarkEnd w:id="50"/>
      <w:r w:rsidR="000F61D7">
        <w:t>breaches</w:t>
      </w:r>
    </w:p>
    <w:p w14:paraId="7C121623" w14:textId="77777777" w:rsidR="006D6D35" w:rsidRDefault="006D6D35" w:rsidP="006D6D35">
      <w:r>
        <w:t>Regulation</w:t>
      </w:r>
      <w:r w:rsidRPr="00234369">
        <w:t xml:space="preserve"> 16 requires the following:</w:t>
      </w:r>
    </w:p>
    <w:p w14:paraId="5CE82CCE" w14:textId="77777777" w:rsidR="003F1373" w:rsidRPr="00234369" w:rsidRDefault="003F1373" w:rsidP="006D6D35"/>
    <w:p w14:paraId="520BD0D9" w14:textId="77777777" w:rsidR="006D6D35" w:rsidRPr="00624921" w:rsidRDefault="006D6D35" w:rsidP="003E75E5">
      <w:pPr>
        <w:pStyle w:val="Blockquote"/>
        <w:spacing w:before="0"/>
        <w:ind w:left="1134" w:hanging="567"/>
        <w:rPr>
          <w:b/>
        </w:rPr>
      </w:pPr>
      <w:r>
        <w:rPr>
          <w:b/>
        </w:rPr>
        <w:t>16</w:t>
      </w:r>
      <w:r w:rsidRPr="000D0892">
        <w:rPr>
          <w:b/>
        </w:rPr>
        <w:tab/>
      </w:r>
      <w:r>
        <w:rPr>
          <w:b/>
        </w:rPr>
        <w:t>Regional council must give public notice if standard breached</w:t>
      </w:r>
    </w:p>
    <w:p w14:paraId="2A57F1E5" w14:textId="77777777" w:rsidR="006D6D35" w:rsidRPr="00234369" w:rsidRDefault="006D6D35" w:rsidP="003E75E5">
      <w:pPr>
        <w:pStyle w:val="Blockquote"/>
        <w:spacing w:before="0"/>
        <w:ind w:left="1134" w:hanging="567"/>
      </w:pPr>
      <w:r>
        <w:t>1.</w:t>
      </w:r>
      <w:r>
        <w:tab/>
      </w:r>
      <w:r w:rsidRPr="00234369">
        <w:t>A regional council must give public notice if the ambient air quality standard for a contaminant is breached in an airshed in its region.</w:t>
      </w:r>
    </w:p>
    <w:p w14:paraId="0AE7A899" w14:textId="77777777" w:rsidR="006D6D35" w:rsidRDefault="006D6D35" w:rsidP="003E75E5">
      <w:pPr>
        <w:pStyle w:val="Blockquote"/>
        <w:spacing w:before="0"/>
        <w:ind w:left="1134" w:hanging="567"/>
      </w:pPr>
      <w:r>
        <w:t>2.</w:t>
      </w:r>
      <w:r>
        <w:tab/>
      </w:r>
      <w:r w:rsidRPr="00234369">
        <w:t>The notice must</w:t>
      </w:r>
      <w:r>
        <w:t> –</w:t>
      </w:r>
    </w:p>
    <w:p w14:paraId="743BB737" w14:textId="77777777" w:rsidR="006D6D35" w:rsidRPr="00234369" w:rsidRDefault="006D6D35" w:rsidP="003E75E5">
      <w:pPr>
        <w:pStyle w:val="Blockquote"/>
        <w:spacing w:before="0"/>
        <w:ind w:left="1701" w:hanging="567"/>
      </w:pPr>
      <w:r>
        <w:t>(a)</w:t>
      </w:r>
      <w:r>
        <w:tab/>
      </w:r>
      <w:r w:rsidRPr="00234369">
        <w:t>be given periodically, at least once a month, until the standard is no longer being breached; and</w:t>
      </w:r>
    </w:p>
    <w:p w14:paraId="31F0BDAE" w14:textId="77777777" w:rsidR="006D6D35" w:rsidRPr="00234369" w:rsidRDefault="006D6D35" w:rsidP="003E75E5">
      <w:pPr>
        <w:pStyle w:val="Blockquote"/>
        <w:spacing w:before="0"/>
        <w:ind w:left="1701" w:hanging="567"/>
      </w:pPr>
      <w:r>
        <w:t>(b)</w:t>
      </w:r>
      <w:r>
        <w:tab/>
      </w:r>
      <w:r w:rsidRPr="00234369">
        <w:t>be given in accordance with the Act; and</w:t>
      </w:r>
    </w:p>
    <w:p w14:paraId="7BA98A0F" w14:textId="77777777" w:rsidR="006D6D35" w:rsidRDefault="006D6D35" w:rsidP="003E75E5">
      <w:pPr>
        <w:pStyle w:val="Blockquote"/>
        <w:spacing w:before="0"/>
        <w:ind w:left="1701" w:hanging="567"/>
      </w:pPr>
      <w:r>
        <w:t>(c)</w:t>
      </w:r>
      <w:r>
        <w:tab/>
      </w:r>
      <w:r w:rsidRPr="00234369">
        <w:t>include</w:t>
      </w:r>
      <w:r>
        <w:t> –</w:t>
      </w:r>
    </w:p>
    <w:p w14:paraId="32225716" w14:textId="77777777" w:rsidR="006D6D35" w:rsidRPr="00234369" w:rsidRDefault="006D6D35" w:rsidP="003E75E5">
      <w:pPr>
        <w:pStyle w:val="Blockquote"/>
        <w:spacing w:before="0"/>
        <w:ind w:left="2268" w:hanging="567"/>
      </w:pPr>
      <w:r>
        <w:t>(i)</w:t>
      </w:r>
      <w:r>
        <w:tab/>
      </w:r>
      <w:r w:rsidRPr="00234369">
        <w:t>the name of the contaminant to which the notice relates; and</w:t>
      </w:r>
    </w:p>
    <w:p w14:paraId="6A73C7B9" w14:textId="77777777" w:rsidR="006D6D35" w:rsidRPr="00234369" w:rsidRDefault="006D6D35" w:rsidP="003E75E5">
      <w:pPr>
        <w:pStyle w:val="Blockquote"/>
        <w:spacing w:before="0"/>
        <w:ind w:left="2268" w:hanging="567"/>
      </w:pPr>
      <w:r>
        <w:t>(ii)</w:t>
      </w:r>
      <w:r>
        <w:tab/>
      </w:r>
      <w:r w:rsidRPr="00234369">
        <w:t>the time and place at which the standard was breached; and</w:t>
      </w:r>
    </w:p>
    <w:p w14:paraId="76C1F126" w14:textId="77777777" w:rsidR="006D6D35" w:rsidRPr="00234369" w:rsidRDefault="006D6D35" w:rsidP="003E75E5">
      <w:pPr>
        <w:pStyle w:val="Blockquote"/>
        <w:spacing w:before="0"/>
        <w:ind w:left="2268" w:hanging="567"/>
      </w:pPr>
      <w:r>
        <w:t>(iii)</w:t>
      </w:r>
      <w:r w:rsidR="00A96B59">
        <w:tab/>
      </w:r>
      <w:r w:rsidRPr="00234369">
        <w:t>the extent to which the standard was breached.</w:t>
      </w:r>
    </w:p>
    <w:p w14:paraId="094D430F" w14:textId="77777777" w:rsidR="006D6D35" w:rsidRDefault="006D6D35" w:rsidP="003E75E5"/>
    <w:p w14:paraId="74123A7D" w14:textId="77777777" w:rsidR="001B2F90" w:rsidRDefault="006D6D35" w:rsidP="006D6D35">
      <w:r>
        <w:t xml:space="preserve">This </w:t>
      </w:r>
      <w:r w:rsidR="00C500EF">
        <w:t>Regulation</w:t>
      </w:r>
      <w:r>
        <w:t xml:space="preserve"> requires c</w:t>
      </w:r>
      <w:r w:rsidRPr="00234369">
        <w:t xml:space="preserve">ouncils to give public notice if an ambient standard is </w:t>
      </w:r>
      <w:r w:rsidR="003E75E5">
        <w:t xml:space="preserve">breached </w:t>
      </w:r>
      <w:r w:rsidRPr="00234369">
        <w:t>in an air</w:t>
      </w:r>
      <w:r>
        <w:t>shed</w:t>
      </w:r>
      <w:r w:rsidRPr="00234369">
        <w:t xml:space="preserve"> within its region</w:t>
      </w:r>
      <w:r w:rsidR="00782D75">
        <w:t>.</w:t>
      </w:r>
      <w:r>
        <w:t xml:space="preserve"> </w:t>
      </w:r>
      <w:r w:rsidRPr="00234369">
        <w:t>Notice must be given in accordance with the definition of public notice within the RMA</w:t>
      </w:r>
      <w:r w:rsidR="001B2F90">
        <w:t>:</w:t>
      </w:r>
    </w:p>
    <w:p w14:paraId="7A5AB568" w14:textId="77777777" w:rsidR="001B2F90" w:rsidRDefault="001B2F90" w:rsidP="006D6D35"/>
    <w:p w14:paraId="04EE5B7C" w14:textId="77777777" w:rsidR="001B2F90" w:rsidRPr="001B2F90" w:rsidRDefault="001B2F90" w:rsidP="001B2F90">
      <w:pPr>
        <w:ind w:left="1134" w:hanging="567"/>
        <w:rPr>
          <w:i/>
          <w:sz w:val="20"/>
        </w:rPr>
      </w:pPr>
      <w:r w:rsidRPr="001B2F90">
        <w:rPr>
          <w:b/>
          <w:i/>
          <w:sz w:val="20"/>
        </w:rPr>
        <w:t>public notice</w:t>
      </w:r>
      <w:r w:rsidRPr="001B2F90">
        <w:rPr>
          <w:i/>
          <w:sz w:val="20"/>
        </w:rPr>
        <w:t xml:space="preserve"> – </w:t>
      </w:r>
    </w:p>
    <w:p w14:paraId="47384B89" w14:textId="77777777" w:rsidR="001B2F90" w:rsidRPr="001B2F90" w:rsidRDefault="001B2F90" w:rsidP="001B2F90">
      <w:pPr>
        <w:ind w:left="1134" w:hanging="567"/>
        <w:rPr>
          <w:i/>
          <w:sz w:val="20"/>
        </w:rPr>
      </w:pPr>
      <w:r w:rsidRPr="001B2F90">
        <w:rPr>
          <w:i/>
          <w:sz w:val="20"/>
        </w:rPr>
        <w:t>(a)</w:t>
      </w:r>
      <w:r w:rsidRPr="001B2F90">
        <w:rPr>
          <w:i/>
          <w:sz w:val="20"/>
        </w:rPr>
        <w:tab/>
        <w:t>means a notice published in a newspaper circulating in the entire area likely to be affected by the proposal to which the notice relates; and</w:t>
      </w:r>
    </w:p>
    <w:p w14:paraId="55B6960B" w14:textId="77777777" w:rsidR="001B2F90" w:rsidRPr="001B2F90" w:rsidRDefault="001B2F90" w:rsidP="001B2F90">
      <w:pPr>
        <w:ind w:left="1134" w:hanging="567"/>
        <w:rPr>
          <w:i/>
          <w:sz w:val="20"/>
        </w:rPr>
      </w:pPr>
      <w:r w:rsidRPr="001B2F90">
        <w:rPr>
          <w:i/>
          <w:sz w:val="20"/>
        </w:rPr>
        <w:t>(b)</w:t>
      </w:r>
      <w:r w:rsidRPr="001B2F90">
        <w:rPr>
          <w:i/>
          <w:sz w:val="20"/>
        </w:rPr>
        <w:tab/>
        <w:t>if a local authority also publishes a notice on an Internet site to which the public have free access, includes that notice</w:t>
      </w:r>
    </w:p>
    <w:p w14:paraId="58A70494" w14:textId="77777777" w:rsidR="001B2F90" w:rsidRDefault="001B2F90" w:rsidP="006D6D35"/>
    <w:p w14:paraId="1A6780C7" w14:textId="77777777" w:rsidR="006D6D35" w:rsidRDefault="006D6D35" w:rsidP="006D6D35">
      <w:r w:rsidRPr="00234369">
        <w:t xml:space="preserve">This requires a notice published in </w:t>
      </w:r>
      <w:r>
        <w:t>a</w:t>
      </w:r>
      <w:r w:rsidRPr="00234369">
        <w:t xml:space="preserve"> daily newspaper circulating in the region</w:t>
      </w:r>
      <w:r w:rsidR="001B2F90">
        <w:t xml:space="preserve"> and can include internet notices as well</w:t>
      </w:r>
      <w:r w:rsidRPr="00234369">
        <w:t>.</w:t>
      </w:r>
      <w:r w:rsidR="003E75E5">
        <w:t xml:space="preserve"> </w:t>
      </w:r>
      <w:r w:rsidR="00204F5F">
        <w:t>An e</w:t>
      </w:r>
      <w:r w:rsidR="00D36782">
        <w:t xml:space="preserve">xample of </w:t>
      </w:r>
      <w:r w:rsidR="00204F5F">
        <w:t xml:space="preserve">a </w:t>
      </w:r>
      <w:r w:rsidR="00D36782">
        <w:t>notice</w:t>
      </w:r>
      <w:r w:rsidR="00204F5F">
        <w:t xml:space="preserve"> is given</w:t>
      </w:r>
      <w:r w:rsidR="00D36782">
        <w:t xml:space="preserve"> in Appendix</w:t>
      </w:r>
      <w:r w:rsidR="00C346FE">
        <w:t xml:space="preserve"> </w:t>
      </w:r>
      <w:r w:rsidR="00933E0F">
        <w:t>3</w:t>
      </w:r>
      <w:r w:rsidR="00C346FE">
        <w:t>.</w:t>
      </w:r>
    </w:p>
    <w:p w14:paraId="0FC4120F" w14:textId="77777777" w:rsidR="00A96B59" w:rsidRDefault="00A96B59" w:rsidP="006D6D35"/>
    <w:p w14:paraId="6FF59307" w14:textId="77777777" w:rsidR="00A96B59" w:rsidRPr="00234369" w:rsidRDefault="00A96B59" w:rsidP="006D6D35">
      <w:r>
        <w:t xml:space="preserve">The minimum requirement is to </w:t>
      </w:r>
      <w:r w:rsidR="00386E29">
        <w:t>give notice (</w:t>
      </w:r>
      <w:r>
        <w:t>notify the breach</w:t>
      </w:r>
      <w:r w:rsidR="00386E29">
        <w:t>)</w:t>
      </w:r>
      <w:r>
        <w:t xml:space="preserve"> within one month of the </w:t>
      </w:r>
      <w:r w:rsidR="00D36782">
        <w:t>date of the breach occurring.</w:t>
      </w:r>
      <w:r w:rsidR="00D36782" w:rsidRPr="00D36782">
        <w:t xml:space="preserve"> </w:t>
      </w:r>
      <w:r w:rsidR="00D36782">
        <w:t>The c</w:t>
      </w:r>
      <w:r w:rsidR="00D36782" w:rsidRPr="00234369">
        <w:t xml:space="preserve">ouncil would </w:t>
      </w:r>
      <w:r w:rsidR="00D36782" w:rsidRPr="00234369">
        <w:rPr>
          <w:b/>
        </w:rPr>
        <w:t>not</w:t>
      </w:r>
      <w:r w:rsidR="00D36782" w:rsidRPr="00234369">
        <w:t xml:space="preserve"> have to give notice each month from then on </w:t>
      </w:r>
      <w:r w:rsidR="00386E29">
        <w:t>for the same breach</w:t>
      </w:r>
      <w:r w:rsidR="00782D75">
        <w:t>.</w:t>
      </w:r>
      <w:r w:rsidR="00D36782">
        <w:t xml:space="preserve"> </w:t>
      </w:r>
      <w:r w:rsidR="00D36782" w:rsidRPr="00234369">
        <w:t xml:space="preserve">The </w:t>
      </w:r>
      <w:r w:rsidR="00D36782">
        <w:t>c</w:t>
      </w:r>
      <w:r w:rsidR="00D36782" w:rsidRPr="00234369">
        <w:t>ouncil does</w:t>
      </w:r>
      <w:r w:rsidR="00D36782">
        <w:t>,</w:t>
      </w:r>
      <w:r w:rsidR="00D36782" w:rsidRPr="00234369">
        <w:t xml:space="preserve"> however, have to similarly report any </w:t>
      </w:r>
      <w:r w:rsidR="00D36782" w:rsidRPr="00386E29">
        <w:rPr>
          <w:b/>
        </w:rPr>
        <w:t>further</w:t>
      </w:r>
      <w:r w:rsidR="00D36782" w:rsidRPr="00234369">
        <w:t xml:space="preserve"> </w:t>
      </w:r>
      <w:r w:rsidR="00386E29">
        <w:t>breaches</w:t>
      </w:r>
      <w:r w:rsidR="00D36782" w:rsidRPr="00234369">
        <w:t xml:space="preserve"> of the </w:t>
      </w:r>
      <w:r w:rsidR="00D36782">
        <w:t>ambient standard</w:t>
      </w:r>
      <w:r w:rsidR="00D36782" w:rsidRPr="00234369">
        <w:t xml:space="preserve"> that may occur after this time</w:t>
      </w:r>
      <w:r w:rsidR="00D36782">
        <w:t xml:space="preserve"> (on a rolling 12-month period)</w:t>
      </w:r>
      <w:r w:rsidR="00D36782" w:rsidRPr="00234369">
        <w:t>.</w:t>
      </w:r>
    </w:p>
    <w:p w14:paraId="3B165B9E" w14:textId="77777777" w:rsidR="006D6D35" w:rsidRDefault="006D6D35" w:rsidP="006D6D35"/>
    <w:p w14:paraId="63C5A1C6" w14:textId="77777777" w:rsidR="006D6D35" w:rsidRPr="00234369" w:rsidRDefault="00386E29" w:rsidP="006D6D35">
      <w:pPr>
        <w:keepNext/>
      </w:pPr>
      <w:r>
        <w:t>As noted above, a breach requires</w:t>
      </w:r>
      <w:r w:rsidR="006D6D35" w:rsidRPr="00234369">
        <w:t xml:space="preserve"> each of the following, as defined in Schedule </w:t>
      </w:r>
      <w:r w:rsidR="00FA2232">
        <w:t xml:space="preserve">1 </w:t>
      </w:r>
      <w:r w:rsidR="006D6D35" w:rsidRPr="00234369">
        <w:t xml:space="preserve">of the </w:t>
      </w:r>
      <w:r w:rsidR="00671120" w:rsidRPr="00234369">
        <w:t>Regulations</w:t>
      </w:r>
      <w:r w:rsidR="006D6D35" w:rsidRPr="00234369">
        <w:t xml:space="preserve">, </w:t>
      </w:r>
      <w:r>
        <w:t>to</w:t>
      </w:r>
      <w:r w:rsidR="006D6D35" w:rsidRPr="00234369">
        <w:t xml:space="preserve"> be exceeded:</w:t>
      </w:r>
    </w:p>
    <w:p w14:paraId="2FDC1FEB" w14:textId="77777777" w:rsidR="006D6D35" w:rsidRPr="00234369" w:rsidRDefault="006D6D35" w:rsidP="00152DF6">
      <w:pPr>
        <w:pStyle w:val="Bullet"/>
        <w:numPr>
          <w:ilvl w:val="0"/>
          <w:numId w:val="11"/>
        </w:numPr>
      </w:pPr>
      <w:r w:rsidRPr="00234369">
        <w:t xml:space="preserve">the </w:t>
      </w:r>
      <w:r>
        <w:t xml:space="preserve">threshold </w:t>
      </w:r>
      <w:r w:rsidRPr="00234369">
        <w:t>concentration</w:t>
      </w:r>
      <w:r w:rsidR="00386E29">
        <w:t xml:space="preserve"> (limit)</w:t>
      </w:r>
      <w:r w:rsidRPr="00234369">
        <w:t xml:space="preserve"> </w:t>
      </w:r>
      <w:r>
        <w:t>of the contaminant (over the relevant time average)</w:t>
      </w:r>
      <w:r w:rsidR="00386E29">
        <w:t xml:space="preserve"> </w:t>
      </w:r>
      <w:r w:rsidR="00386E29" w:rsidRPr="00386E29">
        <w:rPr>
          <w:b/>
        </w:rPr>
        <w:t>and</w:t>
      </w:r>
    </w:p>
    <w:p w14:paraId="2AC13EEF" w14:textId="77777777" w:rsidR="006D6D35" w:rsidRPr="00234369" w:rsidRDefault="006D6D35" w:rsidP="00152DF6">
      <w:pPr>
        <w:pStyle w:val="Bullet"/>
        <w:numPr>
          <w:ilvl w:val="0"/>
          <w:numId w:val="11"/>
        </w:numPr>
      </w:pPr>
      <w:r w:rsidRPr="00234369">
        <w:t>the permissible number of exceedances each year.</w:t>
      </w:r>
    </w:p>
    <w:p w14:paraId="52981204" w14:textId="77777777" w:rsidR="006D6D35" w:rsidRDefault="006D6D35" w:rsidP="006D6D35"/>
    <w:p w14:paraId="2EF81053" w14:textId="77777777" w:rsidR="006D6D35" w:rsidRPr="00234369" w:rsidRDefault="006D6D35" w:rsidP="006D6D35">
      <w:r w:rsidRPr="00234369">
        <w:t xml:space="preserve">For example, one exceedance of the </w:t>
      </w:r>
      <w:r>
        <w:t xml:space="preserve">daily </w:t>
      </w:r>
      <w:r w:rsidRPr="00234369">
        <w:t>PM</w:t>
      </w:r>
      <w:r w:rsidRPr="00234369">
        <w:rPr>
          <w:vertAlign w:val="subscript"/>
        </w:rPr>
        <w:t>10</w:t>
      </w:r>
      <w:r w:rsidRPr="00234369">
        <w:t xml:space="preserve"> </w:t>
      </w:r>
      <w:r>
        <w:t>threshold concentration</w:t>
      </w:r>
      <w:r w:rsidRPr="00234369">
        <w:t xml:space="preserve"> is permitted</w:t>
      </w:r>
      <w:r>
        <w:t xml:space="preserve">.  </w:t>
      </w:r>
      <w:r w:rsidRPr="00234369">
        <w:t>It is o</w:t>
      </w:r>
      <w:r>
        <w:t>nly when the daily PM</w:t>
      </w:r>
      <w:r w:rsidRPr="00F3481D">
        <w:rPr>
          <w:vertAlign w:val="subscript"/>
        </w:rPr>
        <w:t>10</w:t>
      </w:r>
      <w:r>
        <w:rPr>
          <w:vertAlign w:val="subscript"/>
        </w:rPr>
        <w:t xml:space="preserve"> </w:t>
      </w:r>
      <w:r>
        <w:t xml:space="preserve">threshold </w:t>
      </w:r>
      <w:r w:rsidRPr="00234369">
        <w:t>concentration is excee</w:t>
      </w:r>
      <w:r>
        <w:t>ded for the second time</w:t>
      </w:r>
      <w:r w:rsidR="003E75E5">
        <w:t xml:space="preserve"> (ie, the standard is breached)</w:t>
      </w:r>
      <w:r>
        <w:t xml:space="preserve"> that a c</w:t>
      </w:r>
      <w:r w:rsidRPr="00234369">
        <w:t>ouncil would be required to report publicly</w:t>
      </w:r>
      <w:r w:rsidR="00782D75">
        <w:t>.</w:t>
      </w:r>
      <w:r>
        <w:t xml:space="preserve"> </w:t>
      </w:r>
      <w:r w:rsidRPr="00234369">
        <w:t xml:space="preserve">In this case the </w:t>
      </w:r>
      <w:r>
        <w:t>c</w:t>
      </w:r>
      <w:r w:rsidRPr="00234369">
        <w:t xml:space="preserve">ouncil would report the second </w:t>
      </w:r>
      <w:r w:rsidR="00386E29">
        <w:t>exceedance</w:t>
      </w:r>
      <w:r w:rsidRPr="00234369">
        <w:t xml:space="preserve"> for that </w:t>
      </w:r>
      <w:r w:rsidR="00502C88">
        <w:t>airshed</w:t>
      </w:r>
      <w:r w:rsidRPr="00234369">
        <w:t xml:space="preserve">, within one month of </w:t>
      </w:r>
      <w:r w:rsidR="00386E29">
        <w:t>it</w:t>
      </w:r>
      <w:r w:rsidRPr="00234369">
        <w:t xml:space="preserve"> occurring</w:t>
      </w:r>
      <w:r w:rsidR="00782D75">
        <w:t xml:space="preserve">. </w:t>
      </w:r>
      <w:r w:rsidR="00386E29">
        <w:t>The council does</w:t>
      </w:r>
      <w:r w:rsidR="003E75E5">
        <w:t xml:space="preserve"> not have to report the first exceedance as the standard was not breached.  </w:t>
      </w:r>
    </w:p>
    <w:p w14:paraId="7D971711" w14:textId="77777777" w:rsidR="00386E29" w:rsidRDefault="00386E29" w:rsidP="00386E29">
      <w:pPr>
        <w:rPr>
          <w:rStyle w:val="SubtleEmphasis"/>
          <w:i w:val="0"/>
          <w:color w:val="auto"/>
        </w:rPr>
      </w:pPr>
    </w:p>
    <w:p w14:paraId="285CDBFE" w14:textId="77777777" w:rsidR="00A96B59" w:rsidRPr="00386E29" w:rsidRDefault="00B146CF" w:rsidP="00386E29">
      <w:pPr>
        <w:rPr>
          <w:i/>
        </w:rPr>
      </w:pPr>
      <w:r>
        <w:rPr>
          <w:rStyle w:val="SubtleEmphasis"/>
          <w:i w:val="0"/>
          <w:color w:val="auto"/>
        </w:rPr>
        <w:t>Section 3.6 and e</w:t>
      </w:r>
      <w:r w:rsidR="00960A33">
        <w:rPr>
          <w:rStyle w:val="SubtleEmphasis"/>
          <w:i w:val="0"/>
          <w:color w:val="auto"/>
        </w:rPr>
        <w:t>xample</w:t>
      </w:r>
      <w:r>
        <w:rPr>
          <w:rStyle w:val="SubtleEmphasis"/>
          <w:i w:val="0"/>
          <w:color w:val="auto"/>
        </w:rPr>
        <w:t xml:space="preserve">s 3.6 and </w:t>
      </w:r>
      <w:r w:rsidR="00960A33">
        <w:rPr>
          <w:rStyle w:val="SubtleEmphasis"/>
          <w:i w:val="0"/>
          <w:color w:val="auto"/>
        </w:rPr>
        <w:t>3.</w:t>
      </w:r>
      <w:r>
        <w:rPr>
          <w:rStyle w:val="SubtleEmphasis"/>
          <w:i w:val="0"/>
          <w:color w:val="auto"/>
        </w:rPr>
        <w:t>7 detail</w:t>
      </w:r>
      <w:r w:rsidR="00386E29" w:rsidRPr="00386E29">
        <w:rPr>
          <w:rStyle w:val="SubtleEmphasis"/>
          <w:i w:val="0"/>
          <w:color w:val="auto"/>
        </w:rPr>
        <w:t xml:space="preserve"> how exceedances are determined. </w:t>
      </w:r>
    </w:p>
    <w:p w14:paraId="0D7059A5" w14:textId="77777777" w:rsidR="005752A8" w:rsidRDefault="005752A8" w:rsidP="005752A8">
      <w:pPr>
        <w:pStyle w:val="Heading2"/>
      </w:pPr>
      <w:bookmarkStart w:id="51" w:name="_Toc300856602"/>
      <w:bookmarkStart w:id="52" w:name="_Toc300856603"/>
      <w:r>
        <w:t>3.8</w:t>
      </w:r>
      <w:r>
        <w:tab/>
        <w:t>Exceptional circumstances</w:t>
      </w:r>
      <w:bookmarkEnd w:id="51"/>
    </w:p>
    <w:p w14:paraId="2A2BD587" w14:textId="77777777" w:rsidR="005752A8" w:rsidRDefault="005752A8" w:rsidP="005752A8">
      <w:pPr>
        <w:pStyle w:val="BodyText"/>
        <w:keepNext/>
      </w:pPr>
      <w:r>
        <w:t xml:space="preserve">The 2011 amendments inserted a new Regulation 16A to provide for exceedances of the ambient air quality standards caused by exceptional circumstances. </w:t>
      </w:r>
    </w:p>
    <w:p w14:paraId="6EAB5390" w14:textId="77777777" w:rsidR="005752A8" w:rsidRDefault="005752A8" w:rsidP="005752A8">
      <w:pPr>
        <w:pStyle w:val="BodyText"/>
        <w:keepNext/>
      </w:pPr>
    </w:p>
    <w:p w14:paraId="3DB1AC01" w14:textId="77777777" w:rsidR="005752A8" w:rsidRDefault="005752A8" w:rsidP="005752A8">
      <w:pPr>
        <w:pStyle w:val="BodyText"/>
        <w:keepNext/>
      </w:pPr>
      <w:r>
        <w:t>The Regulation states:</w:t>
      </w:r>
    </w:p>
    <w:p w14:paraId="64208365" w14:textId="77777777" w:rsidR="005752A8" w:rsidRDefault="005752A8" w:rsidP="005752A8">
      <w:pPr>
        <w:pStyle w:val="BodyText"/>
      </w:pPr>
    </w:p>
    <w:p w14:paraId="4E5D9C26" w14:textId="77777777" w:rsidR="005752A8" w:rsidRPr="005764A1" w:rsidRDefault="005C09B9" w:rsidP="005752A8">
      <w:pPr>
        <w:pStyle w:val="BodyText"/>
        <w:ind w:left="1134" w:hanging="567"/>
        <w:rPr>
          <w:b/>
          <w:i/>
          <w:sz w:val="20"/>
        </w:rPr>
      </w:pPr>
      <w:r>
        <w:rPr>
          <w:b/>
          <w:i/>
          <w:sz w:val="20"/>
        </w:rPr>
        <w:t>16A</w:t>
      </w:r>
      <w:r>
        <w:rPr>
          <w:b/>
          <w:i/>
          <w:sz w:val="20"/>
        </w:rPr>
        <w:tab/>
      </w:r>
      <w:r w:rsidR="005752A8" w:rsidRPr="005764A1">
        <w:rPr>
          <w:b/>
          <w:i/>
          <w:sz w:val="20"/>
        </w:rPr>
        <w:t>Exceptional circumstances causing breach of standard</w:t>
      </w:r>
    </w:p>
    <w:p w14:paraId="783C2B34" w14:textId="77777777" w:rsidR="005752A8" w:rsidRPr="005764A1" w:rsidRDefault="005752A8" w:rsidP="002A1A25">
      <w:pPr>
        <w:pStyle w:val="BodyText"/>
        <w:ind w:left="1134" w:hanging="567"/>
        <w:rPr>
          <w:i/>
          <w:sz w:val="20"/>
        </w:rPr>
      </w:pPr>
      <w:r>
        <w:rPr>
          <w:i/>
          <w:sz w:val="20"/>
        </w:rPr>
        <w:t>(</w:t>
      </w:r>
      <w:r w:rsidRPr="005764A1">
        <w:rPr>
          <w:i/>
          <w:sz w:val="20"/>
        </w:rPr>
        <w:t>1)</w:t>
      </w:r>
      <w:r w:rsidRPr="005764A1">
        <w:rPr>
          <w:i/>
          <w:sz w:val="20"/>
        </w:rPr>
        <w:tab/>
        <w:t>The Minister may, on written application by a regional council, decide that an exceedance of a contaminant in an airshed in the region of the council was caused by exceptional circumstances.</w:t>
      </w:r>
    </w:p>
    <w:p w14:paraId="37525C15" w14:textId="77777777" w:rsidR="005752A8" w:rsidRPr="005764A1" w:rsidRDefault="005752A8" w:rsidP="002A1A25">
      <w:pPr>
        <w:pStyle w:val="BodyText"/>
        <w:ind w:left="1134" w:hanging="567"/>
        <w:rPr>
          <w:i/>
          <w:sz w:val="20"/>
        </w:rPr>
      </w:pPr>
      <w:r w:rsidRPr="005764A1">
        <w:rPr>
          <w:i/>
          <w:sz w:val="20"/>
        </w:rPr>
        <w:t>(2)</w:t>
      </w:r>
      <w:r w:rsidRPr="005764A1">
        <w:rPr>
          <w:i/>
          <w:sz w:val="20"/>
        </w:rPr>
        <w:tab/>
        <w:t>The application must be received by the Minister no later than 3 months after the day of the exceedance.</w:t>
      </w:r>
    </w:p>
    <w:p w14:paraId="6DA36492" w14:textId="77777777" w:rsidR="005752A8" w:rsidRPr="005764A1" w:rsidRDefault="005752A8" w:rsidP="002A1A25">
      <w:pPr>
        <w:pStyle w:val="BodyText"/>
        <w:ind w:left="1134" w:hanging="567"/>
        <w:rPr>
          <w:i/>
          <w:sz w:val="20"/>
        </w:rPr>
      </w:pPr>
      <w:r w:rsidRPr="005764A1">
        <w:rPr>
          <w:i/>
          <w:sz w:val="20"/>
        </w:rPr>
        <w:t>(3)</w:t>
      </w:r>
      <w:r w:rsidRPr="005764A1">
        <w:rPr>
          <w:i/>
          <w:sz w:val="20"/>
        </w:rPr>
        <w:tab/>
        <w:t xml:space="preserve">The Minister may decide that the exceedance was caused by exceptional circumstances only if he or she is satisfied that the exceedance was caused by exceptional circumstances beyond the </w:t>
      </w:r>
      <w:r>
        <w:rPr>
          <w:i/>
          <w:sz w:val="20"/>
        </w:rPr>
        <w:t>reasonable</w:t>
      </w:r>
      <w:r w:rsidRPr="005764A1">
        <w:rPr>
          <w:i/>
          <w:sz w:val="20"/>
        </w:rPr>
        <w:t xml:space="preserve"> control of the regional council.</w:t>
      </w:r>
    </w:p>
    <w:p w14:paraId="3056382A" w14:textId="77777777" w:rsidR="005752A8" w:rsidRPr="005764A1" w:rsidRDefault="005752A8" w:rsidP="002A1A25">
      <w:pPr>
        <w:pStyle w:val="BodyText"/>
        <w:ind w:left="1134" w:hanging="567"/>
        <w:rPr>
          <w:i/>
          <w:sz w:val="20"/>
        </w:rPr>
      </w:pPr>
      <w:r w:rsidRPr="005764A1">
        <w:rPr>
          <w:i/>
          <w:sz w:val="20"/>
        </w:rPr>
        <w:t>(4)</w:t>
      </w:r>
      <w:r w:rsidRPr="005764A1">
        <w:rPr>
          <w:i/>
          <w:sz w:val="20"/>
        </w:rPr>
        <w:tab/>
        <w:t>The Minister must give written notice to the regional council of his or her decision no later than 3 months after the day on which the application was received.</w:t>
      </w:r>
    </w:p>
    <w:p w14:paraId="76B5784C" w14:textId="77777777" w:rsidR="005752A8" w:rsidRPr="005764A1" w:rsidRDefault="005752A8" w:rsidP="002A1A25">
      <w:pPr>
        <w:pStyle w:val="BodyText"/>
        <w:ind w:left="1134" w:hanging="567"/>
        <w:rPr>
          <w:i/>
          <w:sz w:val="20"/>
        </w:rPr>
      </w:pPr>
      <w:r w:rsidRPr="005764A1">
        <w:rPr>
          <w:i/>
          <w:sz w:val="20"/>
        </w:rPr>
        <w:t>(5)</w:t>
      </w:r>
      <w:r w:rsidRPr="005764A1">
        <w:rPr>
          <w:i/>
          <w:sz w:val="20"/>
        </w:rPr>
        <w:tab/>
        <w:t>If the decision in the notice is that the exceedance was caused by exceptional circumstances, the exceedance must be ignored in determining whether the ambient air quality standard for the relevant contaminant has been breached in the airshed.</w:t>
      </w:r>
    </w:p>
    <w:p w14:paraId="2AD50208" w14:textId="77777777" w:rsidR="005752A8" w:rsidRPr="005764A1" w:rsidRDefault="005752A8" w:rsidP="002A1A25">
      <w:pPr>
        <w:pStyle w:val="BodyText"/>
        <w:ind w:left="1134" w:hanging="567"/>
        <w:rPr>
          <w:i/>
          <w:sz w:val="20"/>
        </w:rPr>
      </w:pPr>
      <w:r w:rsidRPr="005764A1">
        <w:rPr>
          <w:i/>
          <w:sz w:val="20"/>
        </w:rPr>
        <w:t>(6)</w:t>
      </w:r>
      <w:r w:rsidRPr="005764A1">
        <w:rPr>
          <w:i/>
          <w:sz w:val="20"/>
        </w:rPr>
        <w:tab/>
        <w:t>However, the exceedance must not be ignored in determining whether the standard has been breached for the purposes of regulation 16 (regional council must give public notice if standard breached).</w:t>
      </w:r>
    </w:p>
    <w:p w14:paraId="48BBC1A6" w14:textId="77777777" w:rsidR="005752A8" w:rsidRPr="002010BA" w:rsidRDefault="005752A8" w:rsidP="005752A8">
      <w:pPr>
        <w:pStyle w:val="Heading3"/>
      </w:pPr>
      <w:r>
        <w:t>3.8</w:t>
      </w:r>
      <w:r w:rsidRPr="002010BA">
        <w:t>.1</w:t>
      </w:r>
      <w:r w:rsidRPr="002010BA">
        <w:tab/>
        <w:t>What is an exceptional event?</w:t>
      </w:r>
    </w:p>
    <w:p w14:paraId="6600E7DA" w14:textId="77777777" w:rsidR="005752A8" w:rsidRDefault="005752A8" w:rsidP="005752A8">
      <w:r>
        <w:t>E</w:t>
      </w:r>
      <w:r w:rsidRPr="00D27203">
        <w:t>xceptional</w:t>
      </w:r>
      <w:r>
        <w:t xml:space="preserve"> circumstances </w:t>
      </w:r>
      <w:r w:rsidRPr="00D27203">
        <w:t>are not defined in the Regulations</w:t>
      </w:r>
      <w:r>
        <w:t xml:space="preserve"> and will be decided by the Minister for the Environment on a case by case basis</w:t>
      </w:r>
      <w:r w:rsidRPr="00D27203">
        <w:t xml:space="preserve">. </w:t>
      </w:r>
      <w:r>
        <w:t>The factors considered by the Minister will depend on the circumstances of each application. This document provides guidance to councils on formulating an application.</w:t>
      </w:r>
      <w:r w:rsidRPr="00D27203">
        <w:t xml:space="preserve">  </w:t>
      </w:r>
    </w:p>
    <w:p w14:paraId="4BCB7B46" w14:textId="77777777" w:rsidR="005752A8" w:rsidRDefault="005752A8" w:rsidP="005752A8"/>
    <w:p w14:paraId="5845078B" w14:textId="77777777" w:rsidR="005752A8" w:rsidRPr="00844266" w:rsidRDefault="005752A8" w:rsidP="005752A8">
      <w:r>
        <w:t>Councils should consider the following five criteria when making an application to the Minister:</w:t>
      </w:r>
    </w:p>
    <w:p w14:paraId="6B3F348A" w14:textId="77777777" w:rsidR="005752A8" w:rsidRPr="00844266" w:rsidRDefault="005752A8" w:rsidP="005752A8">
      <w:pPr>
        <w:pStyle w:val="Bullet"/>
        <w:numPr>
          <w:ilvl w:val="0"/>
          <w:numId w:val="12"/>
        </w:numPr>
      </w:pPr>
      <w:r w:rsidRPr="00002931">
        <w:rPr>
          <w:b/>
        </w:rPr>
        <w:t>Causation</w:t>
      </w:r>
      <w:r>
        <w:t xml:space="preserve"> – whether the exceedance was caused by the events being assessed</w:t>
      </w:r>
    </w:p>
    <w:p w14:paraId="72CF7230" w14:textId="77777777" w:rsidR="005752A8" w:rsidRPr="00844266" w:rsidRDefault="005752A8" w:rsidP="005752A8">
      <w:pPr>
        <w:pStyle w:val="Bullet"/>
        <w:numPr>
          <w:ilvl w:val="0"/>
          <w:numId w:val="12"/>
        </w:numPr>
      </w:pPr>
      <w:r w:rsidRPr="00002931">
        <w:rPr>
          <w:b/>
        </w:rPr>
        <w:t>Control</w:t>
      </w:r>
      <w:r>
        <w:t xml:space="preserve"> –the circumstances must be beyond the reasonable control of the regional council</w:t>
      </w:r>
      <w:r w:rsidRPr="00A8727A">
        <w:rPr>
          <w:vertAlign w:val="superscript"/>
        </w:rPr>
        <w:footnoteReference w:id="9"/>
      </w:r>
    </w:p>
    <w:p w14:paraId="1B5C968C" w14:textId="77777777" w:rsidR="005752A8" w:rsidRPr="00282C1C" w:rsidRDefault="005752A8" w:rsidP="005752A8">
      <w:pPr>
        <w:pStyle w:val="Bullet"/>
        <w:numPr>
          <w:ilvl w:val="0"/>
          <w:numId w:val="12"/>
        </w:numPr>
      </w:pPr>
      <w:r w:rsidRPr="00002931">
        <w:rPr>
          <w:b/>
        </w:rPr>
        <w:t>Foreseeability</w:t>
      </w:r>
      <w:r w:rsidR="005D219E">
        <w:t xml:space="preserve"> –</w:t>
      </w:r>
      <w:r>
        <w:t xml:space="preserve"> </w:t>
      </w:r>
      <w:r>
        <w:rPr>
          <w:bCs/>
          <w:szCs w:val="24"/>
        </w:rPr>
        <w:t xml:space="preserve">an assessment of </w:t>
      </w:r>
      <w:r w:rsidRPr="00282C1C">
        <w:rPr>
          <w:bCs/>
          <w:szCs w:val="24"/>
        </w:rPr>
        <w:t xml:space="preserve">whether the circumstances were able to be reasonably predicted </w:t>
      </w:r>
      <w:r>
        <w:rPr>
          <w:bCs/>
          <w:szCs w:val="24"/>
        </w:rPr>
        <w:t>and/</w:t>
      </w:r>
      <w:r w:rsidRPr="00282C1C">
        <w:rPr>
          <w:bCs/>
          <w:szCs w:val="24"/>
        </w:rPr>
        <w:t>or planned for</w:t>
      </w:r>
    </w:p>
    <w:p w14:paraId="4A083D1E" w14:textId="77777777" w:rsidR="005752A8" w:rsidRPr="00282C1C" w:rsidRDefault="005752A8" w:rsidP="005752A8">
      <w:pPr>
        <w:pStyle w:val="Bullet"/>
        <w:numPr>
          <w:ilvl w:val="0"/>
          <w:numId w:val="12"/>
        </w:numPr>
      </w:pPr>
      <w:r w:rsidRPr="00002931">
        <w:rPr>
          <w:b/>
          <w:bCs/>
          <w:szCs w:val="24"/>
        </w:rPr>
        <w:t xml:space="preserve">Frequency and likelihood of reoccurrence </w:t>
      </w:r>
      <w:r w:rsidRPr="00282C1C">
        <w:rPr>
          <w:bCs/>
          <w:szCs w:val="24"/>
        </w:rPr>
        <w:t xml:space="preserve">– </w:t>
      </w:r>
      <w:r>
        <w:rPr>
          <w:bCs/>
          <w:szCs w:val="24"/>
        </w:rPr>
        <w:t>an assessment of how unusual the events were</w:t>
      </w:r>
    </w:p>
    <w:p w14:paraId="391D93F2" w14:textId="77777777" w:rsidR="005752A8" w:rsidRDefault="005752A8" w:rsidP="005752A8">
      <w:pPr>
        <w:pStyle w:val="Bullet"/>
        <w:numPr>
          <w:ilvl w:val="0"/>
          <w:numId w:val="12"/>
        </w:numPr>
      </w:pPr>
      <w:r w:rsidRPr="00002931">
        <w:rPr>
          <w:b/>
          <w:bCs/>
          <w:szCs w:val="24"/>
        </w:rPr>
        <w:t>Purpose of the RMA</w:t>
      </w:r>
      <w:r w:rsidRPr="00282C1C">
        <w:rPr>
          <w:bCs/>
          <w:szCs w:val="24"/>
        </w:rPr>
        <w:t xml:space="preserve"> – </w:t>
      </w:r>
      <w:r>
        <w:rPr>
          <w:bCs/>
          <w:szCs w:val="24"/>
        </w:rPr>
        <w:t xml:space="preserve">whether </w:t>
      </w:r>
      <w:r w:rsidRPr="00282C1C">
        <w:rPr>
          <w:bCs/>
          <w:szCs w:val="24"/>
        </w:rPr>
        <w:t xml:space="preserve">a determination that circumstances </w:t>
      </w:r>
      <w:r>
        <w:rPr>
          <w:bCs/>
          <w:szCs w:val="24"/>
        </w:rPr>
        <w:t>were</w:t>
      </w:r>
      <w:r w:rsidRPr="00282C1C">
        <w:rPr>
          <w:bCs/>
          <w:szCs w:val="24"/>
        </w:rPr>
        <w:t xml:space="preserve"> exceptional </w:t>
      </w:r>
      <w:r>
        <w:rPr>
          <w:bCs/>
          <w:szCs w:val="24"/>
        </w:rPr>
        <w:t xml:space="preserve">is </w:t>
      </w:r>
      <w:r w:rsidRPr="00282C1C">
        <w:rPr>
          <w:bCs/>
          <w:szCs w:val="24"/>
        </w:rPr>
        <w:t>consistent with the purpose of the RMA</w:t>
      </w:r>
      <w:r w:rsidRPr="00844266">
        <w:t>.</w:t>
      </w:r>
    </w:p>
    <w:p w14:paraId="3EC181E8" w14:textId="77777777" w:rsidR="005752A8" w:rsidRDefault="005752A8" w:rsidP="005752A8">
      <w:pPr>
        <w:pStyle w:val="Heading5"/>
        <w:keepNext/>
      </w:pPr>
      <w:r w:rsidRPr="00B46937">
        <w:rPr>
          <w:rFonts w:ascii="Times New Roman" w:hAnsi="Times New Roman"/>
          <w:b/>
          <w:i w:val="0"/>
        </w:rPr>
        <w:t>Causation – whether the exceedance was caused by the events being assessed</w:t>
      </w:r>
    </w:p>
    <w:p w14:paraId="20A176B4" w14:textId="77777777" w:rsidR="005752A8" w:rsidRDefault="005752A8" w:rsidP="005752A8">
      <w:pPr>
        <w:keepNext/>
      </w:pPr>
      <w:r>
        <w:t>The base assumption for considering monitoring data is that a</w:t>
      </w:r>
      <w:r w:rsidRPr="004F651C">
        <w:t xml:space="preserve">ll exceedances </w:t>
      </w:r>
      <w:r>
        <w:t>are</w:t>
      </w:r>
      <w:r w:rsidRPr="004F651C">
        <w:t xml:space="preserve"> </w:t>
      </w:r>
      <w:r>
        <w:t>‘</w:t>
      </w:r>
      <w:r w:rsidRPr="004F651C">
        <w:t>real</w:t>
      </w:r>
      <w:r>
        <w:t>’</w:t>
      </w:r>
      <w:r w:rsidRPr="004F651C">
        <w:t xml:space="preserve"> unless </w:t>
      </w:r>
      <w:r>
        <w:t>proven otherwise</w:t>
      </w:r>
      <w:r w:rsidR="00022E1E">
        <w:t>.</w:t>
      </w:r>
      <w:r w:rsidRPr="004F651C">
        <w:t xml:space="preserve"> </w:t>
      </w:r>
      <w:r>
        <w:t>This requires a scientifically robust level of proof, hence the detailed requirements for Schedule 2 and ‘meaningful data’. Monitoring information beyond that directly required by Regulations may be vital to demonstrate that an exceedance was caused</w:t>
      </w:r>
      <w:r w:rsidR="00782D75">
        <w:t xml:space="preserve"> by exceptional circumstances.</w:t>
      </w:r>
    </w:p>
    <w:p w14:paraId="6D538D90" w14:textId="77777777" w:rsidR="005752A8" w:rsidRDefault="005752A8" w:rsidP="005752A8"/>
    <w:p w14:paraId="396AB3AA" w14:textId="77777777" w:rsidR="005752A8" w:rsidRDefault="005752A8" w:rsidP="005752A8">
      <w:r>
        <w:t>Exceptional circumstances are, by their very nature, a deviation from normal concentration level</w:t>
      </w:r>
      <w:r w:rsidR="00022E1E">
        <w:t>s.</w:t>
      </w:r>
      <w:r>
        <w:t xml:space="preserve"> Accordingly, sufficient baseline data to ascertain what ‘normal’ concentrations can be expected for a pollutant within an airshed will generally need to be developed. </w:t>
      </w:r>
    </w:p>
    <w:p w14:paraId="4D7B5F64" w14:textId="77777777" w:rsidR="005752A8" w:rsidRDefault="005752A8" w:rsidP="005752A8"/>
    <w:p w14:paraId="110768FB" w14:textId="77777777" w:rsidR="005752A8" w:rsidRDefault="005752A8" w:rsidP="005752A8">
      <w:r w:rsidRPr="00D27203">
        <w:t>It may be useful to enhance monitoring networks by co-locating meteorological sites</w:t>
      </w:r>
      <w:r w:rsidR="00022E1E">
        <w:t xml:space="preserve"> with ambient monitors.</w:t>
      </w:r>
      <w:r w:rsidRPr="00D27203">
        <w:t xml:space="preserve"> The addition of web cameras to enable real time recording of activities occurring within the immediate vicinity of monitoring sites may also be helpful.</w:t>
      </w:r>
      <w:r>
        <w:t xml:space="preserve">  </w:t>
      </w:r>
    </w:p>
    <w:p w14:paraId="64531D01" w14:textId="77777777" w:rsidR="005752A8" w:rsidRDefault="005752A8" w:rsidP="005752A8"/>
    <w:p w14:paraId="638C9590" w14:textId="77777777" w:rsidR="005752A8" w:rsidRDefault="005752A8" w:rsidP="005752A8">
      <w:r>
        <w:t>If considerable debate is likely to occur (eg, whether sea salt is an exceptional circumstance or a proportion of background) then councils may consider the use of source speciation analys</w:t>
      </w:r>
      <w:r w:rsidR="00782D75">
        <w:t xml:space="preserve">is or other forms of analysis. </w:t>
      </w:r>
      <w:r>
        <w:t>Some of these techniques require additional sampling technology or different forms of monitoring equipment and therefore would need to be in place prior to an exceptional circu</w:t>
      </w:r>
      <w:r w:rsidR="00782D75">
        <w:t>mstance potentially occurring.</w:t>
      </w:r>
    </w:p>
    <w:p w14:paraId="2352AC3A" w14:textId="77777777" w:rsidR="005752A8" w:rsidRDefault="005752A8" w:rsidP="005752A8"/>
    <w:p w14:paraId="35A5EAAA" w14:textId="77777777" w:rsidR="005752A8" w:rsidRDefault="005752A8" w:rsidP="005752A8">
      <w:r>
        <w:t>When trying to determine a causal relationship a council should consider a</w:t>
      </w:r>
      <w:r w:rsidR="00782D75">
        <w:t>ll available information media.</w:t>
      </w:r>
      <w:r>
        <w:t xml:space="preserve"> This could include photographs, eye witness reports, newspaper accounts and information on similar event</w:t>
      </w:r>
      <w:r w:rsidR="00782D75">
        <w:t>s that have occurred elsewhere.</w:t>
      </w:r>
      <w:r>
        <w:t xml:space="preserve"> Any technique used should be referenced.</w:t>
      </w:r>
    </w:p>
    <w:p w14:paraId="39283B13" w14:textId="77777777" w:rsidR="005752A8" w:rsidRDefault="005752A8" w:rsidP="005752A8"/>
    <w:p w14:paraId="576F0E09" w14:textId="77777777" w:rsidR="005752A8" w:rsidRPr="00307FE1" w:rsidRDefault="005752A8" w:rsidP="005D219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307FE1">
        <w:rPr>
          <w:rStyle w:val="SubtleEmphasis"/>
          <w:b/>
          <w:color w:val="auto"/>
          <w:sz w:val="20"/>
        </w:rPr>
        <w:t>Example 3.8</w:t>
      </w:r>
    </w:p>
    <w:p w14:paraId="5A7A49B5" w14:textId="77777777" w:rsidR="005752A8" w:rsidRPr="005D219E"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BF5284">
        <w:rPr>
          <w:rStyle w:val="SubtleEmphasis"/>
          <w:color w:val="auto"/>
          <w:sz w:val="20"/>
        </w:rPr>
        <w:t xml:space="preserve">A monitor records an exceedance of the </w:t>
      </w:r>
      <w:r>
        <w:rPr>
          <w:rStyle w:val="SubtleEmphasis"/>
          <w:color w:val="auto"/>
          <w:sz w:val="20"/>
        </w:rPr>
        <w:t xml:space="preserve">ambient </w:t>
      </w:r>
      <w:r w:rsidRPr="00BF5284">
        <w:rPr>
          <w:rStyle w:val="SubtleEmphasis"/>
          <w:color w:val="auto"/>
          <w:sz w:val="20"/>
        </w:rPr>
        <w:t>NO</w:t>
      </w:r>
      <w:r w:rsidRPr="00BF5284">
        <w:rPr>
          <w:rStyle w:val="SubtleEmphasis"/>
          <w:color w:val="auto"/>
          <w:sz w:val="20"/>
          <w:vertAlign w:val="subscript"/>
        </w:rPr>
        <w:t>2</w:t>
      </w:r>
      <w:r w:rsidRPr="00BF5284">
        <w:rPr>
          <w:rStyle w:val="SubtleEmphasis"/>
          <w:color w:val="auto"/>
          <w:sz w:val="20"/>
        </w:rPr>
        <w:t xml:space="preserve"> standard with a concentration of 232 </w:t>
      </w:r>
      <w:r>
        <w:rPr>
          <w:rStyle w:val="SubtleEmphasis"/>
          <w:color w:val="auto"/>
          <w:sz w:val="20"/>
        </w:rPr>
        <w:t>µ</w:t>
      </w:r>
      <w:r w:rsidRPr="00BF5284">
        <w:rPr>
          <w:rStyle w:val="SubtleEmphasis"/>
          <w:color w:val="auto"/>
          <w:sz w:val="20"/>
        </w:rPr>
        <w:t>g.m</w:t>
      </w:r>
      <w:r w:rsidRPr="00BF5284">
        <w:rPr>
          <w:rStyle w:val="SubtleEmphasis"/>
          <w:color w:val="auto"/>
          <w:sz w:val="20"/>
          <w:vertAlign w:val="superscript"/>
        </w:rPr>
        <w:t>-3</w:t>
      </w:r>
      <w:r w:rsidRPr="00BF5284">
        <w:rPr>
          <w:rStyle w:val="SubtleEmphasis"/>
          <w:color w:val="auto"/>
          <w:sz w:val="20"/>
        </w:rPr>
        <w:t xml:space="preserve"> </w:t>
      </w:r>
      <w:r w:rsidR="001E3E02">
        <w:rPr>
          <w:rStyle w:val="SubtleEmphasis"/>
          <w:color w:val="auto"/>
          <w:sz w:val="20"/>
        </w:rPr>
        <w:br/>
      </w:r>
      <w:r w:rsidRPr="00BF5284">
        <w:rPr>
          <w:rStyle w:val="SubtleEmphasis"/>
          <w:color w:val="auto"/>
          <w:sz w:val="20"/>
        </w:rPr>
        <w:t xml:space="preserve">(1-hour average) in the </w:t>
      </w:r>
      <w:r>
        <w:rPr>
          <w:rStyle w:val="SubtleEmphasis"/>
          <w:color w:val="auto"/>
          <w:sz w:val="20"/>
        </w:rPr>
        <w:t xml:space="preserve">Korimako </w:t>
      </w:r>
      <w:r w:rsidRPr="00BF5284">
        <w:rPr>
          <w:rStyle w:val="SubtleEmphasis"/>
          <w:color w:val="auto"/>
          <w:sz w:val="20"/>
        </w:rPr>
        <w:t xml:space="preserve">Airshed. The </w:t>
      </w:r>
      <w:r>
        <w:rPr>
          <w:rStyle w:val="SubtleEmphasis"/>
          <w:color w:val="auto"/>
          <w:sz w:val="20"/>
        </w:rPr>
        <w:t>Nīkau</w:t>
      </w:r>
      <w:r w:rsidRPr="00BF5284">
        <w:rPr>
          <w:rStyle w:val="SubtleEmphasis"/>
          <w:color w:val="auto"/>
          <w:sz w:val="20"/>
        </w:rPr>
        <w:t xml:space="preserve"> Regional Council suspects that a truck </w:t>
      </w:r>
      <w:r>
        <w:rPr>
          <w:rStyle w:val="SubtleEmphasis"/>
          <w:color w:val="auto"/>
          <w:sz w:val="20"/>
        </w:rPr>
        <w:t xml:space="preserve">parked directly </w:t>
      </w:r>
      <w:r w:rsidRPr="00BF5284">
        <w:rPr>
          <w:rStyle w:val="SubtleEmphasis"/>
          <w:color w:val="auto"/>
          <w:sz w:val="20"/>
        </w:rPr>
        <w:t>under the monitor inlet</w:t>
      </w:r>
      <w:r>
        <w:rPr>
          <w:rStyle w:val="SubtleEmphasis"/>
          <w:color w:val="auto"/>
          <w:sz w:val="20"/>
        </w:rPr>
        <w:t xml:space="preserve"> and left its motor running</w:t>
      </w:r>
      <w:r w:rsidRPr="00BF5284">
        <w:rPr>
          <w:rStyle w:val="SubtleEmphasis"/>
          <w:color w:val="auto"/>
          <w:sz w:val="20"/>
        </w:rPr>
        <w:t xml:space="preserve">. However no record of the truck </w:t>
      </w:r>
      <w:r>
        <w:rPr>
          <w:rStyle w:val="SubtleEmphasis"/>
          <w:color w:val="auto"/>
          <w:sz w:val="20"/>
        </w:rPr>
        <w:t>being there</w:t>
      </w:r>
      <w:r w:rsidRPr="00BF5284">
        <w:rPr>
          <w:rStyle w:val="SubtleEmphasis"/>
          <w:color w:val="auto"/>
          <w:sz w:val="20"/>
        </w:rPr>
        <w:t xml:space="preserve"> (either through observation or web camera) is available. Therefor</w:t>
      </w:r>
      <w:r w:rsidRPr="005D219E">
        <w:rPr>
          <w:rStyle w:val="SubtleEmphasis"/>
          <w:color w:val="auto"/>
          <w:sz w:val="20"/>
        </w:rPr>
        <w:t>e:</w:t>
      </w:r>
    </w:p>
    <w:p w14:paraId="206A87D0" w14:textId="77777777" w:rsidR="005752A8" w:rsidRPr="005D219E"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31E8EEFC"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 xml:space="preserve">the idling truck cannot be </w:t>
      </w:r>
      <w:r w:rsidRPr="008427B0">
        <w:rPr>
          <w:i/>
          <w:sz w:val="20"/>
        </w:rPr>
        <w:t>proven</w:t>
      </w:r>
      <w:r>
        <w:rPr>
          <w:i/>
          <w:sz w:val="20"/>
        </w:rPr>
        <w:t xml:space="preserve"> to have caused the exceedance</w:t>
      </w:r>
    </w:p>
    <w:p w14:paraId="50250AC5"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 is unlikely to be determined as caused by exceptional circumstances.</w:t>
      </w:r>
    </w:p>
    <w:p w14:paraId="381AFD83" w14:textId="77777777" w:rsidR="005752A8" w:rsidRPr="0073484A" w:rsidRDefault="005752A8" w:rsidP="005752A8">
      <w:pPr>
        <w:pBdr>
          <w:top w:val="single" w:sz="4" w:space="1" w:color="auto"/>
          <w:left w:val="single" w:sz="4" w:space="4" w:color="auto"/>
          <w:bottom w:val="single" w:sz="4" w:space="1" w:color="auto"/>
          <w:right w:val="single" w:sz="4" w:space="4" w:color="auto"/>
        </w:pBdr>
        <w:tabs>
          <w:tab w:val="left" w:pos="284"/>
        </w:tabs>
        <w:rPr>
          <w:i/>
          <w:sz w:val="20"/>
        </w:rPr>
      </w:pPr>
    </w:p>
    <w:p w14:paraId="7E7C4B2D" w14:textId="77777777" w:rsidR="005752A8" w:rsidRPr="00307FE1" w:rsidRDefault="005752A8" w:rsidP="005D219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307FE1">
        <w:rPr>
          <w:rStyle w:val="SubtleEmphasis"/>
          <w:b/>
          <w:color w:val="auto"/>
          <w:sz w:val="20"/>
        </w:rPr>
        <w:t>Example 3.9</w:t>
      </w:r>
    </w:p>
    <w:p w14:paraId="015CED38" w14:textId="77777777" w:rsidR="005752A8" w:rsidRPr="00307FE1"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307FE1">
        <w:rPr>
          <w:rStyle w:val="SubtleEmphasis"/>
          <w:color w:val="auto"/>
          <w:sz w:val="20"/>
        </w:rPr>
        <w:t>A monitor records an exceedance of the ambient PM</w:t>
      </w:r>
      <w:r w:rsidRPr="00307FE1">
        <w:rPr>
          <w:rStyle w:val="SubtleEmphasis"/>
          <w:color w:val="auto"/>
          <w:sz w:val="20"/>
          <w:vertAlign w:val="subscript"/>
        </w:rPr>
        <w:t>10</w:t>
      </w:r>
      <w:r w:rsidRPr="00307FE1">
        <w:rPr>
          <w:rStyle w:val="SubtleEmphasis"/>
          <w:color w:val="auto"/>
          <w:sz w:val="20"/>
        </w:rPr>
        <w:t xml:space="preserve"> standard with a concentration of 66 µg.m</w:t>
      </w:r>
      <w:r w:rsidRPr="00307FE1">
        <w:rPr>
          <w:rStyle w:val="SubtleEmphasis"/>
          <w:color w:val="auto"/>
          <w:sz w:val="20"/>
          <w:vertAlign w:val="superscript"/>
        </w:rPr>
        <w:t>-3</w:t>
      </w:r>
      <w:r w:rsidRPr="00307FE1">
        <w:rPr>
          <w:rStyle w:val="SubtleEmphasis"/>
          <w:color w:val="auto"/>
          <w:sz w:val="20"/>
        </w:rPr>
        <w:t xml:space="preserve"> (24-hour average) in the Shearwater Airshed. Speciation of the filter sample finds that the concentration of sea salt is 43 µg.m</w:t>
      </w:r>
      <w:r w:rsidRPr="00307FE1">
        <w:rPr>
          <w:rStyle w:val="SubtleEmphasis"/>
          <w:color w:val="auto"/>
          <w:sz w:val="20"/>
          <w:vertAlign w:val="superscript"/>
        </w:rPr>
        <w:t>-3</w:t>
      </w:r>
      <w:r w:rsidRPr="00307FE1">
        <w:rPr>
          <w:rStyle w:val="SubtleEmphasis"/>
          <w:color w:val="auto"/>
          <w:sz w:val="20"/>
        </w:rPr>
        <w:t>. Previous speciation analysis of PM</w:t>
      </w:r>
      <w:r w:rsidRPr="00307FE1">
        <w:rPr>
          <w:rStyle w:val="SubtleEmphasis"/>
          <w:color w:val="auto"/>
          <w:sz w:val="20"/>
          <w:vertAlign w:val="subscript"/>
        </w:rPr>
        <w:t>10</w:t>
      </w:r>
      <w:r w:rsidRPr="00307FE1">
        <w:rPr>
          <w:rStyle w:val="SubtleEmphasis"/>
          <w:color w:val="auto"/>
          <w:sz w:val="20"/>
        </w:rPr>
        <w:t xml:space="preserve"> at the monitoring site has indicated that the sea salt component is typically between 7 µg.m</w:t>
      </w:r>
      <w:r w:rsidRPr="00307FE1">
        <w:rPr>
          <w:rStyle w:val="SubtleEmphasis"/>
          <w:color w:val="auto"/>
          <w:sz w:val="20"/>
          <w:vertAlign w:val="superscript"/>
        </w:rPr>
        <w:t>-3</w:t>
      </w:r>
      <w:r w:rsidRPr="00307FE1">
        <w:rPr>
          <w:rStyle w:val="SubtleEmphasis"/>
          <w:color w:val="auto"/>
          <w:sz w:val="20"/>
        </w:rPr>
        <w:t xml:space="preserve"> and 13 µg.m</w:t>
      </w:r>
      <w:r w:rsidRPr="00307FE1">
        <w:rPr>
          <w:rStyle w:val="SubtleEmphasis"/>
          <w:color w:val="auto"/>
          <w:sz w:val="20"/>
          <w:vertAlign w:val="superscript"/>
        </w:rPr>
        <w:t>-3</w:t>
      </w:r>
      <w:r w:rsidRPr="00307FE1">
        <w:rPr>
          <w:rStyle w:val="SubtleEmphasis"/>
          <w:color w:val="auto"/>
          <w:sz w:val="20"/>
        </w:rPr>
        <w:t>, with a maximum of 20 µg.m</w:t>
      </w:r>
      <w:r w:rsidRPr="00307FE1">
        <w:rPr>
          <w:rStyle w:val="SubtleEmphasis"/>
          <w:color w:val="auto"/>
          <w:sz w:val="20"/>
          <w:vertAlign w:val="superscript"/>
        </w:rPr>
        <w:t>-3</w:t>
      </w:r>
      <w:r w:rsidRPr="00307FE1">
        <w:rPr>
          <w:rStyle w:val="SubtleEmphasis"/>
          <w:color w:val="auto"/>
          <w:sz w:val="20"/>
        </w:rPr>
        <w:t>. Therefore:</w:t>
      </w:r>
    </w:p>
    <w:p w14:paraId="65053829" w14:textId="77777777" w:rsidR="005752A8" w:rsidRPr="00307FE1"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14486D4B"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a clear causal relationship exists between the event and the monitored concentration</w:t>
      </w:r>
    </w:p>
    <w:p w14:paraId="39958082"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 concentration due to sea salt is well above what could reasonably be expected to occur</w:t>
      </w:r>
    </w:p>
    <w:p w14:paraId="376FBFC9"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 event was not reasonably controllable or preventable</w:t>
      </w:r>
    </w:p>
    <w:p w14:paraId="551D6393"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 is likely to be determined as caused by exceptional circumstances.</w:t>
      </w:r>
    </w:p>
    <w:p w14:paraId="6381EB45" w14:textId="77777777" w:rsidR="005752A8" w:rsidRPr="00307FE1" w:rsidRDefault="005752A8" w:rsidP="005752A8">
      <w:pPr>
        <w:keepNext/>
        <w:pBdr>
          <w:top w:val="single" w:sz="4" w:space="1" w:color="auto"/>
          <w:left w:val="single" w:sz="4" w:space="4" w:color="auto"/>
          <w:bottom w:val="single" w:sz="4" w:space="1" w:color="auto"/>
          <w:right w:val="single" w:sz="4" w:space="4" w:color="auto"/>
        </w:pBdr>
        <w:rPr>
          <w:rStyle w:val="SubtleEmphasis"/>
          <w:b/>
          <w:color w:val="auto"/>
          <w:sz w:val="20"/>
        </w:rPr>
      </w:pPr>
    </w:p>
    <w:p w14:paraId="0A2BB35A" w14:textId="77777777" w:rsidR="005752A8" w:rsidRPr="00307FE1" w:rsidRDefault="005752A8" w:rsidP="005D219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307FE1">
        <w:rPr>
          <w:rStyle w:val="SubtleEmphasis"/>
          <w:b/>
          <w:color w:val="auto"/>
          <w:sz w:val="20"/>
        </w:rPr>
        <w:t>Example 3.10</w:t>
      </w:r>
    </w:p>
    <w:p w14:paraId="498C2BC8" w14:textId="77777777" w:rsidR="005752A8" w:rsidRPr="00307FE1"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307FE1">
        <w:rPr>
          <w:rStyle w:val="SubtleEmphasis"/>
          <w:color w:val="auto"/>
          <w:sz w:val="20"/>
        </w:rPr>
        <w:t>A monitor records an exceedance of the ambient PM</w:t>
      </w:r>
      <w:r w:rsidRPr="00307FE1">
        <w:rPr>
          <w:rStyle w:val="SubtleEmphasis"/>
          <w:color w:val="auto"/>
          <w:sz w:val="20"/>
          <w:vertAlign w:val="subscript"/>
        </w:rPr>
        <w:t>10</w:t>
      </w:r>
      <w:r w:rsidRPr="00307FE1">
        <w:rPr>
          <w:rStyle w:val="SubtleEmphasis"/>
          <w:color w:val="auto"/>
          <w:sz w:val="20"/>
        </w:rPr>
        <w:t xml:space="preserve"> standard with a concentration of 66 µg.m</w:t>
      </w:r>
      <w:r w:rsidRPr="00307FE1">
        <w:rPr>
          <w:rStyle w:val="SubtleEmphasis"/>
          <w:color w:val="auto"/>
          <w:sz w:val="20"/>
          <w:vertAlign w:val="superscript"/>
        </w:rPr>
        <w:t>-3</w:t>
      </w:r>
      <w:r w:rsidRPr="00307FE1">
        <w:rPr>
          <w:rStyle w:val="SubtleEmphasis"/>
          <w:color w:val="auto"/>
          <w:sz w:val="20"/>
        </w:rPr>
        <w:t xml:space="preserve"> (24-hour average) in the Shearwater Airshed. Speciation of the filter sample finds that the concentration of sea salt is 19 µg.m</w:t>
      </w:r>
      <w:r w:rsidRPr="00307FE1">
        <w:rPr>
          <w:rStyle w:val="SubtleEmphasis"/>
          <w:color w:val="auto"/>
          <w:sz w:val="20"/>
          <w:vertAlign w:val="superscript"/>
        </w:rPr>
        <w:t>-3</w:t>
      </w:r>
      <w:r w:rsidRPr="00307FE1">
        <w:rPr>
          <w:rStyle w:val="SubtleEmphasis"/>
          <w:color w:val="auto"/>
          <w:sz w:val="20"/>
        </w:rPr>
        <w:t>. Previous speciation analysis of PM</w:t>
      </w:r>
      <w:r w:rsidRPr="00307FE1">
        <w:rPr>
          <w:rStyle w:val="SubtleEmphasis"/>
          <w:color w:val="auto"/>
          <w:sz w:val="20"/>
          <w:vertAlign w:val="subscript"/>
        </w:rPr>
        <w:t>10</w:t>
      </w:r>
      <w:r w:rsidRPr="00307FE1">
        <w:rPr>
          <w:rStyle w:val="SubtleEmphasis"/>
          <w:color w:val="auto"/>
          <w:sz w:val="20"/>
        </w:rPr>
        <w:t xml:space="preserve"> at the monitoring site has indicated that the sea salt component is typically between 7 µg.m</w:t>
      </w:r>
      <w:r w:rsidRPr="00307FE1">
        <w:rPr>
          <w:rStyle w:val="SubtleEmphasis"/>
          <w:color w:val="auto"/>
          <w:sz w:val="20"/>
          <w:vertAlign w:val="superscript"/>
        </w:rPr>
        <w:t>-3</w:t>
      </w:r>
      <w:r w:rsidRPr="00307FE1">
        <w:rPr>
          <w:rStyle w:val="SubtleEmphasis"/>
          <w:color w:val="auto"/>
          <w:sz w:val="20"/>
        </w:rPr>
        <w:t xml:space="preserve"> and 13 µg.m</w:t>
      </w:r>
      <w:r w:rsidRPr="00307FE1">
        <w:rPr>
          <w:rStyle w:val="SubtleEmphasis"/>
          <w:color w:val="auto"/>
          <w:sz w:val="20"/>
          <w:vertAlign w:val="superscript"/>
        </w:rPr>
        <w:t>-3</w:t>
      </w:r>
      <w:r w:rsidRPr="00307FE1">
        <w:rPr>
          <w:rStyle w:val="SubtleEmphasis"/>
          <w:color w:val="auto"/>
          <w:sz w:val="20"/>
        </w:rPr>
        <w:t>, with a maximum of 20 µg.m</w:t>
      </w:r>
      <w:r w:rsidRPr="00307FE1">
        <w:rPr>
          <w:rStyle w:val="SubtleEmphasis"/>
          <w:color w:val="auto"/>
          <w:sz w:val="20"/>
          <w:vertAlign w:val="superscript"/>
        </w:rPr>
        <w:t>-3</w:t>
      </w:r>
      <w:r w:rsidRPr="00307FE1">
        <w:rPr>
          <w:rStyle w:val="SubtleEmphasis"/>
          <w:color w:val="auto"/>
          <w:sz w:val="20"/>
        </w:rPr>
        <w:t>. Therefore:</w:t>
      </w:r>
    </w:p>
    <w:p w14:paraId="21787851" w14:textId="77777777" w:rsidR="005752A8" w:rsidRPr="00307FE1"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25AC7B0B"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a clear causal relationship exists between the event and the monitored concentration</w:t>
      </w:r>
    </w:p>
    <w:p w14:paraId="64F910A3"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 concentration due to sea salt is within what could reasonably be expected to occur</w:t>
      </w:r>
    </w:p>
    <w:p w14:paraId="42002D88"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there may have been an exceedance without the sea salt</w:t>
      </w:r>
    </w:p>
    <w:p w14:paraId="1BDF9EF6"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 is unlikely to be determined as caused by exceptional circumstances.</w:t>
      </w:r>
    </w:p>
    <w:p w14:paraId="6CE21410" w14:textId="77777777" w:rsidR="007611EB" w:rsidRDefault="007611EB" w:rsidP="007611EB">
      <w:pPr>
        <w:pBdr>
          <w:top w:val="single" w:sz="4" w:space="1" w:color="auto"/>
          <w:left w:val="single" w:sz="4" w:space="4" w:color="auto"/>
          <w:bottom w:val="single" w:sz="4" w:space="1" w:color="auto"/>
          <w:right w:val="single" w:sz="4" w:space="4" w:color="auto"/>
        </w:pBdr>
        <w:tabs>
          <w:tab w:val="left" w:pos="284"/>
        </w:tabs>
        <w:rPr>
          <w:i/>
          <w:sz w:val="20"/>
        </w:rPr>
      </w:pPr>
    </w:p>
    <w:p w14:paraId="38289BB4" w14:textId="77777777" w:rsidR="007611EB" w:rsidRPr="001E3E02" w:rsidRDefault="007611EB" w:rsidP="007611E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1E3E02">
        <w:rPr>
          <w:rStyle w:val="SubtleEmphasis"/>
          <w:b/>
          <w:color w:val="auto"/>
          <w:sz w:val="20"/>
        </w:rPr>
        <w:t>Example 3.11</w:t>
      </w:r>
    </w:p>
    <w:p w14:paraId="08EA25D4" w14:textId="77777777" w:rsidR="007611EB" w:rsidRPr="001E3E02" w:rsidRDefault="007611EB" w:rsidP="007611EB">
      <w:pPr>
        <w:keepNext/>
        <w:pBdr>
          <w:top w:val="single" w:sz="4" w:space="1" w:color="auto"/>
          <w:left w:val="single" w:sz="4" w:space="4" w:color="auto"/>
          <w:bottom w:val="single" w:sz="4" w:space="1" w:color="auto"/>
          <w:right w:val="single" w:sz="4" w:space="4" w:color="auto"/>
        </w:pBdr>
        <w:rPr>
          <w:rStyle w:val="SubtleEmphasis"/>
          <w:color w:val="auto"/>
          <w:sz w:val="20"/>
        </w:rPr>
      </w:pPr>
      <w:r w:rsidRPr="001E3E02">
        <w:rPr>
          <w:rStyle w:val="SubtleEmphasis"/>
          <w:color w:val="auto"/>
          <w:sz w:val="20"/>
        </w:rPr>
        <w:t>A monitor records an exceedance of the ambient PM</w:t>
      </w:r>
      <w:r w:rsidRPr="001E3E02">
        <w:rPr>
          <w:rStyle w:val="SubtleEmphasis"/>
          <w:color w:val="auto"/>
          <w:sz w:val="20"/>
          <w:vertAlign w:val="subscript"/>
        </w:rPr>
        <w:t>10</w:t>
      </w:r>
      <w:r w:rsidRPr="001E3E02">
        <w:rPr>
          <w:rStyle w:val="SubtleEmphasis"/>
          <w:color w:val="auto"/>
          <w:sz w:val="20"/>
        </w:rPr>
        <w:t xml:space="preserve"> standard with a concentration of 66 µg.m</w:t>
      </w:r>
      <w:r w:rsidRPr="001E3E02">
        <w:rPr>
          <w:rStyle w:val="SubtleEmphasis"/>
          <w:color w:val="auto"/>
          <w:sz w:val="20"/>
          <w:vertAlign w:val="superscript"/>
        </w:rPr>
        <w:t>-3</w:t>
      </w:r>
      <w:r w:rsidRPr="001E3E02">
        <w:rPr>
          <w:rStyle w:val="SubtleEmphasis"/>
          <w:color w:val="auto"/>
          <w:sz w:val="20"/>
        </w:rPr>
        <w:t xml:space="preserve"> </w:t>
      </w:r>
      <w:r>
        <w:rPr>
          <w:rStyle w:val="SubtleEmphasis"/>
          <w:color w:val="auto"/>
          <w:sz w:val="20"/>
        </w:rPr>
        <w:br/>
      </w:r>
      <w:r w:rsidRPr="001E3E02">
        <w:rPr>
          <w:rStyle w:val="SubtleEmphasis"/>
          <w:color w:val="auto"/>
          <w:sz w:val="20"/>
        </w:rPr>
        <w:t>(24-hour average) in the Kererū Airshed. The Ngaio Regional Council suspects the breach is a result of high levels of sea salt. However, no data is available to confirm this. Therefore:</w:t>
      </w:r>
    </w:p>
    <w:p w14:paraId="19B9FCE7" w14:textId="77777777" w:rsidR="007611EB" w:rsidRPr="001E3E02" w:rsidRDefault="007611EB" w:rsidP="007611EB">
      <w:pPr>
        <w:pBdr>
          <w:top w:val="single" w:sz="4" w:space="1" w:color="auto"/>
          <w:left w:val="single" w:sz="4" w:space="4" w:color="auto"/>
          <w:bottom w:val="single" w:sz="4" w:space="1" w:color="auto"/>
          <w:right w:val="single" w:sz="4" w:space="4" w:color="auto"/>
        </w:pBdr>
        <w:rPr>
          <w:rStyle w:val="SubtleEmphasis"/>
          <w:color w:val="auto"/>
          <w:sz w:val="20"/>
        </w:rPr>
      </w:pPr>
    </w:p>
    <w:p w14:paraId="0F27D6F4" w14:textId="77777777" w:rsidR="007611EB"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no clear causal relationship exists between the event and the monitored concentration</w:t>
      </w:r>
    </w:p>
    <w:p w14:paraId="066E087D" w14:textId="77777777" w:rsidR="007611EB"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 concentration due to sea salt may be within what could reasonably be expected to occur</w:t>
      </w:r>
    </w:p>
    <w:p w14:paraId="46485F94" w14:textId="77777777" w:rsidR="007611EB"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there may have been an exceedance without the sea salt</w:t>
      </w:r>
    </w:p>
    <w:p w14:paraId="61878522" w14:textId="77777777" w:rsidR="007611EB" w:rsidRPr="007611EB"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 is unlikely to be determined as caused by exceptional circumstances.</w:t>
      </w:r>
    </w:p>
    <w:p w14:paraId="270B576C" w14:textId="77777777" w:rsidR="005752A8" w:rsidRPr="006509C2" w:rsidRDefault="005752A8" w:rsidP="005752A8">
      <w:pPr>
        <w:pStyle w:val="BodyText"/>
      </w:pPr>
    </w:p>
    <w:p w14:paraId="79259D8D" w14:textId="77777777" w:rsidR="005752A8" w:rsidRDefault="005752A8" w:rsidP="005752A8">
      <w:pPr>
        <w:pStyle w:val="Bullet"/>
        <w:tabs>
          <w:tab w:val="clear" w:pos="397"/>
        </w:tabs>
        <w:ind w:left="0" w:firstLine="0"/>
      </w:pPr>
      <w:r>
        <w:t>Exceptional circumstances can only happen if w</w:t>
      </w:r>
      <w:r w:rsidRPr="00844266">
        <w:t xml:space="preserve">ithout the </w:t>
      </w:r>
      <w:r>
        <w:t>circumstances</w:t>
      </w:r>
      <w:r w:rsidRPr="00844266">
        <w:t xml:space="preserve"> the exce</w:t>
      </w:r>
      <w:r w:rsidR="00782D75">
        <w:t>edance would not have occurred.</w:t>
      </w:r>
      <w:r w:rsidRPr="00844266">
        <w:t xml:space="preserve"> It is not an exceptional </w:t>
      </w:r>
      <w:r>
        <w:t>circumstance</w:t>
      </w:r>
      <w:r w:rsidRPr="00844266">
        <w:t xml:space="preserve"> if there was already going to be an exceedance (due to ‘normal’ sources) and the </w:t>
      </w:r>
      <w:r>
        <w:t xml:space="preserve">events in question </w:t>
      </w:r>
      <w:r w:rsidRPr="00844266">
        <w:t xml:space="preserve">only </w:t>
      </w:r>
      <w:r>
        <w:t>increased</w:t>
      </w:r>
      <w:r w:rsidRPr="00844266">
        <w:t xml:space="preserve"> the amount</w:t>
      </w:r>
      <w:r>
        <w:t xml:space="preserve"> of</w:t>
      </w:r>
      <w:r w:rsidRPr="00844266">
        <w:t xml:space="preserve"> the </w:t>
      </w:r>
      <w:r>
        <w:t>exceedance</w:t>
      </w:r>
      <w:r w:rsidRPr="00844266">
        <w:t>.</w:t>
      </w:r>
    </w:p>
    <w:p w14:paraId="331A29D4" w14:textId="77777777" w:rsidR="005752A8" w:rsidRDefault="005752A8" w:rsidP="005752A8">
      <w:pPr>
        <w:pStyle w:val="Bullet"/>
        <w:tabs>
          <w:tab w:val="clear" w:pos="397"/>
        </w:tabs>
        <w:ind w:left="0" w:firstLine="0"/>
      </w:pPr>
    </w:p>
    <w:p w14:paraId="0DC36A62" w14:textId="77777777" w:rsidR="005752A8" w:rsidRPr="001E3E02" w:rsidRDefault="005752A8" w:rsidP="003D7C8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1E3E02">
        <w:rPr>
          <w:rStyle w:val="SubtleEmphasis"/>
          <w:b/>
          <w:color w:val="auto"/>
          <w:sz w:val="20"/>
        </w:rPr>
        <w:t>Example 3.12</w:t>
      </w:r>
    </w:p>
    <w:p w14:paraId="1CD4E634"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1E3E02">
        <w:rPr>
          <w:rStyle w:val="SubtleEmphasis"/>
          <w:color w:val="auto"/>
          <w:sz w:val="20"/>
        </w:rPr>
        <w:t>Historically the Tui Airshed records PM</w:t>
      </w:r>
      <w:r w:rsidRPr="001E3E02">
        <w:rPr>
          <w:rStyle w:val="SubtleEmphasis"/>
          <w:color w:val="auto"/>
          <w:sz w:val="20"/>
          <w:vertAlign w:val="subscript"/>
        </w:rPr>
        <w:t>10</w:t>
      </w:r>
      <w:r w:rsidRPr="001E3E02">
        <w:rPr>
          <w:rStyle w:val="SubtleEmphasis"/>
          <w:color w:val="auto"/>
          <w:sz w:val="20"/>
        </w:rPr>
        <w:t xml:space="preserve"> concentrations  between 65 and 80 µg.m</w:t>
      </w:r>
      <w:r w:rsidRPr="001E3E02">
        <w:rPr>
          <w:rStyle w:val="SubtleEmphasis"/>
          <w:color w:val="auto"/>
          <w:sz w:val="20"/>
          <w:vertAlign w:val="superscript"/>
        </w:rPr>
        <w:t>-3</w:t>
      </w:r>
      <w:r w:rsidRPr="001E3E02">
        <w:rPr>
          <w:rStyle w:val="SubtleEmphasis"/>
          <w:color w:val="auto"/>
          <w:sz w:val="20"/>
        </w:rPr>
        <w:t xml:space="preserve"> on cold, clear, calm winter days and nights (ie, exceedances of the ambient PM</w:t>
      </w:r>
      <w:r w:rsidRPr="001E3E02">
        <w:rPr>
          <w:rStyle w:val="SubtleEmphasis"/>
          <w:color w:val="auto"/>
          <w:sz w:val="20"/>
          <w:vertAlign w:val="subscript"/>
        </w:rPr>
        <w:t>10</w:t>
      </w:r>
      <w:r w:rsidRPr="001E3E02">
        <w:rPr>
          <w:rStyle w:val="SubtleEmphasis"/>
          <w:color w:val="auto"/>
          <w:sz w:val="20"/>
        </w:rPr>
        <w:t xml:space="preserve"> standard of 50 µg.m</w:t>
      </w:r>
      <w:r w:rsidRPr="001E3E02">
        <w:rPr>
          <w:rStyle w:val="SubtleEmphasis"/>
          <w:color w:val="auto"/>
          <w:sz w:val="20"/>
          <w:vertAlign w:val="superscript"/>
        </w:rPr>
        <w:t>-3</w:t>
      </w:r>
      <w:r w:rsidRPr="001E3E02">
        <w:rPr>
          <w:rStyle w:val="SubtleEmphasis"/>
          <w:color w:val="auto"/>
          <w:sz w:val="20"/>
        </w:rPr>
        <w:t>). However, when weather conditions in winter are not cold and calm, PM</w:t>
      </w:r>
      <w:r w:rsidRPr="001E3E02">
        <w:rPr>
          <w:rStyle w:val="SubtleEmphasis"/>
          <w:color w:val="auto"/>
          <w:sz w:val="20"/>
          <w:vertAlign w:val="subscript"/>
        </w:rPr>
        <w:t>10</w:t>
      </w:r>
      <w:r w:rsidRPr="001E3E02">
        <w:rPr>
          <w:rStyle w:val="SubtleEmphasis"/>
          <w:color w:val="auto"/>
          <w:sz w:val="20"/>
        </w:rPr>
        <w:t xml:space="preserve"> concentrations typically do not exceed </w:t>
      </w:r>
      <w:r w:rsidR="003D7C8B">
        <w:rPr>
          <w:rStyle w:val="SubtleEmphasis"/>
          <w:color w:val="auto"/>
          <w:sz w:val="20"/>
        </w:rPr>
        <w:br/>
      </w:r>
      <w:r w:rsidRPr="001E3E02">
        <w:rPr>
          <w:rStyle w:val="SubtleEmphasis"/>
          <w:color w:val="auto"/>
          <w:sz w:val="20"/>
        </w:rPr>
        <w:t>45 µg.m</w:t>
      </w:r>
      <w:r w:rsidRPr="001E3E02">
        <w:rPr>
          <w:rStyle w:val="SubtleEmphasis"/>
          <w:color w:val="auto"/>
          <w:sz w:val="20"/>
          <w:vertAlign w:val="superscript"/>
        </w:rPr>
        <w:t>-3</w:t>
      </w:r>
      <w:r w:rsidRPr="001E3E02">
        <w:rPr>
          <w:rStyle w:val="SubtleEmphasis"/>
          <w:color w:val="auto"/>
          <w:sz w:val="20"/>
        </w:rPr>
        <w:t>. In summer, the highest PM</w:t>
      </w:r>
      <w:r w:rsidRPr="001E3E02">
        <w:rPr>
          <w:rStyle w:val="SubtleEmphasis"/>
          <w:color w:val="auto"/>
          <w:sz w:val="20"/>
          <w:vertAlign w:val="subscript"/>
        </w:rPr>
        <w:t>10</w:t>
      </w:r>
      <w:r w:rsidRPr="001E3E02">
        <w:rPr>
          <w:rStyle w:val="SubtleEmphasis"/>
          <w:color w:val="auto"/>
          <w:sz w:val="20"/>
        </w:rPr>
        <w:t xml:space="preserve"> level recorded is 35 µg.m</w:t>
      </w:r>
      <w:r w:rsidRPr="001E3E02">
        <w:rPr>
          <w:rStyle w:val="SubtleEmphasis"/>
          <w:color w:val="auto"/>
          <w:sz w:val="20"/>
          <w:vertAlign w:val="superscript"/>
        </w:rPr>
        <w:t>-3</w:t>
      </w:r>
      <w:r w:rsidRPr="001E3E02">
        <w:rPr>
          <w:rStyle w:val="SubtleEmphasis"/>
          <w:color w:val="auto"/>
          <w:sz w:val="20"/>
        </w:rPr>
        <w:t>.</w:t>
      </w:r>
    </w:p>
    <w:p w14:paraId="2E902000"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p>
    <w:p w14:paraId="6A2861EF"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1E3E02">
        <w:rPr>
          <w:rStyle w:val="SubtleEmphasis"/>
          <w:color w:val="auto"/>
          <w:sz w:val="20"/>
        </w:rPr>
        <w:t>A volcano has been erupting nearby for several months and monitoring indicates it is contributing approximately 20 µg.m</w:t>
      </w:r>
      <w:r w:rsidRPr="001E3E02">
        <w:rPr>
          <w:rStyle w:val="SubtleEmphasis"/>
          <w:color w:val="auto"/>
          <w:sz w:val="20"/>
          <w:vertAlign w:val="superscript"/>
        </w:rPr>
        <w:t>-3</w:t>
      </w:r>
      <w:r w:rsidRPr="001E3E02">
        <w:rPr>
          <w:rStyle w:val="SubtleEmphasis"/>
          <w:color w:val="auto"/>
          <w:sz w:val="20"/>
        </w:rPr>
        <w:t xml:space="preserve"> to PM</w:t>
      </w:r>
      <w:r w:rsidRPr="001E3E02">
        <w:rPr>
          <w:rStyle w:val="SubtleEmphasis"/>
          <w:color w:val="auto"/>
          <w:sz w:val="20"/>
          <w:vertAlign w:val="subscript"/>
        </w:rPr>
        <w:t>10</w:t>
      </w:r>
      <w:r w:rsidRPr="001E3E02">
        <w:rPr>
          <w:rStyle w:val="SubtleEmphasis"/>
          <w:color w:val="auto"/>
          <w:sz w:val="20"/>
        </w:rPr>
        <w:t xml:space="preserve"> concentrations when wind conditions are unfavourable. Therefore:</w:t>
      </w:r>
    </w:p>
    <w:p w14:paraId="2A420809" w14:textId="77777777" w:rsidR="005752A8" w:rsidRPr="001E3E02"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423AFE90" w14:textId="77777777" w:rsidR="005752A8" w:rsidRPr="0072605B"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e</w:t>
      </w:r>
      <w:r w:rsidRPr="0072605B">
        <w:rPr>
          <w:i/>
          <w:sz w:val="20"/>
        </w:rPr>
        <w:t xml:space="preserve">xceedances in summer during the volcanic eruption </w:t>
      </w:r>
      <w:r>
        <w:rPr>
          <w:i/>
          <w:sz w:val="20"/>
        </w:rPr>
        <w:t xml:space="preserve">are likely to be determined as caused by exceptional circumstances </w:t>
      </w:r>
      <w:r w:rsidRPr="0072605B">
        <w:rPr>
          <w:i/>
          <w:sz w:val="20"/>
        </w:rPr>
        <w:t>providing certain meteorological conditions are satisfied</w:t>
      </w:r>
    </w:p>
    <w:p w14:paraId="6C44A41D" w14:textId="77777777" w:rsidR="005752A8" w:rsidRPr="0072605B"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e</w:t>
      </w:r>
      <w:r w:rsidRPr="0072605B">
        <w:rPr>
          <w:i/>
          <w:sz w:val="20"/>
        </w:rPr>
        <w:t xml:space="preserve">xceedances on cold, calm winter days </w:t>
      </w:r>
      <w:r>
        <w:rPr>
          <w:i/>
          <w:sz w:val="20"/>
        </w:rPr>
        <w:t xml:space="preserve">are unlikely to </w:t>
      </w:r>
      <w:r w:rsidRPr="0072605B">
        <w:rPr>
          <w:i/>
          <w:sz w:val="20"/>
        </w:rPr>
        <w:t>be classified as exceptional (as there would normally</w:t>
      </w:r>
      <w:r>
        <w:rPr>
          <w:i/>
          <w:sz w:val="20"/>
        </w:rPr>
        <w:t xml:space="preserve"> be an exceedance at this time)</w:t>
      </w:r>
    </w:p>
    <w:p w14:paraId="2058E985" w14:textId="77777777" w:rsidR="005752A8" w:rsidRPr="00CC45B9"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e</w:t>
      </w:r>
      <w:r w:rsidRPr="00C05C0F">
        <w:rPr>
          <w:i/>
          <w:sz w:val="20"/>
        </w:rPr>
        <w:t xml:space="preserve">xceedances during winter that are not on cold, calm days </w:t>
      </w:r>
      <w:r>
        <w:rPr>
          <w:i/>
          <w:sz w:val="20"/>
        </w:rPr>
        <w:t>are likely to</w:t>
      </w:r>
      <w:r w:rsidRPr="00C05C0F">
        <w:rPr>
          <w:i/>
          <w:sz w:val="20"/>
        </w:rPr>
        <w:t xml:space="preserve"> be classified as exceptional (as exceedances do not usually occur during these conditions).</w:t>
      </w:r>
    </w:p>
    <w:p w14:paraId="0E0345E5" w14:textId="77777777" w:rsidR="005752A8" w:rsidRDefault="005752A8" w:rsidP="005752A8">
      <w:pPr>
        <w:pStyle w:val="Bullet"/>
        <w:tabs>
          <w:tab w:val="clear" w:pos="397"/>
        </w:tabs>
        <w:ind w:left="0" w:firstLine="0"/>
      </w:pPr>
    </w:p>
    <w:p w14:paraId="2E9D2CF9" w14:textId="77777777" w:rsidR="005752A8" w:rsidRPr="004174B9" w:rsidRDefault="005752A8" w:rsidP="00006C58">
      <w:pPr>
        <w:pStyle w:val="Heading5"/>
        <w:keepNext/>
        <w:spacing w:before="0"/>
      </w:pPr>
      <w:r w:rsidRPr="00B46937">
        <w:rPr>
          <w:rFonts w:ascii="Times New Roman" w:hAnsi="Times New Roman"/>
          <w:b/>
          <w:i w:val="0"/>
        </w:rPr>
        <w:t>Control – the circumstances were beyond the reasonable control of the regional council</w:t>
      </w:r>
    </w:p>
    <w:p w14:paraId="5ED30A92" w14:textId="77777777" w:rsidR="005752A8" w:rsidRDefault="005752A8" w:rsidP="005752A8">
      <w:r w:rsidRPr="004174B9">
        <w:t>All reasonable efforts by the regional council, or other parties responsible for the event</w:t>
      </w:r>
      <w:r>
        <w:t>s in question</w:t>
      </w:r>
      <w:r w:rsidRPr="004174B9">
        <w:t xml:space="preserve">, </w:t>
      </w:r>
      <w:r>
        <w:t>should</w:t>
      </w:r>
      <w:r w:rsidRPr="004174B9">
        <w:t xml:space="preserve"> have been taken to control the effects of th</w:t>
      </w:r>
      <w:r>
        <w:t xml:space="preserve">ose </w:t>
      </w:r>
      <w:r w:rsidRPr="004174B9">
        <w:t>event</w:t>
      </w:r>
      <w:r>
        <w:t>s</w:t>
      </w:r>
      <w:r w:rsidRPr="004174B9">
        <w:t xml:space="preserve">, or prevent the </w:t>
      </w:r>
      <w:r>
        <w:t>those events</w:t>
      </w:r>
      <w:r w:rsidR="0057042A">
        <w:t xml:space="preserve"> occurring in the first place. </w:t>
      </w:r>
      <w:r w:rsidRPr="004174B9">
        <w:t xml:space="preserve">Generally, unforeseeable emergencies and natural disasters </w:t>
      </w:r>
      <w:r>
        <w:t>cannot be</w:t>
      </w:r>
      <w:r w:rsidRPr="004174B9">
        <w:t xml:space="preserve"> prevented or controlled and </w:t>
      </w:r>
      <w:r>
        <w:t>are likely to satisfy</w:t>
      </w:r>
      <w:r w:rsidRPr="004174B9">
        <w:t xml:space="preserve"> this </w:t>
      </w:r>
      <w:r w:rsidRPr="00326C69">
        <w:t>criteri</w:t>
      </w:r>
      <w:r>
        <w:t>on</w:t>
      </w:r>
      <w:r w:rsidRPr="00326C69">
        <w:t>.</w:t>
      </w:r>
    </w:p>
    <w:p w14:paraId="61497321" w14:textId="77777777" w:rsidR="005752A8" w:rsidRPr="000968AB" w:rsidRDefault="005752A8" w:rsidP="005752A8"/>
    <w:p w14:paraId="59D2AF00" w14:textId="77777777" w:rsidR="005752A8" w:rsidRDefault="005752A8" w:rsidP="005752A8">
      <w:r w:rsidRPr="000968AB">
        <w:t xml:space="preserve">Under section 30(1)(f) of the RMA, the regional council has the function </w:t>
      </w:r>
      <w:r>
        <w:t xml:space="preserve">to </w:t>
      </w:r>
      <w:r w:rsidRPr="000968AB">
        <w:t>control discharges of contaminants into or onto land</w:t>
      </w:r>
      <w:r>
        <w:t>,</w:t>
      </w:r>
      <w:r w:rsidRPr="000968AB">
        <w:t xml:space="preserve"> air or water.</w:t>
      </w:r>
      <w:r>
        <w:t xml:space="preserve"> Councils</w:t>
      </w:r>
      <w:r w:rsidRPr="000968AB">
        <w:t xml:space="preserve"> </w:t>
      </w:r>
      <w:r>
        <w:t xml:space="preserve">can determine the types of activities that have the potential to cause exceedances of the air quality standards and consider options available to prevent or control discharges </w:t>
      </w:r>
      <w:r w:rsidRPr="000968AB">
        <w:t xml:space="preserve">to air from </w:t>
      </w:r>
      <w:r>
        <w:t xml:space="preserve">these activities (for example through rules and </w:t>
      </w:r>
      <w:r w:rsidRPr="000968AB">
        <w:t>resource consents</w:t>
      </w:r>
      <w:r>
        <w:t>)</w:t>
      </w:r>
      <w:r w:rsidRPr="000968AB">
        <w:t>.</w:t>
      </w:r>
    </w:p>
    <w:p w14:paraId="02907011" w14:textId="77777777" w:rsidR="005752A8" w:rsidRPr="004F651C" w:rsidRDefault="005752A8" w:rsidP="005752A8">
      <w:pPr>
        <w:pStyle w:val="Heading5"/>
        <w:keepNext/>
        <w:rPr>
          <w:b/>
        </w:rPr>
      </w:pPr>
      <w:r w:rsidRPr="00B46937">
        <w:rPr>
          <w:rFonts w:ascii="Times New Roman" w:hAnsi="Times New Roman"/>
          <w:b/>
          <w:i w:val="0"/>
        </w:rPr>
        <w:t xml:space="preserve">Foreseeability – </w:t>
      </w:r>
      <w:r w:rsidRPr="00B738F2">
        <w:rPr>
          <w:rFonts w:ascii="Times New Roman" w:hAnsi="Times New Roman"/>
          <w:b/>
          <w:bCs w:val="0"/>
          <w:i w:val="0"/>
          <w:szCs w:val="24"/>
        </w:rPr>
        <w:t>an assessment of whether the circumstances were able to be reasonably predicted and/or planned for</w:t>
      </w:r>
    </w:p>
    <w:p w14:paraId="7A27E037" w14:textId="77777777" w:rsidR="005752A8" w:rsidRDefault="005752A8" w:rsidP="005752A8">
      <w:r>
        <w:t>If the circumstances causing an exceedance were planned, and the discharge of the contaminant could reasonably be expected to result from the circumstances, then those circumstances are unlikely to be determined to be exceptional.</w:t>
      </w:r>
    </w:p>
    <w:p w14:paraId="66D185FB" w14:textId="77777777" w:rsidR="005752A8" w:rsidRDefault="005752A8" w:rsidP="005752A8"/>
    <w:p w14:paraId="0F0DE399" w14:textId="77777777" w:rsidR="005752A8" w:rsidRDefault="005752A8" w:rsidP="005752A8">
      <w:r>
        <w:t>However unplanned circumstances that could not reasonably be predicted or planned for would be likely to satisfy this criterion.</w:t>
      </w:r>
    </w:p>
    <w:p w14:paraId="22E13043" w14:textId="77777777" w:rsidR="005752A8" w:rsidRDefault="005752A8" w:rsidP="005752A8"/>
    <w:p w14:paraId="34053F5A" w14:textId="77777777" w:rsidR="005752A8" w:rsidRPr="001E3E02" w:rsidRDefault="005752A8" w:rsidP="003D7C8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1E3E02">
        <w:rPr>
          <w:rStyle w:val="SubtleEmphasis"/>
          <w:b/>
          <w:color w:val="auto"/>
          <w:sz w:val="20"/>
        </w:rPr>
        <w:t>Example 3.13</w:t>
      </w:r>
    </w:p>
    <w:p w14:paraId="485C1E56"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1E3E02">
        <w:rPr>
          <w:rStyle w:val="SubtleEmphasis"/>
          <w:color w:val="auto"/>
          <w:sz w:val="20"/>
        </w:rPr>
        <w:t>Rectangle Construction is undertaking controlled demolition of a large multi storey building. Monitoring of PM</w:t>
      </w:r>
      <w:r w:rsidRPr="001E3E02">
        <w:rPr>
          <w:rStyle w:val="SubtleEmphasis"/>
          <w:color w:val="auto"/>
          <w:sz w:val="20"/>
          <w:vertAlign w:val="subscript"/>
        </w:rPr>
        <w:t>10</w:t>
      </w:r>
      <w:r w:rsidRPr="001E3E02">
        <w:rPr>
          <w:rStyle w:val="SubtleEmphasis"/>
          <w:color w:val="auto"/>
          <w:sz w:val="20"/>
        </w:rPr>
        <w:t xml:space="preserve"> indicates that levels have exceeded the ambient standard of 50µg.m</w:t>
      </w:r>
      <w:r w:rsidRPr="001E3E02">
        <w:rPr>
          <w:rStyle w:val="SubtleEmphasis"/>
          <w:color w:val="auto"/>
          <w:sz w:val="20"/>
          <w:vertAlign w:val="superscript"/>
        </w:rPr>
        <w:t>-3</w:t>
      </w:r>
      <w:r w:rsidRPr="001E3E02">
        <w:rPr>
          <w:rStyle w:val="SubtleEmphasis"/>
          <w:color w:val="auto"/>
          <w:sz w:val="20"/>
        </w:rPr>
        <w:t xml:space="preserve"> with levels of between 55 and 60 µg.m</w:t>
      </w:r>
      <w:r w:rsidRPr="001E3E02">
        <w:rPr>
          <w:rStyle w:val="SubtleEmphasis"/>
          <w:color w:val="auto"/>
          <w:sz w:val="20"/>
          <w:vertAlign w:val="superscript"/>
        </w:rPr>
        <w:t>-3</w:t>
      </w:r>
      <w:r w:rsidRPr="001E3E02">
        <w:rPr>
          <w:rStyle w:val="SubtleEmphasis"/>
          <w:color w:val="auto"/>
          <w:sz w:val="20"/>
        </w:rPr>
        <w:t xml:space="preserve"> during a 4-day period during demolition. Investigation by the contractor and regional council staff determines that the cause of these four exceedances was inadequate dust control measures due to a failure of the water supply. Therefore:</w:t>
      </w:r>
    </w:p>
    <w:p w14:paraId="11049D64" w14:textId="77777777" w:rsidR="005752A8" w:rsidRPr="001E3E02"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7916B820"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exceedances are unlikely to be determined as caused by exceptional circumstances as the failure of the water supply for 4 days was reasonably foreseeable and preventable (a good management plan with backup water carts or other water sources should have been in place).</w:t>
      </w:r>
    </w:p>
    <w:p w14:paraId="77A2A9AB"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b/>
          <w:color w:val="auto"/>
          <w:sz w:val="20"/>
        </w:rPr>
      </w:pPr>
    </w:p>
    <w:p w14:paraId="365403AD" w14:textId="77777777" w:rsidR="005752A8" w:rsidRPr="001E3E02" w:rsidRDefault="005752A8" w:rsidP="003D7C8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1E3E02">
        <w:rPr>
          <w:rStyle w:val="SubtleEmphasis"/>
          <w:b/>
          <w:color w:val="auto"/>
          <w:sz w:val="20"/>
        </w:rPr>
        <w:t>Example 3.14</w:t>
      </w:r>
    </w:p>
    <w:p w14:paraId="501DD5BE"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sidRPr="001E3E02">
        <w:rPr>
          <w:rStyle w:val="SubtleEmphasis"/>
          <w:color w:val="auto"/>
          <w:sz w:val="20"/>
        </w:rPr>
        <w:t>Rectangle Construction is undertaking emergency demolition of a large multi storey building to prevent the buildings immediate collapse. Monitoring of PM</w:t>
      </w:r>
      <w:r w:rsidRPr="001E3E02">
        <w:rPr>
          <w:rStyle w:val="SubtleEmphasis"/>
          <w:color w:val="auto"/>
          <w:sz w:val="20"/>
          <w:vertAlign w:val="subscript"/>
        </w:rPr>
        <w:t>10</w:t>
      </w:r>
      <w:r w:rsidRPr="001E3E02">
        <w:rPr>
          <w:rStyle w:val="SubtleEmphasis"/>
          <w:color w:val="auto"/>
          <w:sz w:val="20"/>
        </w:rPr>
        <w:t xml:space="preserve"> indicates that PM</w:t>
      </w:r>
      <w:r w:rsidRPr="001E3E02">
        <w:rPr>
          <w:rStyle w:val="SubtleEmphasis"/>
          <w:color w:val="auto"/>
          <w:sz w:val="20"/>
          <w:vertAlign w:val="subscript"/>
        </w:rPr>
        <w:t>10</w:t>
      </w:r>
      <w:r w:rsidRPr="001E3E02">
        <w:rPr>
          <w:rStyle w:val="SubtleEmphasis"/>
          <w:color w:val="auto"/>
          <w:sz w:val="20"/>
        </w:rPr>
        <w:t xml:space="preserve"> levels have exceeded the ambient standard of 50 µg.m</w:t>
      </w:r>
      <w:r w:rsidRPr="001E3E02">
        <w:rPr>
          <w:rStyle w:val="SubtleEmphasis"/>
          <w:color w:val="auto"/>
          <w:sz w:val="20"/>
          <w:vertAlign w:val="superscript"/>
        </w:rPr>
        <w:t>-3</w:t>
      </w:r>
      <w:r w:rsidRPr="001E3E02">
        <w:rPr>
          <w:rStyle w:val="SubtleEmphasis"/>
          <w:color w:val="auto"/>
          <w:sz w:val="20"/>
        </w:rPr>
        <w:t xml:space="preserve"> with a level of 60 µg.m</w:t>
      </w:r>
      <w:r w:rsidRPr="001E3E02">
        <w:rPr>
          <w:rStyle w:val="SubtleEmphasis"/>
          <w:color w:val="auto"/>
          <w:sz w:val="20"/>
          <w:vertAlign w:val="superscript"/>
        </w:rPr>
        <w:t>-3</w:t>
      </w:r>
      <w:r w:rsidRPr="001E3E02">
        <w:rPr>
          <w:rStyle w:val="SubtleEmphasis"/>
          <w:color w:val="auto"/>
          <w:sz w:val="20"/>
        </w:rPr>
        <w:t xml:space="preserve"> on the day of demolition. Therefore:</w:t>
      </w:r>
    </w:p>
    <w:p w14:paraId="239DC852" w14:textId="77777777" w:rsidR="005752A8" w:rsidRPr="001E3E02"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771AB3A6" w14:textId="77777777" w:rsidR="005752A8" w:rsidRDefault="005752A8"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the exceedance is likely to be determined as caused by exceptional circumstances as the need for immediate demolition to protect public safety prevented dust suppression measures being implemented in time.</w:t>
      </w:r>
    </w:p>
    <w:p w14:paraId="566ADA8B" w14:textId="77777777" w:rsidR="005752A8" w:rsidRPr="001E3E02" w:rsidRDefault="005752A8" w:rsidP="005752A8">
      <w:pPr>
        <w:pBdr>
          <w:top w:val="single" w:sz="4" w:space="1" w:color="auto"/>
          <w:left w:val="single" w:sz="4" w:space="4" w:color="auto"/>
          <w:bottom w:val="single" w:sz="4" w:space="1" w:color="auto"/>
          <w:right w:val="single" w:sz="4" w:space="4" w:color="auto"/>
        </w:pBdr>
        <w:rPr>
          <w:rStyle w:val="SubtleEmphasis"/>
          <w:b/>
          <w:color w:val="auto"/>
          <w:sz w:val="20"/>
        </w:rPr>
      </w:pPr>
    </w:p>
    <w:p w14:paraId="5C4EEE6C" w14:textId="77777777" w:rsidR="005752A8" w:rsidRPr="001E3E02" w:rsidRDefault="005752A8" w:rsidP="003D7C8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1E3E02">
        <w:rPr>
          <w:rStyle w:val="SubtleEmphasis"/>
          <w:b/>
          <w:color w:val="auto"/>
          <w:sz w:val="20"/>
        </w:rPr>
        <w:t>Example 3.15</w:t>
      </w:r>
    </w:p>
    <w:p w14:paraId="5B1D7C99" w14:textId="77777777" w:rsidR="005752A8" w:rsidRPr="001E3E02" w:rsidRDefault="005752A8" w:rsidP="005752A8">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Ministry of Primary Industries</w:t>
      </w:r>
      <w:r w:rsidRPr="009C519E">
        <w:rPr>
          <w:rStyle w:val="SubtleEmphasis"/>
          <w:color w:val="auto"/>
          <w:sz w:val="20"/>
        </w:rPr>
        <w:t xml:space="preserve"> (</w:t>
      </w:r>
      <w:r>
        <w:rPr>
          <w:rStyle w:val="SubtleEmphasis"/>
          <w:color w:val="auto"/>
          <w:sz w:val="20"/>
        </w:rPr>
        <w:t>MPI</w:t>
      </w:r>
      <w:r w:rsidRPr="009C519E">
        <w:rPr>
          <w:rStyle w:val="SubtleEmphasis"/>
          <w:color w:val="auto"/>
          <w:sz w:val="20"/>
        </w:rPr>
        <w:t>) is undertaking an emergency carcass destruction to prevent an outbreak of foot and mouth disease. The open fire causes elevated PM</w:t>
      </w:r>
      <w:r w:rsidRPr="009C519E">
        <w:rPr>
          <w:rStyle w:val="SubtleEmphasis"/>
          <w:color w:val="auto"/>
          <w:sz w:val="20"/>
          <w:vertAlign w:val="subscript"/>
        </w:rPr>
        <w:t>10</w:t>
      </w:r>
      <w:r w:rsidRPr="009C519E">
        <w:rPr>
          <w:rStyle w:val="SubtleEmphasis"/>
          <w:color w:val="auto"/>
          <w:sz w:val="20"/>
        </w:rPr>
        <w:t xml:space="preserve"> levels of between 60 and 70 </w:t>
      </w:r>
      <w:r>
        <w:rPr>
          <w:rStyle w:val="SubtleEmphasis"/>
          <w:color w:val="auto"/>
          <w:sz w:val="20"/>
        </w:rPr>
        <w:t>µ</w:t>
      </w:r>
      <w:r w:rsidRPr="009C519E">
        <w:rPr>
          <w:rStyle w:val="SubtleEmphasis"/>
          <w:color w:val="auto"/>
          <w:sz w:val="20"/>
        </w:rPr>
        <w:t>g.m</w:t>
      </w:r>
      <w:r w:rsidRPr="009C519E">
        <w:rPr>
          <w:rStyle w:val="SubtleEmphasis"/>
          <w:color w:val="auto"/>
          <w:sz w:val="20"/>
          <w:vertAlign w:val="superscript"/>
        </w:rPr>
        <w:t>-3</w:t>
      </w:r>
      <w:r w:rsidRPr="009C519E">
        <w:rPr>
          <w:rStyle w:val="SubtleEmphasis"/>
          <w:color w:val="auto"/>
          <w:sz w:val="20"/>
        </w:rPr>
        <w:t xml:space="preserve"> (24-hour average) for three 24-hour periods in the </w:t>
      </w:r>
      <w:r>
        <w:rPr>
          <w:rStyle w:val="SubtleEmphasis"/>
          <w:color w:val="auto"/>
          <w:sz w:val="20"/>
        </w:rPr>
        <w:t>Morepork</w:t>
      </w:r>
      <w:r w:rsidRPr="009C519E">
        <w:rPr>
          <w:rStyle w:val="SubtleEmphasis"/>
          <w:color w:val="auto"/>
          <w:sz w:val="20"/>
        </w:rPr>
        <w:t xml:space="preserve"> Airshed of the </w:t>
      </w:r>
      <w:r>
        <w:rPr>
          <w:rStyle w:val="SubtleEmphasis"/>
          <w:color w:val="auto"/>
          <w:sz w:val="20"/>
        </w:rPr>
        <w:t>Beech</w:t>
      </w:r>
      <w:r w:rsidRPr="009C519E">
        <w:rPr>
          <w:rStyle w:val="SubtleEmphasis"/>
          <w:color w:val="auto"/>
          <w:sz w:val="20"/>
        </w:rPr>
        <w:t xml:space="preserve"> Regional Council. The </w:t>
      </w:r>
      <w:r>
        <w:rPr>
          <w:rStyle w:val="SubtleEmphasis"/>
          <w:color w:val="auto"/>
          <w:sz w:val="20"/>
        </w:rPr>
        <w:t>Morepork</w:t>
      </w:r>
      <w:r w:rsidRPr="009C519E">
        <w:rPr>
          <w:rStyle w:val="SubtleEmphasis"/>
          <w:color w:val="auto"/>
          <w:sz w:val="20"/>
        </w:rPr>
        <w:t xml:space="preserve"> Airshed has already breached the PM</w:t>
      </w:r>
      <w:r w:rsidRPr="009C519E">
        <w:rPr>
          <w:rStyle w:val="SubtleEmphasis"/>
          <w:color w:val="auto"/>
          <w:sz w:val="20"/>
          <w:vertAlign w:val="subscript"/>
        </w:rPr>
        <w:t>10</w:t>
      </w:r>
      <w:r w:rsidRPr="009C519E">
        <w:rPr>
          <w:rStyle w:val="SubtleEmphasis"/>
          <w:color w:val="auto"/>
          <w:sz w:val="20"/>
        </w:rPr>
        <w:t xml:space="preserve"> standard in the last 12 months. </w:t>
      </w:r>
      <w:r>
        <w:rPr>
          <w:rStyle w:val="SubtleEmphasis"/>
          <w:color w:val="auto"/>
          <w:sz w:val="20"/>
        </w:rPr>
        <w:t>MPI</w:t>
      </w:r>
      <w:r w:rsidRPr="009C519E">
        <w:rPr>
          <w:rStyle w:val="SubtleEmphasis"/>
          <w:color w:val="auto"/>
          <w:sz w:val="20"/>
        </w:rPr>
        <w:t xml:space="preserve"> invokes the emergency provisions under Part 6 of the Biosecurity Act 1993. Therefo</w:t>
      </w:r>
      <w:r w:rsidRPr="001E3E02">
        <w:rPr>
          <w:rStyle w:val="SubtleEmphasis"/>
          <w:color w:val="auto"/>
          <w:sz w:val="20"/>
        </w:rPr>
        <w:t xml:space="preserve">re: </w:t>
      </w:r>
    </w:p>
    <w:p w14:paraId="1541F1D8" w14:textId="77777777" w:rsidR="005752A8" w:rsidRPr="001E3E02" w:rsidRDefault="005752A8" w:rsidP="005752A8">
      <w:pPr>
        <w:pBdr>
          <w:top w:val="single" w:sz="4" w:space="1" w:color="auto"/>
          <w:left w:val="single" w:sz="4" w:space="4" w:color="auto"/>
          <w:bottom w:val="single" w:sz="4" w:space="1" w:color="auto"/>
          <w:right w:val="single" w:sz="4" w:space="4" w:color="auto"/>
        </w:pBdr>
        <w:rPr>
          <w:rStyle w:val="SubtleEmphasis"/>
          <w:color w:val="auto"/>
          <w:sz w:val="20"/>
        </w:rPr>
      </w:pPr>
    </w:p>
    <w:p w14:paraId="1DE7B367" w14:textId="77777777" w:rsidR="005752A8" w:rsidRDefault="003D7C8B"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005752A8" w:rsidRPr="00326C69">
        <w:rPr>
          <w:i/>
          <w:sz w:val="20"/>
        </w:rPr>
        <w:t xml:space="preserve">he </w:t>
      </w:r>
      <w:r>
        <w:rPr>
          <w:i/>
          <w:sz w:val="20"/>
        </w:rPr>
        <w:t>Regulations do not apply</w:t>
      </w:r>
    </w:p>
    <w:p w14:paraId="5CDA3847" w14:textId="77777777" w:rsidR="005752A8" w:rsidRPr="00835D12" w:rsidRDefault="003D7C8B" w:rsidP="005752A8">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i</w:t>
      </w:r>
      <w:r w:rsidR="005752A8">
        <w:rPr>
          <w:i/>
          <w:sz w:val="20"/>
        </w:rPr>
        <w:t>t</w:t>
      </w:r>
      <w:r w:rsidR="005752A8" w:rsidRPr="00835D12">
        <w:rPr>
          <w:i/>
          <w:sz w:val="20"/>
        </w:rPr>
        <w:t xml:space="preserve"> is not mandatory to notify the breaches under Regulation 16</w:t>
      </w:r>
      <w:r w:rsidR="005752A8">
        <w:rPr>
          <w:i/>
          <w:sz w:val="20"/>
        </w:rPr>
        <w:t>. H</w:t>
      </w:r>
      <w:r w:rsidR="005752A8" w:rsidRPr="00835D12">
        <w:rPr>
          <w:i/>
          <w:sz w:val="20"/>
        </w:rPr>
        <w:t>owever</w:t>
      </w:r>
      <w:r w:rsidR="005752A8">
        <w:rPr>
          <w:i/>
          <w:sz w:val="20"/>
        </w:rPr>
        <w:t xml:space="preserve"> </w:t>
      </w:r>
      <w:r w:rsidR="005752A8" w:rsidRPr="00835D12">
        <w:rPr>
          <w:i/>
          <w:sz w:val="20"/>
        </w:rPr>
        <w:t xml:space="preserve">the </w:t>
      </w:r>
      <w:r w:rsidR="005752A8">
        <w:rPr>
          <w:i/>
          <w:sz w:val="20"/>
        </w:rPr>
        <w:t>Beech</w:t>
      </w:r>
      <w:r w:rsidR="005752A8" w:rsidRPr="00835D12">
        <w:rPr>
          <w:i/>
          <w:sz w:val="20"/>
        </w:rPr>
        <w:t xml:space="preserve"> Regional Council can still choose to notify the three breaches in the interests of full public disclosure.</w:t>
      </w:r>
    </w:p>
    <w:p w14:paraId="3AADEF09" w14:textId="77777777" w:rsidR="005752A8" w:rsidRPr="00EE3EE1" w:rsidRDefault="005752A8" w:rsidP="005752A8">
      <w:pPr>
        <w:pBdr>
          <w:top w:val="single" w:sz="4" w:space="1" w:color="auto"/>
          <w:left w:val="single" w:sz="4" w:space="4" w:color="auto"/>
          <w:bottom w:val="single" w:sz="4" w:space="1" w:color="auto"/>
          <w:right w:val="single" w:sz="4" w:space="4" w:color="auto"/>
        </w:pBdr>
        <w:tabs>
          <w:tab w:val="left" w:pos="284"/>
        </w:tabs>
        <w:rPr>
          <w:i/>
          <w:sz w:val="20"/>
        </w:rPr>
      </w:pPr>
    </w:p>
    <w:p w14:paraId="3DB7EDAF" w14:textId="77777777" w:rsidR="005752A8" w:rsidRDefault="005752A8" w:rsidP="005752A8"/>
    <w:p w14:paraId="54261C01" w14:textId="77777777" w:rsidR="005752A8" w:rsidRDefault="005752A8" w:rsidP="00170A39">
      <w:pPr>
        <w:pStyle w:val="Heading5"/>
        <w:spacing w:before="0"/>
      </w:pPr>
      <w:r w:rsidRPr="00B46937">
        <w:rPr>
          <w:rFonts w:ascii="Times New Roman" w:hAnsi="Times New Roman"/>
          <w:b/>
          <w:i w:val="0"/>
        </w:rPr>
        <w:t xml:space="preserve">Frequency and likelihood of reoccurrence – </w:t>
      </w:r>
      <w:r w:rsidRPr="00B738F2">
        <w:rPr>
          <w:rFonts w:ascii="Times New Roman" w:hAnsi="Times New Roman"/>
          <w:b/>
          <w:bCs w:val="0"/>
          <w:i w:val="0"/>
          <w:szCs w:val="24"/>
        </w:rPr>
        <w:t>an assessment of how unusual the events were</w:t>
      </w:r>
      <w:r w:rsidRPr="00B46937">
        <w:rPr>
          <w:rFonts w:ascii="Times New Roman" w:hAnsi="Times New Roman"/>
          <w:b/>
          <w:i w:val="0"/>
        </w:rPr>
        <w:t xml:space="preserve"> </w:t>
      </w:r>
    </w:p>
    <w:p w14:paraId="550D2C80" w14:textId="77777777" w:rsidR="005752A8" w:rsidRPr="0014637B" w:rsidRDefault="005752A8" w:rsidP="005752A8">
      <w:r w:rsidRPr="0014637B">
        <w:t xml:space="preserve">The majority of exceptional </w:t>
      </w:r>
      <w:r>
        <w:t xml:space="preserve">circumstances </w:t>
      </w:r>
      <w:r w:rsidRPr="0014637B">
        <w:t>are likely to be relat</w:t>
      </w:r>
      <w:r>
        <w:t>ed</w:t>
      </w:r>
      <w:r w:rsidRPr="0014637B">
        <w:t xml:space="preserve"> to a natural disaster or extreme</w:t>
      </w:r>
      <w:r>
        <w:t xml:space="preserve"> weather event</w:t>
      </w:r>
      <w:r w:rsidR="0057042A">
        <w:t xml:space="preserve">. </w:t>
      </w:r>
      <w:r w:rsidRPr="0014637B">
        <w:t xml:space="preserve">However, some human (anthropogenic) activities may </w:t>
      </w:r>
      <w:r>
        <w:t xml:space="preserve">be </w:t>
      </w:r>
      <w:r w:rsidRPr="0014637B">
        <w:t xml:space="preserve">exceptional </w:t>
      </w:r>
      <w:r>
        <w:t>circumstances. Often</w:t>
      </w:r>
      <w:r w:rsidRPr="0014637B">
        <w:t xml:space="preserve"> exceptional </w:t>
      </w:r>
      <w:r>
        <w:t>circumstances</w:t>
      </w:r>
      <w:r w:rsidRPr="0014637B">
        <w:t xml:space="preserve"> will relate to an emergency situation such as those declared by Ministry </w:t>
      </w:r>
      <w:r>
        <w:t>for Primary Industries</w:t>
      </w:r>
      <w:r w:rsidRPr="0014637B">
        <w:t>, Ministry of Defence, or Civil Defence authorities during a ‘State of Emergency’.</w:t>
      </w:r>
      <w:r>
        <w:t xml:space="preserve"> In such cases, the emergency provisions of the RMA are likely to be invoked and the Regulations will not apply.</w:t>
      </w:r>
    </w:p>
    <w:p w14:paraId="7571180B" w14:textId="77777777" w:rsidR="005752A8" w:rsidRPr="0014637B" w:rsidRDefault="005752A8" w:rsidP="005752A8"/>
    <w:p w14:paraId="0EB44D45" w14:textId="77777777" w:rsidR="00F30214" w:rsidRDefault="00F30214">
      <w:pPr>
        <w:jc w:val="left"/>
      </w:pPr>
      <w:r>
        <w:br w:type="page"/>
      </w:r>
    </w:p>
    <w:p w14:paraId="3604F981" w14:textId="77777777" w:rsidR="005752A8" w:rsidRPr="0014637B" w:rsidRDefault="005752A8" w:rsidP="005752A8">
      <w:r>
        <w:t>Some examples of natural dis</w:t>
      </w:r>
      <w:r w:rsidRPr="0014637B">
        <w:t>asters and extremes are:</w:t>
      </w:r>
    </w:p>
    <w:p w14:paraId="77E48E7F" w14:textId="77777777" w:rsidR="005752A8" w:rsidRDefault="005752A8" w:rsidP="005752A8">
      <w:pPr>
        <w:pStyle w:val="Bullet"/>
        <w:numPr>
          <w:ilvl w:val="0"/>
          <w:numId w:val="6"/>
        </w:numPr>
        <w:ind w:left="426" w:hanging="426"/>
      </w:pPr>
      <w:r w:rsidRPr="0014637B">
        <w:t>extreme high wind events including tornados</w:t>
      </w:r>
    </w:p>
    <w:p w14:paraId="163B86AA" w14:textId="77777777" w:rsidR="005752A8" w:rsidRDefault="005752A8" w:rsidP="005752A8">
      <w:pPr>
        <w:pStyle w:val="Bullet"/>
        <w:numPr>
          <w:ilvl w:val="0"/>
          <w:numId w:val="6"/>
        </w:numPr>
        <w:ind w:left="426" w:hanging="426"/>
      </w:pPr>
      <w:r>
        <w:t xml:space="preserve">dust storms from Australia </w:t>
      </w:r>
    </w:p>
    <w:p w14:paraId="04A9EA39" w14:textId="77777777" w:rsidR="005752A8" w:rsidRDefault="005752A8" w:rsidP="005752A8">
      <w:pPr>
        <w:pStyle w:val="Bullet"/>
        <w:numPr>
          <w:ilvl w:val="0"/>
          <w:numId w:val="6"/>
        </w:numPr>
        <w:ind w:left="426" w:hanging="426"/>
      </w:pPr>
      <w:r>
        <w:t>prolonged or severe drought conditions</w:t>
      </w:r>
    </w:p>
    <w:p w14:paraId="058B449C" w14:textId="77777777" w:rsidR="005752A8" w:rsidRDefault="005752A8" w:rsidP="005752A8">
      <w:pPr>
        <w:pStyle w:val="Bullet"/>
        <w:numPr>
          <w:ilvl w:val="0"/>
          <w:numId w:val="6"/>
        </w:numPr>
        <w:ind w:left="426" w:hanging="426"/>
      </w:pPr>
      <w:r>
        <w:t>wild bush fires</w:t>
      </w:r>
    </w:p>
    <w:p w14:paraId="4AD3B51E" w14:textId="77777777" w:rsidR="005752A8" w:rsidRDefault="005752A8" w:rsidP="005752A8">
      <w:pPr>
        <w:pStyle w:val="Bullet"/>
        <w:numPr>
          <w:ilvl w:val="0"/>
          <w:numId w:val="6"/>
        </w:numPr>
        <w:ind w:left="426" w:hanging="426"/>
      </w:pPr>
      <w:r>
        <w:t>volcanic, geothermal and seismic (earthquake) activity</w:t>
      </w:r>
    </w:p>
    <w:p w14:paraId="36D80C54" w14:textId="77777777" w:rsidR="005752A8" w:rsidRDefault="005752A8" w:rsidP="005752A8">
      <w:pPr>
        <w:pStyle w:val="Bullet"/>
        <w:numPr>
          <w:ilvl w:val="0"/>
          <w:numId w:val="6"/>
        </w:numPr>
        <w:ind w:left="426" w:hanging="426"/>
      </w:pPr>
      <w:r>
        <w:t xml:space="preserve">sea salt and </w:t>
      </w:r>
      <w:r w:rsidRPr="0014637B">
        <w:t>pollen</w:t>
      </w:r>
      <w:r w:rsidRPr="0014637B">
        <w:rPr>
          <w:rStyle w:val="FootnoteReference"/>
        </w:rPr>
        <w:footnoteReference w:id="10"/>
      </w:r>
      <w:r w:rsidR="00866F64">
        <w:t>.</w:t>
      </w:r>
    </w:p>
    <w:p w14:paraId="195DB07C" w14:textId="77777777" w:rsidR="005752A8" w:rsidRPr="0014637B" w:rsidRDefault="005752A8" w:rsidP="005752A8"/>
    <w:p w14:paraId="3A4840D7" w14:textId="77777777" w:rsidR="005752A8" w:rsidRDefault="005752A8" w:rsidP="005752A8">
      <w:r>
        <w:t>A</w:t>
      </w:r>
      <w:r w:rsidRPr="0014637B">
        <w:t xml:space="preserve"> key proviso with anthropogenic events and extremes is that they are unlikely to recur at that location again (ie</w:t>
      </w:r>
      <w:r>
        <w:t>,</w:t>
      </w:r>
      <w:r w:rsidRPr="0014637B">
        <w:t xml:space="preserve"> they are unlikely to happen again under similar circumstances in a similar area).</w:t>
      </w:r>
    </w:p>
    <w:p w14:paraId="00EC5000" w14:textId="77777777" w:rsidR="005752A8" w:rsidRPr="0014637B" w:rsidRDefault="005752A8" w:rsidP="005752A8"/>
    <w:p w14:paraId="04C5C5F4" w14:textId="77777777" w:rsidR="005752A8" w:rsidRPr="0014637B" w:rsidRDefault="005752A8" w:rsidP="005752A8">
      <w:r w:rsidRPr="0014637B">
        <w:t xml:space="preserve">Some examples of anthropogenic induced exceptional </w:t>
      </w:r>
      <w:r>
        <w:t>circumstances</w:t>
      </w:r>
      <w:r w:rsidRPr="0014637B">
        <w:t xml:space="preserve"> are:</w:t>
      </w:r>
    </w:p>
    <w:p w14:paraId="3247CCBA" w14:textId="77777777" w:rsidR="005752A8" w:rsidRPr="0014637B" w:rsidRDefault="005752A8" w:rsidP="005752A8">
      <w:pPr>
        <w:pStyle w:val="Bullet"/>
        <w:numPr>
          <w:ilvl w:val="0"/>
          <w:numId w:val="6"/>
        </w:numPr>
        <w:ind w:left="426" w:hanging="426"/>
      </w:pPr>
      <w:r w:rsidRPr="0014637B">
        <w:t>terrorist attacks</w:t>
      </w:r>
    </w:p>
    <w:p w14:paraId="0785CB8E" w14:textId="77777777" w:rsidR="005752A8" w:rsidRPr="0014637B" w:rsidRDefault="005752A8" w:rsidP="005752A8">
      <w:pPr>
        <w:pStyle w:val="Bullet"/>
        <w:numPr>
          <w:ilvl w:val="0"/>
          <w:numId w:val="6"/>
        </w:numPr>
        <w:ind w:left="426" w:hanging="426"/>
      </w:pPr>
      <w:r>
        <w:t xml:space="preserve">accidental </w:t>
      </w:r>
      <w:r w:rsidRPr="0014637B">
        <w:t>property fires</w:t>
      </w:r>
    </w:p>
    <w:p w14:paraId="32DEC1D1" w14:textId="77777777" w:rsidR="005752A8" w:rsidRPr="0014637B" w:rsidRDefault="005752A8" w:rsidP="005752A8">
      <w:pPr>
        <w:pStyle w:val="Bullet"/>
        <w:numPr>
          <w:ilvl w:val="0"/>
          <w:numId w:val="6"/>
        </w:numPr>
        <w:ind w:left="426" w:hanging="426"/>
      </w:pPr>
      <w:r w:rsidRPr="0014637B">
        <w:t>emergency property demolition</w:t>
      </w:r>
    </w:p>
    <w:p w14:paraId="26BE4C1A" w14:textId="77777777" w:rsidR="005752A8" w:rsidRPr="0014637B" w:rsidRDefault="005752A8" w:rsidP="005752A8">
      <w:pPr>
        <w:pStyle w:val="Bullet"/>
        <w:numPr>
          <w:ilvl w:val="0"/>
          <w:numId w:val="6"/>
        </w:numPr>
        <w:ind w:left="426" w:hanging="426"/>
      </w:pPr>
      <w:r w:rsidRPr="0014637B">
        <w:t>industrial accidents.</w:t>
      </w:r>
    </w:p>
    <w:p w14:paraId="6D7A431E" w14:textId="77777777" w:rsidR="005752A8" w:rsidRDefault="005752A8" w:rsidP="005752A8">
      <w:pPr>
        <w:pStyle w:val="Bullet"/>
        <w:tabs>
          <w:tab w:val="clear" w:pos="397"/>
        </w:tabs>
        <w:spacing w:before="0"/>
      </w:pPr>
    </w:p>
    <w:p w14:paraId="066DCAE7" w14:textId="77777777" w:rsidR="005752A8" w:rsidRPr="0014637B" w:rsidRDefault="005752A8" w:rsidP="005752A8">
      <w:pPr>
        <w:pStyle w:val="Bullet"/>
        <w:tabs>
          <w:tab w:val="clear" w:pos="397"/>
        </w:tabs>
        <w:spacing w:before="0"/>
      </w:pPr>
      <w:r w:rsidRPr="0014637B">
        <w:t>A</w:t>
      </w:r>
      <w:r>
        <w:t>nthropologic a</w:t>
      </w:r>
      <w:r w:rsidRPr="0014637B">
        <w:t xml:space="preserve">ctivities that </w:t>
      </w:r>
      <w:r>
        <w:t xml:space="preserve">are unlikely to be considered exceptional circumstances </w:t>
      </w:r>
      <w:r w:rsidRPr="0014637B">
        <w:t>include:</w:t>
      </w:r>
    </w:p>
    <w:p w14:paraId="3D0DB87D" w14:textId="77777777" w:rsidR="005752A8" w:rsidRPr="0014637B" w:rsidRDefault="005752A8" w:rsidP="005752A8">
      <w:pPr>
        <w:pStyle w:val="Bullet"/>
        <w:numPr>
          <w:ilvl w:val="0"/>
          <w:numId w:val="6"/>
        </w:numPr>
        <w:ind w:left="426" w:hanging="426"/>
      </w:pPr>
      <w:r w:rsidRPr="0014637B">
        <w:t>controlled burn-offs and open burning</w:t>
      </w:r>
    </w:p>
    <w:p w14:paraId="526B7291" w14:textId="77777777" w:rsidR="005752A8" w:rsidRPr="0014637B" w:rsidRDefault="005752A8" w:rsidP="005752A8">
      <w:pPr>
        <w:pStyle w:val="Bullet"/>
        <w:numPr>
          <w:ilvl w:val="0"/>
          <w:numId w:val="6"/>
        </w:numPr>
        <w:ind w:left="426" w:hanging="426"/>
      </w:pPr>
      <w:r w:rsidRPr="0014637B">
        <w:t>sulphur dioxide emissions from vessels docked at port</w:t>
      </w:r>
    </w:p>
    <w:p w14:paraId="7F1718BC" w14:textId="77777777" w:rsidR="005752A8" w:rsidRPr="0014637B" w:rsidRDefault="005752A8" w:rsidP="005752A8">
      <w:pPr>
        <w:pStyle w:val="Bullet"/>
        <w:numPr>
          <w:ilvl w:val="0"/>
          <w:numId w:val="6"/>
        </w:numPr>
        <w:ind w:left="426" w:hanging="426"/>
      </w:pPr>
      <w:r>
        <w:t>traffic congestion including that caused by roadworks</w:t>
      </w:r>
    </w:p>
    <w:p w14:paraId="341CF25D" w14:textId="77777777" w:rsidR="005752A8" w:rsidRPr="0014637B" w:rsidRDefault="005752A8" w:rsidP="005752A8">
      <w:pPr>
        <w:pStyle w:val="Bullet"/>
        <w:numPr>
          <w:ilvl w:val="0"/>
          <w:numId w:val="6"/>
        </w:numPr>
        <w:ind w:left="426" w:hanging="426"/>
      </w:pPr>
      <w:r w:rsidRPr="0014637B">
        <w:t>large scale earthworks</w:t>
      </w:r>
      <w:r>
        <w:t>.</w:t>
      </w:r>
    </w:p>
    <w:p w14:paraId="558A9C3F" w14:textId="77777777" w:rsidR="005752A8" w:rsidRDefault="005752A8" w:rsidP="005752A8">
      <w:pPr>
        <w:pStyle w:val="Bullet"/>
        <w:tabs>
          <w:tab w:val="clear" w:pos="397"/>
        </w:tabs>
        <w:spacing w:before="0"/>
        <w:ind w:left="0" w:firstLine="0"/>
      </w:pPr>
    </w:p>
    <w:p w14:paraId="4198FB26" w14:textId="77777777" w:rsidR="005752A8" w:rsidRPr="0014637B" w:rsidRDefault="005752A8" w:rsidP="005752A8">
      <w:pPr>
        <w:pStyle w:val="Bullet"/>
        <w:tabs>
          <w:tab w:val="clear" w:pos="397"/>
        </w:tabs>
        <w:spacing w:before="0"/>
        <w:ind w:left="0" w:firstLine="0"/>
      </w:pPr>
      <w:r w:rsidRPr="0014637B">
        <w:t xml:space="preserve">Monitors may also be subjected to localised impacts that could constitute exceptional </w:t>
      </w:r>
      <w:r>
        <w:t>circumstances</w:t>
      </w:r>
      <w:r w:rsidRPr="0014637B">
        <w:t xml:space="preserve">.  Some </w:t>
      </w:r>
      <w:r>
        <w:t xml:space="preserve">possible </w:t>
      </w:r>
      <w:r w:rsidRPr="0014637B">
        <w:t>examples include:</w:t>
      </w:r>
    </w:p>
    <w:p w14:paraId="24E7A79D" w14:textId="77777777" w:rsidR="005752A8" w:rsidRDefault="005752A8" w:rsidP="005752A8">
      <w:pPr>
        <w:pStyle w:val="Bullet"/>
        <w:numPr>
          <w:ilvl w:val="0"/>
          <w:numId w:val="6"/>
        </w:numPr>
        <w:ind w:left="426" w:hanging="426"/>
      </w:pPr>
      <w:r>
        <w:t>a motor vehicle idling under/near a monitor intake (eg, NO</w:t>
      </w:r>
      <w:r w:rsidRPr="0072605B">
        <w:rPr>
          <w:vertAlign w:val="subscript"/>
        </w:rPr>
        <w:t>2</w:t>
      </w:r>
      <w:r>
        <w:t xml:space="preserve"> 1-hour average) provided the monitor was not located near an area where vehicles could legally park</w:t>
      </w:r>
    </w:p>
    <w:p w14:paraId="6615FE76" w14:textId="77777777" w:rsidR="005752A8" w:rsidRDefault="005752A8" w:rsidP="005752A8">
      <w:pPr>
        <w:pStyle w:val="Bullet"/>
        <w:numPr>
          <w:ilvl w:val="0"/>
          <w:numId w:val="6"/>
        </w:numPr>
        <w:ind w:left="426" w:hanging="426"/>
      </w:pPr>
      <w:r>
        <w:t xml:space="preserve">extreme traffic congestion </w:t>
      </w:r>
      <w:r w:rsidRPr="0014637B">
        <w:t>due to an unforeseeable emergency such as a plane crash closing the Auckland Harbour Bridge</w:t>
      </w:r>
      <w:r>
        <w:t>.</w:t>
      </w:r>
    </w:p>
    <w:p w14:paraId="74CFD931" w14:textId="77777777" w:rsidR="005752A8" w:rsidRDefault="005752A8" w:rsidP="005752A8">
      <w:pPr>
        <w:pStyle w:val="Bullet"/>
        <w:tabs>
          <w:tab w:val="clear" w:pos="397"/>
        </w:tabs>
        <w:spacing w:before="0"/>
      </w:pPr>
    </w:p>
    <w:p w14:paraId="64CC3551" w14:textId="77777777" w:rsidR="005752A8" w:rsidRDefault="005752A8" w:rsidP="005752A8">
      <w:pPr>
        <w:pStyle w:val="Bullet"/>
        <w:tabs>
          <w:tab w:val="clear" w:pos="397"/>
        </w:tabs>
        <w:spacing w:before="0"/>
      </w:pPr>
      <w:r>
        <w:t>However exceptional circumstances are unlikely to occur due to:</w:t>
      </w:r>
    </w:p>
    <w:p w14:paraId="092662D5" w14:textId="77777777" w:rsidR="005752A8" w:rsidRDefault="005752A8" w:rsidP="005752A8">
      <w:pPr>
        <w:pStyle w:val="Bullet"/>
        <w:numPr>
          <w:ilvl w:val="0"/>
          <w:numId w:val="6"/>
        </w:numPr>
        <w:ind w:left="426" w:hanging="426"/>
      </w:pPr>
      <w:r>
        <w:t>inadequate monitoring qua</w:t>
      </w:r>
      <w:r w:rsidR="0057042A">
        <w:t xml:space="preserve">lity assurance or calibration. </w:t>
      </w:r>
      <w:r>
        <w:t xml:space="preserve">A monitor should be regularly maintained in accordance with the manufacturer’s instructions and have robust QA/QC undertaken on it to ensure that exceedances are not a fault of the monitor (eg, zero drift).  Further information on monitoring quality assurance is given in the </w:t>
      </w:r>
      <w:r w:rsidRPr="009B2598">
        <w:t>Good Practice Guide for Air Quality Monitoring and Data Management</w:t>
      </w:r>
      <w:r>
        <w:t xml:space="preserve"> (</w:t>
      </w:r>
      <w:r w:rsidRPr="009B2598">
        <w:t>MfE, 2009a</w:t>
      </w:r>
      <w:r>
        <w:t>).</w:t>
      </w:r>
    </w:p>
    <w:p w14:paraId="20AA4944" w14:textId="77777777" w:rsidR="005752A8" w:rsidRDefault="005752A8" w:rsidP="005752A8">
      <w:pPr>
        <w:pStyle w:val="Bullet"/>
        <w:numPr>
          <w:ilvl w:val="0"/>
          <w:numId w:val="6"/>
        </w:numPr>
        <w:ind w:left="426" w:hanging="426"/>
      </w:pPr>
      <w:r>
        <w:t>placement of a monitor close to a large source for example, a monitor being placed on a cycleway next to a motorway (as people are likely to be exposed here).</w:t>
      </w:r>
    </w:p>
    <w:p w14:paraId="3FC97EE9" w14:textId="77777777" w:rsidR="005752A8" w:rsidRPr="00844266" w:rsidRDefault="005752A8" w:rsidP="005752A8">
      <w:pPr>
        <w:pStyle w:val="Heading5"/>
      </w:pPr>
      <w:r w:rsidRPr="00B46937">
        <w:rPr>
          <w:rFonts w:ascii="Times New Roman" w:hAnsi="Times New Roman"/>
          <w:b/>
          <w:i w:val="0"/>
        </w:rPr>
        <w:t xml:space="preserve">Purpose of the RMA – </w:t>
      </w:r>
      <w:r w:rsidRPr="00B738F2">
        <w:rPr>
          <w:rFonts w:ascii="Times New Roman" w:hAnsi="Times New Roman"/>
          <w:b/>
          <w:bCs w:val="0"/>
          <w:i w:val="0"/>
          <w:szCs w:val="24"/>
        </w:rPr>
        <w:t>whether a determination that circumstances were exceptional is consistent with the purpose of the RMA</w:t>
      </w:r>
    </w:p>
    <w:p w14:paraId="301675E1" w14:textId="77777777" w:rsidR="005752A8" w:rsidRDefault="005752A8" w:rsidP="005752A8">
      <w:r w:rsidRPr="00BF7CCB">
        <w:t>The purpose of the RMA is to promote the sustainable management of natural and physical resources. In the context of air, this includes managing the use and protection of air in a way which enables people and communities to provide for their social and economic wellbeing, while safeguarding the life supporting capacity of that air and avoiding</w:t>
      </w:r>
      <w:r>
        <w:t>, remedying</w:t>
      </w:r>
      <w:r w:rsidRPr="00BF7CCB">
        <w:t xml:space="preserve"> or mitigating adverse effects of activities on air quality.</w:t>
      </w:r>
    </w:p>
    <w:p w14:paraId="68B50C48" w14:textId="77777777" w:rsidR="005752A8" w:rsidRPr="00BF7CCB" w:rsidRDefault="005752A8" w:rsidP="005752A8"/>
    <w:p w14:paraId="04A5144E" w14:textId="77777777" w:rsidR="005752A8" w:rsidRPr="00BF7CCB" w:rsidRDefault="005752A8" w:rsidP="005752A8">
      <w:r>
        <w:t>The</w:t>
      </w:r>
      <w:r w:rsidRPr="00BF7CCB">
        <w:t xml:space="preserve"> assessment </w:t>
      </w:r>
      <w:r>
        <w:t xml:space="preserve">of exceptional circumstances </w:t>
      </w:r>
      <w:r w:rsidRPr="00BF7CCB">
        <w:t>may be complex and include broader consideration of the impact of the decision on social and economic wellbeing,</w:t>
      </w:r>
      <w:r>
        <w:t xml:space="preserve"> the</w:t>
      </w:r>
      <w:r w:rsidRPr="00BF7CCB">
        <w:t xml:space="preserve"> life supporting capacity of that air, and adverse effects on air quality.</w:t>
      </w:r>
    </w:p>
    <w:p w14:paraId="4C08A843" w14:textId="77777777" w:rsidR="005752A8" w:rsidRDefault="005752A8" w:rsidP="005752A8">
      <w:pPr>
        <w:pStyle w:val="Heading3"/>
      </w:pPr>
      <w:r>
        <w:t>3.8.2</w:t>
      </w:r>
      <w:r>
        <w:tab/>
        <w:t>Application to the Minister</w:t>
      </w:r>
    </w:p>
    <w:p w14:paraId="032BE776" w14:textId="77777777" w:rsidR="005752A8" w:rsidRDefault="005752A8" w:rsidP="005752A8">
      <w:r>
        <w:t xml:space="preserve">An application for an exceedance of any ambient standard to be determined as caused by exceptional circumstances must be made to the Minister for the Environment no more than 3 months from the date of the exceedance. </w:t>
      </w:r>
    </w:p>
    <w:p w14:paraId="465B5A88" w14:textId="77777777" w:rsidR="005752A8" w:rsidRDefault="005752A8" w:rsidP="005752A8"/>
    <w:p w14:paraId="39ACE3E2" w14:textId="77777777" w:rsidR="005752A8" w:rsidRDefault="005752A8" w:rsidP="005752A8">
      <w:r>
        <w:t>If the application is made to the Minister more than 3 months after the exceedance the Minister cannot consider the application and the exceedance cannot be determined as caused</w:t>
      </w:r>
      <w:r w:rsidR="0057042A">
        <w:t xml:space="preserve"> by exceptional circumstances. </w:t>
      </w:r>
      <w:r>
        <w:t>This is to provide certainty to industry in resource consent decision making and to enable timely enactment of the ban on solid-fuel burning open fires.</w:t>
      </w:r>
    </w:p>
    <w:p w14:paraId="38AF22BA" w14:textId="77777777" w:rsidR="005752A8" w:rsidRDefault="005752A8" w:rsidP="005752A8"/>
    <w:p w14:paraId="31D41A4E" w14:textId="77777777" w:rsidR="005752A8" w:rsidRDefault="005752A8" w:rsidP="005752A8">
      <w:r>
        <w:t>Irrespective of whether a council considers that the exceedance is likely to be caused by exceptional circumstances, Regulation 16A(6) requires that the council must still notify the exceedance in accordance with Regulation 16 (</w:t>
      </w:r>
      <w:r w:rsidRPr="00400A66">
        <w:t xml:space="preserve">section </w:t>
      </w:r>
      <w:r w:rsidRPr="00480897">
        <w:t>3.7</w:t>
      </w:r>
      <w:r>
        <w:t>).</w:t>
      </w:r>
    </w:p>
    <w:p w14:paraId="3101E8EB" w14:textId="77777777" w:rsidR="005752A8" w:rsidRDefault="005752A8" w:rsidP="005752A8"/>
    <w:p w14:paraId="31515D42" w14:textId="77777777" w:rsidR="005752A8" w:rsidRPr="00C51255" w:rsidRDefault="005752A8" w:rsidP="005752A8">
      <w:r>
        <w:t>It is important that decisions on exceptional circumstances be justified, clear and transparent. Accordingly, t</w:t>
      </w:r>
      <w:r w:rsidRPr="00C51255">
        <w:t>he Mini</w:t>
      </w:r>
      <w:r>
        <w:t>stry</w:t>
      </w:r>
      <w:r w:rsidRPr="00C51255">
        <w:t xml:space="preserve"> </w:t>
      </w:r>
      <w:r>
        <w:t>has</w:t>
      </w:r>
      <w:r w:rsidRPr="00C51255">
        <w:t xml:space="preserve"> create</w:t>
      </w:r>
      <w:r>
        <w:t>d</w:t>
      </w:r>
      <w:r w:rsidRPr="00C51255">
        <w:t xml:space="preserve"> a public register of exceptional </w:t>
      </w:r>
      <w:r>
        <w:t>circumstances</w:t>
      </w:r>
      <w:r w:rsidRPr="00C51255">
        <w:t>.  The register make</w:t>
      </w:r>
      <w:r>
        <w:t>s</w:t>
      </w:r>
      <w:r w:rsidRPr="00C51255">
        <w:t xml:space="preserve"> the regional council’s application, and the Minister’s reasons for his/her decision</w:t>
      </w:r>
      <w:r w:rsidRPr="00DB3766">
        <w:t xml:space="preserve"> </w:t>
      </w:r>
      <w:r>
        <w:t xml:space="preserve">publicly </w:t>
      </w:r>
      <w:r w:rsidR="0057042A">
        <w:t xml:space="preserve">available. </w:t>
      </w:r>
      <w:r w:rsidRPr="00C51255">
        <w:t xml:space="preserve">The register </w:t>
      </w:r>
      <w:r>
        <w:t>is</w:t>
      </w:r>
      <w:r w:rsidRPr="00C51255">
        <w:t xml:space="preserve"> on Ministry for the Environment’s website</w:t>
      </w:r>
      <w:r>
        <w:t xml:space="preserve"> at www.mfe.govt.nz</w:t>
      </w:r>
      <w:r w:rsidRPr="00C51255">
        <w:t>.</w:t>
      </w:r>
    </w:p>
    <w:p w14:paraId="1973774F" w14:textId="77777777" w:rsidR="005752A8" w:rsidRPr="00FE5B20" w:rsidRDefault="005752A8" w:rsidP="005752A8">
      <w:pPr>
        <w:rPr>
          <w:highlight w:val="yellow"/>
        </w:rPr>
      </w:pPr>
    </w:p>
    <w:p w14:paraId="7DB4CC5D" w14:textId="77777777" w:rsidR="005752A8" w:rsidRPr="00956FA5" w:rsidRDefault="005752A8" w:rsidP="005752A8">
      <w:r w:rsidRPr="00956FA5">
        <w:t>The website also include</w:t>
      </w:r>
      <w:r>
        <w:t>s</w:t>
      </w:r>
      <w:r w:rsidRPr="00956FA5">
        <w:t xml:space="preserve"> information on the procedures to be followed</w:t>
      </w:r>
      <w:r>
        <w:t xml:space="preserve"> and an example application form</w:t>
      </w:r>
      <w:r w:rsidRPr="00956FA5">
        <w:t xml:space="preserve">. </w:t>
      </w:r>
    </w:p>
    <w:p w14:paraId="1C11149B" w14:textId="77777777" w:rsidR="005752A8" w:rsidRDefault="005752A8" w:rsidP="005752A8">
      <w:pPr>
        <w:pStyle w:val="Heading4"/>
      </w:pPr>
      <w:r>
        <w:t>Matters the Minister will take into account</w:t>
      </w:r>
    </w:p>
    <w:p w14:paraId="56504BDC" w14:textId="77777777" w:rsidR="005752A8" w:rsidRDefault="005752A8" w:rsidP="005752A8">
      <w:r>
        <w:t>The decision to classify an exceedance as caused by an exceptional circumstances can have wide reaching implications for an airsheds ability to meet the ambient standards and the resulting actions that need to be taken (especially for PM</w:t>
      </w:r>
      <w:r w:rsidRPr="00E14F45">
        <w:rPr>
          <w:vertAlign w:val="subscript"/>
        </w:rPr>
        <w:t>10</w:t>
      </w:r>
      <w:r w:rsidR="0057042A">
        <w:t xml:space="preserve">). </w:t>
      </w:r>
      <w:r>
        <w:t xml:space="preserve">Therefore a council applying to for an exceedance to be classified as caused by exceptional circumstances will need to provide a detailed, scientifically robust rationale and sufficient evidence to enable the Minister to make a decision. </w:t>
      </w:r>
    </w:p>
    <w:p w14:paraId="617B10AF" w14:textId="77777777" w:rsidR="005752A8" w:rsidRPr="00331381" w:rsidRDefault="005752A8" w:rsidP="005752A8">
      <w:pPr>
        <w:rPr>
          <w:highlight w:val="yellow"/>
        </w:rPr>
      </w:pPr>
    </w:p>
    <w:p w14:paraId="493BFAA4" w14:textId="77777777" w:rsidR="005752A8" w:rsidRPr="000E714F" w:rsidRDefault="005752A8" w:rsidP="005752A8">
      <w:r w:rsidRPr="000E714F">
        <w:t xml:space="preserve">The written application to the Minister for the Environment </w:t>
      </w:r>
      <w:r>
        <w:t>for an exceptional circumstances determination should</w:t>
      </w:r>
      <w:r w:rsidRPr="000E714F">
        <w:t xml:space="preserve"> include</w:t>
      </w:r>
      <w:r>
        <w:t>,</w:t>
      </w:r>
      <w:r w:rsidRPr="000E714F">
        <w:t xml:space="preserve"> as a minimum</w:t>
      </w:r>
      <w:r>
        <w:t>,</w:t>
      </w:r>
      <w:r w:rsidRPr="000E714F">
        <w:t xml:space="preserve"> the following:</w:t>
      </w:r>
    </w:p>
    <w:p w14:paraId="1D0B4317" w14:textId="77777777" w:rsidR="005752A8" w:rsidRDefault="005752A8" w:rsidP="005752A8">
      <w:pPr>
        <w:pStyle w:val="Bullet"/>
        <w:numPr>
          <w:ilvl w:val="0"/>
          <w:numId w:val="13"/>
        </w:numPr>
      </w:pPr>
      <w:r>
        <w:t>the location,</w:t>
      </w:r>
      <w:r w:rsidRPr="00F72B69">
        <w:t xml:space="preserve"> </w:t>
      </w:r>
      <w:r>
        <w:t>airshed, date and extent of the exceedance</w:t>
      </w:r>
    </w:p>
    <w:p w14:paraId="54199734" w14:textId="77777777" w:rsidR="005752A8" w:rsidRPr="000E714F" w:rsidRDefault="005752A8" w:rsidP="005752A8">
      <w:pPr>
        <w:pStyle w:val="Bullet"/>
        <w:numPr>
          <w:ilvl w:val="0"/>
          <w:numId w:val="13"/>
        </w:numPr>
      </w:pPr>
      <w:r w:rsidRPr="000E714F">
        <w:t xml:space="preserve">a discussion of </w:t>
      </w:r>
      <w:r>
        <w:t>the five</w:t>
      </w:r>
      <w:r w:rsidRPr="000E714F">
        <w:t xml:space="preserve"> criteria </w:t>
      </w:r>
      <w:r>
        <w:t>outlined</w:t>
      </w:r>
      <w:r w:rsidRPr="000E714F">
        <w:t xml:space="preserve"> </w:t>
      </w:r>
      <w:r>
        <w:t xml:space="preserve">in section </w:t>
      </w:r>
      <w:r w:rsidRPr="00480897">
        <w:t>3.8.1</w:t>
      </w:r>
      <w:r w:rsidRPr="000E714F">
        <w:t xml:space="preserve"> </w:t>
      </w:r>
    </w:p>
    <w:p w14:paraId="74CA9B86" w14:textId="77777777" w:rsidR="005752A8" w:rsidRPr="000E714F" w:rsidRDefault="005752A8" w:rsidP="005752A8">
      <w:pPr>
        <w:pStyle w:val="Bullet"/>
        <w:numPr>
          <w:ilvl w:val="0"/>
          <w:numId w:val="13"/>
        </w:numPr>
      </w:pPr>
      <w:r w:rsidRPr="000E714F">
        <w:t xml:space="preserve">documented </w:t>
      </w:r>
      <w:r>
        <w:t>evidence to support the application</w:t>
      </w:r>
    </w:p>
    <w:p w14:paraId="1BBD6AA1" w14:textId="77777777" w:rsidR="005752A8" w:rsidRPr="000E714F" w:rsidRDefault="005752A8" w:rsidP="005752A8">
      <w:pPr>
        <w:pStyle w:val="Bullet"/>
        <w:numPr>
          <w:ilvl w:val="0"/>
          <w:numId w:val="13"/>
        </w:numPr>
      </w:pPr>
      <w:r>
        <w:t xml:space="preserve">an estimate of </w:t>
      </w:r>
      <w:r w:rsidRPr="000E714F">
        <w:t xml:space="preserve">what the likely concentration would have been </w:t>
      </w:r>
      <w:r>
        <w:t>without the</w:t>
      </w:r>
      <w:r w:rsidRPr="000E714F">
        <w:t xml:space="preserve"> exceptional </w:t>
      </w:r>
      <w:r>
        <w:t>circumstances</w:t>
      </w:r>
    </w:p>
    <w:p w14:paraId="4CB05B35" w14:textId="77777777" w:rsidR="005752A8" w:rsidRPr="000E714F" w:rsidRDefault="005752A8" w:rsidP="005752A8">
      <w:pPr>
        <w:pStyle w:val="Bullet"/>
        <w:numPr>
          <w:ilvl w:val="0"/>
          <w:numId w:val="13"/>
        </w:numPr>
      </w:pPr>
      <w:r w:rsidRPr="000E714F">
        <w:t>an analysis of ‘baseline’ monitoring data</w:t>
      </w:r>
    </w:p>
    <w:p w14:paraId="24A7ED5A" w14:textId="77777777" w:rsidR="005752A8" w:rsidRDefault="005752A8" w:rsidP="005752A8">
      <w:pPr>
        <w:pStyle w:val="Bullet"/>
        <w:numPr>
          <w:ilvl w:val="0"/>
          <w:numId w:val="13"/>
        </w:numPr>
      </w:pPr>
      <w:r w:rsidRPr="000E714F">
        <w:t>the results of any source speciation or other analysis that may have been undertaken</w:t>
      </w:r>
      <w:r>
        <w:t xml:space="preserve"> to support the decisions</w:t>
      </w:r>
    </w:p>
    <w:p w14:paraId="59495B27" w14:textId="77777777" w:rsidR="005752A8" w:rsidRPr="000E714F" w:rsidRDefault="005752A8" w:rsidP="005752A8">
      <w:pPr>
        <w:pStyle w:val="Bullet"/>
        <w:numPr>
          <w:ilvl w:val="0"/>
          <w:numId w:val="13"/>
        </w:numPr>
      </w:pPr>
      <w:r>
        <w:t>any other supporting information available to determine ‘proof’ of the event (eg, photos, newspaper articles, other agency statements, and eyewitness accounts).</w:t>
      </w:r>
    </w:p>
    <w:p w14:paraId="6E3ACF9E" w14:textId="77777777" w:rsidR="005752A8" w:rsidRPr="000E714F" w:rsidRDefault="005752A8" w:rsidP="005752A8"/>
    <w:p w14:paraId="613BC22E" w14:textId="77777777" w:rsidR="005752A8" w:rsidRPr="000E714F" w:rsidRDefault="005752A8" w:rsidP="005752A8">
      <w:r w:rsidRPr="000E714F">
        <w:t>A</w:t>
      </w:r>
      <w:r>
        <w:t>pplication</w:t>
      </w:r>
      <w:r w:rsidRPr="000E714F">
        <w:t xml:space="preserve"> form</w:t>
      </w:r>
      <w:r>
        <w:t>s</w:t>
      </w:r>
      <w:r w:rsidRPr="000E714F">
        <w:t xml:space="preserve"> may be downloaded from the MfE website.</w:t>
      </w:r>
    </w:p>
    <w:p w14:paraId="4C953A33" w14:textId="77777777" w:rsidR="005752A8" w:rsidRPr="000E714F" w:rsidRDefault="005752A8" w:rsidP="005752A8"/>
    <w:p w14:paraId="13E6880D" w14:textId="77777777" w:rsidR="005752A8" w:rsidRPr="000E714F" w:rsidRDefault="005752A8" w:rsidP="005752A8">
      <w:r w:rsidRPr="000E714F">
        <w:t>The Minister will also take into consideration any other matter he/she considers relevant</w:t>
      </w:r>
      <w:r>
        <w:t xml:space="preserve"> to a particular application.</w:t>
      </w:r>
    </w:p>
    <w:p w14:paraId="0DFE262E" w14:textId="77777777" w:rsidR="005752A8" w:rsidRPr="000E714F" w:rsidRDefault="005752A8" w:rsidP="005752A8"/>
    <w:p w14:paraId="6A0B62D0" w14:textId="77777777" w:rsidR="005752A8" w:rsidRPr="000E714F" w:rsidRDefault="005752A8" w:rsidP="005752A8">
      <w:r w:rsidRPr="000E714F">
        <w:t xml:space="preserve">The Minister may request further information be provided to support </w:t>
      </w:r>
      <w:r>
        <w:t>an application</w:t>
      </w:r>
      <w:r w:rsidR="0057042A">
        <w:t>.</w:t>
      </w:r>
      <w:r w:rsidRPr="000E714F">
        <w:t xml:space="preserve"> However a final decision must be issued within 3 months </w:t>
      </w:r>
      <w:r w:rsidR="0057042A">
        <w:t xml:space="preserve">of the application being made. </w:t>
      </w:r>
      <w:r w:rsidRPr="000E714F">
        <w:t>Therefore it is important that the application be of sufficiently high quality to ensure that a decision can be made</w:t>
      </w:r>
      <w:r>
        <w:t xml:space="preserve"> in a timely manner</w:t>
      </w:r>
      <w:r w:rsidRPr="000E714F">
        <w:t>.</w:t>
      </w:r>
    </w:p>
    <w:p w14:paraId="51DAB6EE" w14:textId="77777777" w:rsidR="005752A8" w:rsidRDefault="005752A8" w:rsidP="005752A8">
      <w:pPr>
        <w:pStyle w:val="Heading3"/>
      </w:pPr>
      <w:r>
        <w:t>3.8.3</w:t>
      </w:r>
      <w:r>
        <w:tab/>
        <w:t>Decision by the Minister</w:t>
      </w:r>
    </w:p>
    <w:p w14:paraId="4EA89B7B" w14:textId="77777777" w:rsidR="005752A8" w:rsidRDefault="005752A8" w:rsidP="005752A8">
      <w:r>
        <w:t>The Minister for the Environment must make a decision on an application for an exceedance to be considered as caused by exceptional circumstances within 3 months</w:t>
      </w:r>
      <w:r w:rsidR="00D1696C">
        <w:t xml:space="preserve"> of receiving the application.</w:t>
      </w:r>
    </w:p>
    <w:p w14:paraId="3561A16A" w14:textId="77777777" w:rsidR="005752A8" w:rsidRDefault="005752A8" w:rsidP="005752A8"/>
    <w:p w14:paraId="7D7A3047" w14:textId="77777777" w:rsidR="005752A8" w:rsidRDefault="005752A8" w:rsidP="005752A8">
      <w:r>
        <w:t xml:space="preserve">If the Minister decides that the exceedance </w:t>
      </w:r>
      <w:r w:rsidRPr="008A36C9">
        <w:rPr>
          <w:b/>
        </w:rPr>
        <w:t>was caused by exceptional circumstances</w:t>
      </w:r>
      <w:r>
        <w:t xml:space="preserve"> then </w:t>
      </w:r>
      <w:r w:rsidRPr="00C05C0F">
        <w:rPr>
          <w:i/>
          <w:szCs w:val="22"/>
        </w:rPr>
        <w:t>‘</w:t>
      </w:r>
      <w:r w:rsidRPr="00C05C0F">
        <w:rPr>
          <w:b/>
          <w:i/>
          <w:szCs w:val="22"/>
        </w:rPr>
        <w:t>the exceedance must be ignored</w:t>
      </w:r>
      <w:r w:rsidRPr="00C05C0F">
        <w:rPr>
          <w:i/>
          <w:szCs w:val="22"/>
        </w:rPr>
        <w:t xml:space="preserve"> in determining whether the ambient air quality standard for the relevant contaminant has been breached in the airshed’</w:t>
      </w:r>
      <w:r>
        <w:t xml:space="preserve"> (Regulation 16A(5)).  This means that for the purposes of the Regulations, in particular Regulations 15, 16B, 16D, 17, 20 and 21, the elevated concentration does not need to be considered with respect to:</w:t>
      </w:r>
    </w:p>
    <w:p w14:paraId="539B0CA7" w14:textId="77777777" w:rsidR="005752A8" w:rsidRDefault="005752A8" w:rsidP="005752A8">
      <w:pPr>
        <w:pStyle w:val="Bullet"/>
        <w:numPr>
          <w:ilvl w:val="0"/>
          <w:numId w:val="13"/>
        </w:numPr>
      </w:pPr>
      <w:r>
        <w:t>monitoring</w:t>
      </w:r>
    </w:p>
    <w:p w14:paraId="7E413C0E" w14:textId="77777777" w:rsidR="005752A8" w:rsidRDefault="005752A8" w:rsidP="005752A8">
      <w:pPr>
        <w:pStyle w:val="Bullet"/>
        <w:numPr>
          <w:ilvl w:val="0"/>
          <w:numId w:val="13"/>
        </w:numPr>
      </w:pPr>
      <w:r>
        <w:t>split target compliance dates (refer to Chapter 4)</w:t>
      </w:r>
    </w:p>
    <w:p w14:paraId="27A9D9AD" w14:textId="77777777" w:rsidR="005752A8" w:rsidRDefault="005752A8" w:rsidP="005752A8">
      <w:pPr>
        <w:pStyle w:val="Bullet"/>
        <w:numPr>
          <w:ilvl w:val="0"/>
          <w:numId w:val="13"/>
        </w:numPr>
      </w:pPr>
      <w:r>
        <w:t>calculation of annual averages</w:t>
      </w:r>
    </w:p>
    <w:p w14:paraId="3A108D9A" w14:textId="77777777" w:rsidR="005752A8" w:rsidRDefault="005752A8" w:rsidP="005752A8">
      <w:pPr>
        <w:pStyle w:val="Bullet"/>
        <w:numPr>
          <w:ilvl w:val="0"/>
          <w:numId w:val="13"/>
        </w:numPr>
      </w:pPr>
      <w:r>
        <w:t>resource consent decisions (discussed in more detail in Chapter 3.9).</w:t>
      </w:r>
    </w:p>
    <w:p w14:paraId="281518ED" w14:textId="77777777" w:rsidR="005752A8" w:rsidRDefault="005752A8" w:rsidP="005752A8"/>
    <w:p w14:paraId="4C69F69E" w14:textId="77777777" w:rsidR="005752A8" w:rsidRDefault="005752A8" w:rsidP="005752A8">
      <w:r>
        <w:t>However the exceedance must not be ignored when determining whether the standard has been breached for the purposes of Regulation 16 (regional council must give notice if standard breached).</w:t>
      </w:r>
    </w:p>
    <w:p w14:paraId="1826DFEC" w14:textId="77777777" w:rsidR="005752A8" w:rsidRDefault="005752A8" w:rsidP="005752A8"/>
    <w:p w14:paraId="26691004" w14:textId="77777777" w:rsidR="005752A8" w:rsidRPr="00F702C6" w:rsidRDefault="005752A8" w:rsidP="005752A8">
      <w:r>
        <w:t xml:space="preserve">If the Minister decides that the event was </w:t>
      </w:r>
      <w:r w:rsidRPr="00F702C6">
        <w:rPr>
          <w:b/>
        </w:rPr>
        <w:t xml:space="preserve">not </w:t>
      </w:r>
      <w:r>
        <w:rPr>
          <w:b/>
        </w:rPr>
        <w:t xml:space="preserve">caused by </w:t>
      </w:r>
      <w:r w:rsidRPr="00F702C6">
        <w:rPr>
          <w:b/>
        </w:rPr>
        <w:t xml:space="preserve">exceptional </w:t>
      </w:r>
      <w:r>
        <w:rPr>
          <w:b/>
        </w:rPr>
        <w:t>circumstances</w:t>
      </w:r>
      <w:r>
        <w:t xml:space="preserve"> then the result </w:t>
      </w:r>
      <w:r w:rsidRPr="00A11436">
        <w:rPr>
          <w:b/>
        </w:rPr>
        <w:t>cannot be ignored</w:t>
      </w:r>
      <w:r>
        <w:t xml:space="preserve"> and will need to be included as an exceedance for the purpose of the Regulations.</w:t>
      </w:r>
    </w:p>
    <w:p w14:paraId="27983488" w14:textId="77777777" w:rsidR="005752A8" w:rsidRDefault="005752A8" w:rsidP="005752A8"/>
    <w:p w14:paraId="15241F66" w14:textId="77777777" w:rsidR="002C3EAB" w:rsidRDefault="00A06181" w:rsidP="002C3EAB">
      <w:pPr>
        <w:pStyle w:val="Heading2"/>
      </w:pPr>
      <w:r>
        <w:t>3.9</w:t>
      </w:r>
      <w:r w:rsidR="002C3EAB">
        <w:tab/>
      </w:r>
      <w:r w:rsidR="00B561EC">
        <w:t>Ambient standards and r</w:t>
      </w:r>
      <w:r w:rsidR="002C3EAB">
        <w:t xml:space="preserve">esource </w:t>
      </w:r>
      <w:r w:rsidR="00516FDF">
        <w:t>c</w:t>
      </w:r>
      <w:r w:rsidR="002C3EAB">
        <w:t>onsents</w:t>
      </w:r>
      <w:bookmarkEnd w:id="52"/>
    </w:p>
    <w:p w14:paraId="25D5454D" w14:textId="77777777" w:rsidR="000A597D" w:rsidRDefault="00B561EC" w:rsidP="00915DA5">
      <w:r w:rsidRPr="000A597D">
        <w:t>The ambient standards for carbon monoxide (CO), nitrogen dioxide (NO</w:t>
      </w:r>
      <w:r w:rsidRPr="000A597D">
        <w:rPr>
          <w:vertAlign w:val="subscript"/>
        </w:rPr>
        <w:t>2</w:t>
      </w:r>
      <w:r w:rsidRPr="000A597D">
        <w:t>), ozone (O</w:t>
      </w:r>
      <w:r w:rsidRPr="000A597D">
        <w:rPr>
          <w:vertAlign w:val="subscript"/>
        </w:rPr>
        <w:t>3</w:t>
      </w:r>
      <w:r w:rsidRPr="000A597D">
        <w:t>) and sulphur dioxide (SO</w:t>
      </w:r>
      <w:r w:rsidRPr="000A597D">
        <w:rPr>
          <w:vertAlign w:val="subscript"/>
        </w:rPr>
        <w:t>2</w:t>
      </w:r>
      <w:r w:rsidRPr="000A597D">
        <w:t xml:space="preserve">) in Regulation 13 and Schedule </w:t>
      </w:r>
      <w:r w:rsidR="00FA2232">
        <w:t xml:space="preserve">1 </w:t>
      </w:r>
      <w:r w:rsidRPr="000A597D">
        <w:t xml:space="preserve">(summarised in table 3), are aimed at providing a guaranteed level of health </w:t>
      </w:r>
      <w:r w:rsidR="0057042A">
        <w:t xml:space="preserve">protection for New Zealanders. </w:t>
      </w:r>
      <w:r w:rsidRPr="000A597D">
        <w:t xml:space="preserve">Some </w:t>
      </w:r>
      <w:r w:rsidR="000A597D" w:rsidRPr="000A597D">
        <w:t>activities</w:t>
      </w:r>
      <w:r w:rsidRPr="000A597D">
        <w:t xml:space="preserve">, </w:t>
      </w:r>
      <w:r w:rsidR="000A597D" w:rsidRPr="000A597D">
        <w:t>usually</w:t>
      </w:r>
      <w:r w:rsidRPr="000A597D">
        <w:t xml:space="preserve"> large industries</w:t>
      </w:r>
      <w:r w:rsidR="000A597D" w:rsidRPr="000A597D">
        <w:t>,</w:t>
      </w:r>
      <w:r w:rsidRPr="000A597D">
        <w:t xml:space="preserve"> </w:t>
      </w:r>
      <w:r w:rsidR="00EE0A05">
        <w:t>have</w:t>
      </w:r>
      <w:r w:rsidRPr="000A597D">
        <w:t xml:space="preserve"> </w:t>
      </w:r>
      <w:r w:rsidR="000A597D" w:rsidRPr="000A597D">
        <w:t xml:space="preserve">substantial </w:t>
      </w:r>
      <w:r w:rsidRPr="000A597D">
        <w:t>discha</w:t>
      </w:r>
      <w:r w:rsidR="00EE0A05">
        <w:t>rges</w:t>
      </w:r>
      <w:r w:rsidR="000A597D" w:rsidRPr="000A597D">
        <w:t xml:space="preserve"> of these pollutants either</w:t>
      </w:r>
      <w:r w:rsidR="0057042A">
        <w:t xml:space="preserve"> individually, or cumulatively.</w:t>
      </w:r>
      <w:r w:rsidR="000A597D" w:rsidRPr="000A597D">
        <w:t xml:space="preserve"> </w:t>
      </w:r>
      <w:r w:rsidR="000A597D">
        <w:t xml:space="preserve">These activities </w:t>
      </w:r>
      <w:r w:rsidR="00EE0A05">
        <w:t xml:space="preserve">typically </w:t>
      </w:r>
      <w:r w:rsidR="000A597D">
        <w:t xml:space="preserve">require resource consents from regional councils through regional plans. </w:t>
      </w:r>
    </w:p>
    <w:p w14:paraId="01D06C20" w14:textId="77777777" w:rsidR="000A597D" w:rsidRDefault="000A597D" w:rsidP="00915DA5"/>
    <w:p w14:paraId="33D0B03D" w14:textId="77777777" w:rsidR="00915DA5" w:rsidRPr="00915DA5" w:rsidRDefault="000A597D" w:rsidP="00915DA5">
      <w:r>
        <w:t xml:space="preserve">The intent of the Regulations is to ensure that </w:t>
      </w:r>
      <w:r w:rsidR="00EE0A05">
        <w:t>industry</w:t>
      </w:r>
      <w:r>
        <w:t xml:space="preserve"> do</w:t>
      </w:r>
      <w:r w:rsidR="00AF36D0">
        <w:t>es</w:t>
      </w:r>
      <w:r>
        <w:t xml:space="preserve"> not cause airsheds to breach the ambient standards. </w:t>
      </w:r>
    </w:p>
    <w:p w14:paraId="6805D8DF" w14:textId="77777777" w:rsidR="002C3EAB" w:rsidRDefault="00A06181" w:rsidP="002C3EAB">
      <w:pPr>
        <w:pStyle w:val="Heading3"/>
        <w:ind w:left="851" w:hanging="851"/>
      </w:pPr>
      <w:r>
        <w:t>3.9</w:t>
      </w:r>
      <w:r w:rsidR="00AF36D0">
        <w:t>.</w:t>
      </w:r>
      <w:r w:rsidR="001A4DE5">
        <w:t>1</w:t>
      </w:r>
      <w:r w:rsidR="002C3EAB">
        <w:tab/>
        <w:t>Carbon monoxide (CO), nitrogen dioxide (NO</w:t>
      </w:r>
      <w:r w:rsidR="002C3EAB" w:rsidRPr="002C3EAB">
        <w:rPr>
          <w:vertAlign w:val="subscript"/>
        </w:rPr>
        <w:t>2</w:t>
      </w:r>
      <w:r w:rsidR="002C3EAB">
        <w:t>) and</w:t>
      </w:r>
      <w:r w:rsidR="00FA6BD1">
        <w:t xml:space="preserve"> </w:t>
      </w:r>
      <w:r w:rsidR="002C3EAB">
        <w:t>ozone (O</w:t>
      </w:r>
      <w:r w:rsidR="002C3EAB" w:rsidRPr="002C3EAB">
        <w:rPr>
          <w:vertAlign w:val="subscript"/>
        </w:rPr>
        <w:t>3</w:t>
      </w:r>
      <w:r w:rsidR="002C3EAB">
        <w:t>)</w:t>
      </w:r>
    </w:p>
    <w:p w14:paraId="435DC325" w14:textId="77777777" w:rsidR="00722542" w:rsidRDefault="00722542" w:rsidP="00722542">
      <w:pPr>
        <w:pStyle w:val="BodyText"/>
      </w:pPr>
      <w:r>
        <w:t xml:space="preserve">From 1 September 2005, </w:t>
      </w:r>
      <w:r w:rsidR="00FA6BD1">
        <w:t xml:space="preserve">Regulation </w:t>
      </w:r>
      <w:r>
        <w:t>2</w:t>
      </w:r>
      <w:r w:rsidR="00941159">
        <w:t>0</w:t>
      </w:r>
      <w:r>
        <w:t xml:space="preserve"> has required that:</w:t>
      </w:r>
    </w:p>
    <w:p w14:paraId="7F143E00" w14:textId="77777777" w:rsidR="00722542" w:rsidRDefault="00722542" w:rsidP="00722542">
      <w:pPr>
        <w:pStyle w:val="BodyText"/>
      </w:pPr>
    </w:p>
    <w:p w14:paraId="469B84DB" w14:textId="77777777" w:rsidR="00722542" w:rsidRPr="00A46459" w:rsidRDefault="00722542" w:rsidP="00722542">
      <w:pPr>
        <w:pStyle w:val="Blockquote"/>
        <w:spacing w:before="0"/>
        <w:ind w:left="1134" w:hanging="567"/>
        <w:rPr>
          <w:b/>
        </w:rPr>
      </w:pPr>
      <w:r w:rsidRPr="00266D6B">
        <w:rPr>
          <w:b/>
        </w:rPr>
        <w:t>20</w:t>
      </w:r>
      <w:r w:rsidRPr="00A46459">
        <w:rPr>
          <w:b/>
        </w:rPr>
        <w:tab/>
        <w:t>Resource consents for discharge of carbon monoxide, oxides of nitrogen, and volatile organic compounds</w:t>
      </w:r>
    </w:p>
    <w:p w14:paraId="57448CF7" w14:textId="77777777" w:rsidR="00722542" w:rsidRPr="00A46459" w:rsidRDefault="00722542" w:rsidP="00722542">
      <w:pPr>
        <w:pStyle w:val="Blockquote"/>
        <w:spacing w:before="0"/>
        <w:ind w:left="1134" w:hanging="567"/>
      </w:pPr>
      <w:r w:rsidRPr="00A46459">
        <w:t>(1)</w:t>
      </w:r>
      <w:r w:rsidRPr="00A46459">
        <w:tab/>
        <w:t xml:space="preserve">A consent authority must decline an application for a resource consent to discharge carbon monoxide into air if the discharge to be </w:t>
      </w:r>
      <w:r w:rsidR="00B41A47">
        <w:t>expressly allowed</w:t>
      </w:r>
      <w:r w:rsidR="00B41A47" w:rsidRPr="00A46459">
        <w:t xml:space="preserve"> </w:t>
      </w:r>
      <w:r w:rsidRPr="00A46459">
        <w:t>by the resource consent –</w:t>
      </w:r>
    </w:p>
    <w:p w14:paraId="7BE0BD8A" w14:textId="77777777" w:rsidR="00722542" w:rsidRPr="00A46459" w:rsidRDefault="00722542" w:rsidP="00722542">
      <w:pPr>
        <w:pStyle w:val="Blockquote"/>
        <w:spacing w:before="0"/>
        <w:ind w:left="1701" w:hanging="567"/>
      </w:pPr>
      <w:r w:rsidRPr="00A46459">
        <w:t>(a)</w:t>
      </w:r>
      <w:r w:rsidRPr="00A46459">
        <w:tab/>
        <w:t>is likely, at any time, to cause the concentration of that gas in the airshed to breach its ambient air quality standard; and</w:t>
      </w:r>
    </w:p>
    <w:p w14:paraId="77D440DB" w14:textId="77777777" w:rsidR="00722542" w:rsidRPr="00A46459" w:rsidRDefault="00722542" w:rsidP="00722542">
      <w:pPr>
        <w:pStyle w:val="Blockquote"/>
        <w:spacing w:before="0"/>
        <w:ind w:left="1701" w:hanging="567"/>
      </w:pPr>
      <w:r w:rsidRPr="00A46459">
        <w:t>(b)</w:t>
      </w:r>
      <w:r w:rsidRPr="00A46459">
        <w:tab/>
        <w:t>is likely to be a principal source of that gas in the airshed.</w:t>
      </w:r>
    </w:p>
    <w:p w14:paraId="24C8F6CA" w14:textId="77777777" w:rsidR="00722542" w:rsidRPr="00A46459" w:rsidRDefault="00722542" w:rsidP="00722542">
      <w:pPr>
        <w:pStyle w:val="Blockquote"/>
        <w:spacing w:before="0"/>
        <w:ind w:left="1134" w:hanging="567"/>
      </w:pPr>
      <w:r w:rsidRPr="00A46459">
        <w:t>(2)</w:t>
      </w:r>
      <w:r w:rsidRPr="00A46459">
        <w:tab/>
        <w:t xml:space="preserve">A consent authority must decline an application for a resource consent to discharge oxides of nitrogen or volatile organic compounds into air if the discharge to be </w:t>
      </w:r>
      <w:r w:rsidR="00B41A47">
        <w:t>expressly allowed</w:t>
      </w:r>
      <w:r w:rsidR="00B41A47" w:rsidRPr="00A46459">
        <w:t xml:space="preserve"> </w:t>
      </w:r>
      <w:r w:rsidRPr="00A46459">
        <w:t>by the resource consent –</w:t>
      </w:r>
    </w:p>
    <w:p w14:paraId="4CB06625" w14:textId="77777777" w:rsidR="00722542" w:rsidRPr="00A46459" w:rsidRDefault="00722542" w:rsidP="00722542">
      <w:pPr>
        <w:pStyle w:val="Blockquote"/>
        <w:spacing w:before="0"/>
        <w:ind w:left="1701" w:hanging="567"/>
      </w:pPr>
      <w:r w:rsidRPr="00A46459">
        <w:t>(a)</w:t>
      </w:r>
      <w:r w:rsidRPr="00A46459">
        <w:tab/>
        <w:t>is likely, at any time, to cause the concentration of nitrogen dioxide or ozone in the airshed to breach its ambient air quality standard; and</w:t>
      </w:r>
    </w:p>
    <w:p w14:paraId="264B6D37" w14:textId="77777777" w:rsidR="00722542" w:rsidRPr="00A46459" w:rsidRDefault="00722542" w:rsidP="00722542">
      <w:pPr>
        <w:pStyle w:val="Blockquote"/>
        <w:spacing w:before="0"/>
        <w:ind w:left="1701" w:hanging="567"/>
      </w:pPr>
      <w:r w:rsidRPr="00A46459">
        <w:t>(b)</w:t>
      </w:r>
      <w:r w:rsidRPr="00A46459">
        <w:tab/>
        <w:t>is likely to be a principal source of oxides of nitrogen or volatile organic compounds in the airshed.</w:t>
      </w:r>
    </w:p>
    <w:p w14:paraId="36A98D4E" w14:textId="77777777" w:rsidR="00722542" w:rsidRPr="00A46459" w:rsidRDefault="00722542" w:rsidP="00722542">
      <w:pPr>
        <w:pStyle w:val="Blockquote"/>
        <w:spacing w:before="0"/>
        <w:ind w:left="1134" w:hanging="567"/>
      </w:pPr>
      <w:r w:rsidRPr="00A46459">
        <w:t>(3)</w:t>
      </w:r>
      <w:r w:rsidRPr="00A46459">
        <w:tab/>
        <w:t xml:space="preserve">In this regulation, </w:t>
      </w:r>
      <w:r w:rsidRPr="00A46459">
        <w:rPr>
          <w:b/>
        </w:rPr>
        <w:t>volatile organic compound</w:t>
      </w:r>
      <w:r w:rsidRPr="00A46459">
        <w:t xml:space="preserve"> –</w:t>
      </w:r>
    </w:p>
    <w:p w14:paraId="219EB743" w14:textId="77777777" w:rsidR="00722542" w:rsidRPr="00A46459" w:rsidRDefault="00722542" w:rsidP="00722542">
      <w:pPr>
        <w:pStyle w:val="Blockquote"/>
        <w:spacing w:before="0"/>
        <w:ind w:left="1701" w:hanging="567"/>
      </w:pPr>
      <w:r w:rsidRPr="00A46459">
        <w:t>(a)</w:t>
      </w:r>
      <w:r w:rsidRPr="00A46459">
        <w:tab/>
        <w:t>means a hydrocarbon based compound with a vapour pressure greater than 2 millimetres of mercury (0.27 kilopascal</w:t>
      </w:r>
      <w:r w:rsidR="00FA2C26">
        <w:t>s</w:t>
      </w:r>
      <w:r w:rsidRPr="00A46459">
        <w:t>) at a temperature of 25°C; but</w:t>
      </w:r>
    </w:p>
    <w:p w14:paraId="60E95B95" w14:textId="77777777" w:rsidR="00722542" w:rsidRPr="00A46459" w:rsidRDefault="00722542" w:rsidP="00722542">
      <w:pPr>
        <w:pStyle w:val="Blockquote"/>
        <w:spacing w:before="0"/>
        <w:ind w:left="1701" w:hanging="567"/>
      </w:pPr>
      <w:r w:rsidRPr="00A46459">
        <w:t>(b)</w:t>
      </w:r>
      <w:r w:rsidRPr="00A46459">
        <w:tab/>
        <w:t>does not include methane.</w:t>
      </w:r>
    </w:p>
    <w:p w14:paraId="736B3F96" w14:textId="77777777" w:rsidR="00722542" w:rsidRDefault="00722542" w:rsidP="00722542">
      <w:pPr>
        <w:pStyle w:val="BodyText"/>
      </w:pPr>
    </w:p>
    <w:p w14:paraId="7473633C" w14:textId="77777777" w:rsidR="00EA045C" w:rsidRDefault="00EA045C" w:rsidP="00EA045C">
      <w:r w:rsidRPr="00E17A12">
        <w:t>Ozone</w:t>
      </w:r>
      <w:r>
        <w:t xml:space="preserve"> (O</w:t>
      </w:r>
      <w:r w:rsidRPr="00EA045C">
        <w:rPr>
          <w:vertAlign w:val="subscript"/>
        </w:rPr>
        <w:t>3</w:t>
      </w:r>
      <w:r>
        <w:t>)</w:t>
      </w:r>
      <w:r w:rsidRPr="00E17A12">
        <w:t xml:space="preserve"> is formed by the photochemical reaction of primary pollutants </w:t>
      </w:r>
      <w:r w:rsidR="00EE0A05">
        <w:t xml:space="preserve">(eg, </w:t>
      </w:r>
      <w:r w:rsidRPr="00E17A12">
        <w:t>nitrogen oxides</w:t>
      </w:r>
      <w:r>
        <w:t xml:space="preserve"> (NO</w:t>
      </w:r>
      <w:r w:rsidRPr="006D03CE">
        <w:rPr>
          <w:vertAlign w:val="subscript"/>
        </w:rPr>
        <w:t>x</w:t>
      </w:r>
      <w:r>
        <w:t>)</w:t>
      </w:r>
      <w:r w:rsidRPr="00E17A12">
        <w:t xml:space="preserve"> and volatile organic compounds (VOCs)</w:t>
      </w:r>
      <w:r w:rsidR="00EE0A05">
        <w:t>)</w:t>
      </w:r>
      <w:r w:rsidRPr="00E17A12">
        <w:t xml:space="preserve"> and</w:t>
      </w:r>
      <w:r w:rsidR="00EE0A05">
        <w:t xml:space="preserve"> is</w:t>
      </w:r>
      <w:r w:rsidRPr="00E17A12">
        <w:t xml:space="preserve"> often </w:t>
      </w:r>
      <w:r w:rsidR="00EE0A05">
        <w:t>associated with</w:t>
      </w:r>
      <w:r w:rsidR="0057042A">
        <w:t xml:space="preserve"> photochemical smog.</w:t>
      </w:r>
      <w:r>
        <w:t xml:space="preserve"> </w:t>
      </w:r>
      <w:r w:rsidR="00EE0A05">
        <w:t>Primary</w:t>
      </w:r>
      <w:r w:rsidRPr="00E17A12">
        <w:t xml:space="preserve"> pollutants are produced mainly from </w:t>
      </w:r>
      <w:r w:rsidR="00EE0A05">
        <w:t xml:space="preserve">combustion sources including </w:t>
      </w:r>
      <w:r w:rsidRPr="00E17A12">
        <w:t>motor-vehicle emissions, and industrial and domestic use of solvents and coatings.</w:t>
      </w:r>
      <w:r w:rsidR="0057042A">
        <w:t xml:space="preserve"> To</w:t>
      </w:r>
      <w:r w:rsidR="00EE0A05">
        <w:t xml:space="preserve"> manage emissions of primary pollutants and</w:t>
      </w:r>
      <w:r>
        <w:t xml:space="preserve"> VOCs </w:t>
      </w:r>
      <w:r w:rsidR="00EE0A05">
        <w:t xml:space="preserve">to </w:t>
      </w:r>
      <w:r>
        <w:t>control O</w:t>
      </w:r>
      <w:r w:rsidRPr="00EA045C">
        <w:rPr>
          <w:vertAlign w:val="subscript"/>
        </w:rPr>
        <w:t>3</w:t>
      </w:r>
      <w:r>
        <w:t xml:space="preserve"> formation </w:t>
      </w:r>
      <w:r w:rsidR="00EE0A05">
        <w:t>it is necessary to have</w:t>
      </w:r>
      <w:r>
        <w:t xml:space="preserve"> a good understanding of the chemistry within the airshed.</w:t>
      </w:r>
    </w:p>
    <w:p w14:paraId="09B2FDD8" w14:textId="77777777" w:rsidR="00EA045C" w:rsidRDefault="00EA045C" w:rsidP="00EA045C"/>
    <w:p w14:paraId="32C1037D" w14:textId="77777777" w:rsidR="00EA045C" w:rsidRPr="00E17A12" w:rsidRDefault="00EA045C" w:rsidP="00EA045C">
      <w:r>
        <w:t>Nitrogen dioxide (NO</w:t>
      </w:r>
      <w:r w:rsidRPr="00EA045C">
        <w:rPr>
          <w:vertAlign w:val="subscript"/>
        </w:rPr>
        <w:t>2</w:t>
      </w:r>
      <w:r>
        <w:t>) can be emitted directly but in many situations is formed as a secondary pollutant when nitric oxide (NO) transforms in the presence of oxidants (for example O</w:t>
      </w:r>
      <w:r w:rsidRPr="00EA045C">
        <w:rPr>
          <w:vertAlign w:val="subscript"/>
        </w:rPr>
        <w:t>3</w:t>
      </w:r>
      <w:r>
        <w:t>) to NO</w:t>
      </w:r>
      <w:r w:rsidRPr="00EA045C">
        <w:rPr>
          <w:vertAlign w:val="subscript"/>
        </w:rPr>
        <w:t>2</w:t>
      </w:r>
      <w:r>
        <w:t>.</w:t>
      </w:r>
    </w:p>
    <w:p w14:paraId="31AF98D8" w14:textId="77777777" w:rsidR="00502B92" w:rsidRDefault="00502B92" w:rsidP="00502B92"/>
    <w:p w14:paraId="3887666B" w14:textId="77777777" w:rsidR="00D503B4" w:rsidRDefault="00502B92" w:rsidP="00EA045C">
      <w:r>
        <w:t>Regulation</w:t>
      </w:r>
      <w:r w:rsidRPr="00234369">
        <w:t xml:space="preserve"> </w:t>
      </w:r>
      <w:r>
        <w:t xml:space="preserve">20 </w:t>
      </w:r>
      <w:r w:rsidRPr="00234369">
        <w:t xml:space="preserve">applies </w:t>
      </w:r>
      <w:r>
        <w:t xml:space="preserve">only </w:t>
      </w:r>
      <w:r w:rsidRPr="00234369">
        <w:t xml:space="preserve">to discharges that are a </w:t>
      </w:r>
      <w:r w:rsidR="00FA6BD1">
        <w:t>‘</w:t>
      </w:r>
      <w:r w:rsidRPr="00D503B4">
        <w:rPr>
          <w:b/>
        </w:rPr>
        <w:t>principal source</w:t>
      </w:r>
      <w:r w:rsidR="00FA6BD1" w:rsidRPr="00D503B4">
        <w:rPr>
          <w:b/>
        </w:rPr>
        <w:t>’</w:t>
      </w:r>
      <w:r w:rsidRPr="00234369">
        <w:t xml:space="preserve"> of </w:t>
      </w:r>
      <w:r w:rsidR="009F5850">
        <w:t>the pollutant</w:t>
      </w:r>
      <w:r w:rsidR="00D503B4">
        <w:t xml:space="preserve"> in the airshed </w:t>
      </w:r>
      <w:r w:rsidR="00D503B4" w:rsidRPr="00D503B4">
        <w:rPr>
          <w:b/>
        </w:rPr>
        <w:t>and</w:t>
      </w:r>
      <w:r w:rsidR="00D503B4">
        <w:t xml:space="preserve"> the discharge is ‘</w:t>
      </w:r>
      <w:r w:rsidR="00D503B4" w:rsidRPr="00D503B4">
        <w:rPr>
          <w:b/>
        </w:rPr>
        <w:t>likely</w:t>
      </w:r>
      <w:r w:rsidR="00D503B4">
        <w:t>’ to cause the ambient standard to be breached.</w:t>
      </w:r>
    </w:p>
    <w:p w14:paraId="3D70E971" w14:textId="77777777" w:rsidR="00D503B4" w:rsidRDefault="00D503B4" w:rsidP="00EA045C"/>
    <w:p w14:paraId="2FB87456" w14:textId="77777777" w:rsidR="00EA045C" w:rsidRDefault="00D503B4" w:rsidP="00EA045C">
      <w:r>
        <w:t>For example, i</w:t>
      </w:r>
      <w:r w:rsidRPr="00234369">
        <w:t xml:space="preserve">n </w:t>
      </w:r>
      <w:r w:rsidR="00502B92" w:rsidRPr="00234369">
        <w:t>areas of very low background NO</w:t>
      </w:r>
      <w:r w:rsidR="00502B92" w:rsidRPr="00234369">
        <w:rPr>
          <w:vertAlign w:val="subscript"/>
        </w:rPr>
        <w:t>2</w:t>
      </w:r>
      <w:r w:rsidR="00502B92">
        <w:t>,</w:t>
      </w:r>
      <w:r w:rsidR="00502B92" w:rsidRPr="00234369">
        <w:t xml:space="preserve"> consent</w:t>
      </w:r>
      <w:r w:rsidR="00502B92">
        <w:t xml:space="preserve"> could not be granted</w:t>
      </w:r>
      <w:r w:rsidR="00502B92" w:rsidRPr="00234369">
        <w:t xml:space="preserve"> to a large discharge of nitrogen oxides (</w:t>
      </w:r>
      <w:r w:rsidR="00502B92">
        <w:t>‘</w:t>
      </w:r>
      <w:r w:rsidR="00502B92" w:rsidRPr="00234369">
        <w:t>a principal source</w:t>
      </w:r>
      <w:r w:rsidR="00502B92">
        <w:t>’</w:t>
      </w:r>
      <w:r w:rsidR="00502B92" w:rsidRPr="00234369">
        <w:t>) that caused a breach of the NO</w:t>
      </w:r>
      <w:r w:rsidR="00502B92" w:rsidRPr="00234369">
        <w:rPr>
          <w:vertAlign w:val="subscript"/>
        </w:rPr>
        <w:t>2</w:t>
      </w:r>
      <w:r w:rsidR="00502B92" w:rsidRPr="00234369">
        <w:t xml:space="preserve"> standard</w:t>
      </w:r>
      <w:r w:rsidR="0057042A">
        <w:t>.</w:t>
      </w:r>
      <w:r w:rsidR="00502B92">
        <w:t xml:space="preserve"> </w:t>
      </w:r>
      <w:r w:rsidR="00502B92" w:rsidRPr="00234369">
        <w:t>However, in areas of relatively high background NO</w:t>
      </w:r>
      <w:r w:rsidR="00502B92" w:rsidRPr="00234369">
        <w:rPr>
          <w:vertAlign w:val="subscript"/>
        </w:rPr>
        <w:t>2</w:t>
      </w:r>
      <w:r w:rsidR="00502B92" w:rsidRPr="00234369">
        <w:t xml:space="preserve"> (but below the </w:t>
      </w:r>
      <w:r w:rsidR="00502B92">
        <w:t xml:space="preserve">ambient </w:t>
      </w:r>
      <w:r w:rsidR="00502B92" w:rsidRPr="00234369">
        <w:t xml:space="preserve">standard) </w:t>
      </w:r>
      <w:r w:rsidR="00EE0A05">
        <w:t>the Regulations do not prohibit</w:t>
      </w:r>
      <w:r w:rsidR="00502B92" w:rsidRPr="00234369">
        <w:t xml:space="preserve"> grant</w:t>
      </w:r>
      <w:r w:rsidR="00EE0A05">
        <w:t xml:space="preserve">ing </w:t>
      </w:r>
      <w:r w:rsidR="00502B92" w:rsidRPr="00234369">
        <w:t>consent to a small discharge of nitrogen oxides</w:t>
      </w:r>
      <w:r w:rsidR="00502B92">
        <w:t xml:space="preserve"> – </w:t>
      </w:r>
      <w:r w:rsidR="00502B92" w:rsidRPr="00234369">
        <w:t>even if it pushed ambient levels of NO</w:t>
      </w:r>
      <w:r w:rsidR="00502B92" w:rsidRPr="00234369">
        <w:rPr>
          <w:vertAlign w:val="subscript"/>
        </w:rPr>
        <w:t>2</w:t>
      </w:r>
      <w:r w:rsidR="00502B92" w:rsidRPr="00234369">
        <w:t xml:space="preserve"> in the air</w:t>
      </w:r>
      <w:r w:rsidR="00502B92">
        <w:t>shed</w:t>
      </w:r>
      <w:r w:rsidR="00502B92" w:rsidRPr="00234369">
        <w:t xml:space="preserve"> over the </w:t>
      </w:r>
      <w:r w:rsidR="00502B92">
        <w:t xml:space="preserve">ambient </w:t>
      </w:r>
      <w:r w:rsidR="00502B92" w:rsidRPr="00234369">
        <w:t>standard</w:t>
      </w:r>
      <w:r w:rsidR="00294E22">
        <w:t xml:space="preserve"> </w:t>
      </w:r>
      <w:r w:rsidR="00EE0A05">
        <w:t>when</w:t>
      </w:r>
      <w:r w:rsidR="00294E22">
        <w:t xml:space="preserve"> the </w:t>
      </w:r>
      <w:r w:rsidR="00EE0A05">
        <w:t>activity is not a ‘principal source’</w:t>
      </w:r>
      <w:r w:rsidR="00502B92" w:rsidRPr="00234369">
        <w:t>.</w:t>
      </w:r>
    </w:p>
    <w:p w14:paraId="5253CA61" w14:textId="77777777" w:rsidR="007664B5" w:rsidRPr="00EA045C" w:rsidRDefault="007664B5" w:rsidP="00EA045C"/>
    <w:p w14:paraId="7387BB7C" w14:textId="77777777" w:rsidR="00EA045C" w:rsidRPr="00397315" w:rsidRDefault="00397315" w:rsidP="007664B5">
      <w:pPr>
        <w:pStyle w:val="Bullet"/>
        <w:tabs>
          <w:tab w:val="clear" w:pos="397"/>
        </w:tabs>
        <w:spacing w:before="0"/>
        <w:ind w:left="0" w:firstLine="0"/>
      </w:pPr>
      <w:r w:rsidRPr="00397315">
        <w:t xml:space="preserve">Whether </w:t>
      </w:r>
      <w:r w:rsidR="00EA045C" w:rsidRPr="00397315">
        <w:t xml:space="preserve">an activity is </w:t>
      </w:r>
      <w:r>
        <w:t>‘</w:t>
      </w:r>
      <w:r w:rsidR="00EA045C" w:rsidRPr="00397315">
        <w:t>principal source</w:t>
      </w:r>
      <w:r>
        <w:t>’</w:t>
      </w:r>
      <w:r w:rsidR="00EA045C" w:rsidRPr="00397315">
        <w:t xml:space="preserve"> </w:t>
      </w:r>
      <w:r w:rsidR="00EE0A05">
        <w:t>varies</w:t>
      </w:r>
      <w:r w:rsidR="00EA045C" w:rsidRPr="00397315">
        <w:t xml:space="preserve"> depending on the airshed t</w:t>
      </w:r>
      <w:r w:rsidR="0057042A">
        <w:t xml:space="preserve">he source is discharging into. </w:t>
      </w:r>
      <w:r w:rsidR="00EA045C" w:rsidRPr="00397315">
        <w:t xml:space="preserve">When determining whether a source </w:t>
      </w:r>
      <w:r w:rsidR="00EE0A05">
        <w:t>is</w:t>
      </w:r>
      <w:r w:rsidR="00EA045C" w:rsidRPr="00397315">
        <w:t xml:space="preserve"> a </w:t>
      </w:r>
      <w:r>
        <w:t>‘</w:t>
      </w:r>
      <w:r w:rsidR="00EA045C" w:rsidRPr="00397315">
        <w:t>principal</w:t>
      </w:r>
      <w:r w:rsidR="00AF36D0">
        <w:t>’</w:t>
      </w:r>
      <w:r w:rsidR="00EA045C" w:rsidRPr="00397315">
        <w:t xml:space="preserve"> source councils should consider the following:</w:t>
      </w:r>
    </w:p>
    <w:p w14:paraId="3930727E" w14:textId="77777777" w:rsidR="00EE0A05" w:rsidRDefault="00B22505" w:rsidP="00152DF6">
      <w:pPr>
        <w:pStyle w:val="Bullet"/>
        <w:numPr>
          <w:ilvl w:val="0"/>
          <w:numId w:val="13"/>
        </w:numPr>
      </w:pPr>
      <w:r w:rsidRPr="00397315">
        <w:t xml:space="preserve">the mass emission rate for the </w:t>
      </w:r>
      <w:r w:rsidR="00EE0A05">
        <w:t xml:space="preserve">source </w:t>
      </w:r>
      <w:r w:rsidRPr="00397315">
        <w:t xml:space="preserve">site compared </w:t>
      </w:r>
      <w:r w:rsidR="00EE0A05">
        <w:t>with</w:t>
      </w:r>
      <w:r w:rsidRPr="00397315">
        <w:t xml:space="preserve"> the total mass </w:t>
      </w:r>
      <w:r w:rsidR="00EE0A05">
        <w:t xml:space="preserve">emission rate </w:t>
      </w:r>
      <w:r w:rsidRPr="00397315">
        <w:t xml:space="preserve">within the airshed </w:t>
      </w:r>
    </w:p>
    <w:p w14:paraId="12A51BBA" w14:textId="77777777" w:rsidR="004948C0" w:rsidRDefault="00B22505" w:rsidP="00152DF6">
      <w:pPr>
        <w:pStyle w:val="Bullet"/>
        <w:numPr>
          <w:ilvl w:val="0"/>
          <w:numId w:val="13"/>
        </w:numPr>
      </w:pPr>
      <w:r w:rsidRPr="00397315">
        <w:t xml:space="preserve">the maximum predicted ground level concentration </w:t>
      </w:r>
      <w:r w:rsidR="00EE0A05">
        <w:t>from the source</w:t>
      </w:r>
      <w:r w:rsidRPr="00397315">
        <w:t xml:space="preserve">.  </w:t>
      </w:r>
      <w:r w:rsidR="00EE0A05">
        <w:t xml:space="preserve">The </w:t>
      </w:r>
      <w:r w:rsidR="00EE0A05" w:rsidRPr="00480897">
        <w:t xml:space="preserve">Good Practice Guide for Assessing Discharges to Air from Land Transport </w:t>
      </w:r>
      <w:r w:rsidR="00EE0A05">
        <w:t>(</w:t>
      </w:r>
      <w:r w:rsidR="00EE0A05" w:rsidRPr="00480897">
        <w:t>MfE, 2008</w:t>
      </w:r>
      <w:r w:rsidR="00480897" w:rsidRPr="00480897">
        <w:t>b</w:t>
      </w:r>
      <w:r w:rsidR="00EE0A05">
        <w:t>) considers</w:t>
      </w:r>
      <w:r w:rsidR="00397315" w:rsidRPr="00397315">
        <w:t xml:space="preserve"> an activity that emits</w:t>
      </w:r>
      <w:r w:rsidRPr="00397315">
        <w:t xml:space="preserve"> a maximum predicted ground level concentration of 5</w:t>
      </w:r>
      <w:r w:rsidR="00EE0A05">
        <w:t xml:space="preserve"> to 10</w:t>
      </w:r>
      <w:r w:rsidR="004C7B6C">
        <w:t xml:space="preserve">% </w:t>
      </w:r>
      <w:r w:rsidRPr="00397315">
        <w:t xml:space="preserve">of the ambient standard </w:t>
      </w:r>
      <w:r w:rsidR="00EE0A05">
        <w:t>to be</w:t>
      </w:r>
      <w:r w:rsidR="00B349E8" w:rsidRPr="00B349E8">
        <w:t xml:space="preserve"> </w:t>
      </w:r>
      <w:r w:rsidR="00B349E8">
        <w:t>important</w:t>
      </w:r>
      <w:r w:rsidR="0057042A">
        <w:t xml:space="preserve">. </w:t>
      </w:r>
      <w:r w:rsidR="00EE0A05">
        <w:t xml:space="preserve">This </w:t>
      </w:r>
      <w:r w:rsidR="00397315" w:rsidRPr="00397315">
        <w:t>could be reasonably considered to be a principal source</w:t>
      </w:r>
      <w:r w:rsidR="004948C0">
        <w:t>.</w:t>
      </w:r>
    </w:p>
    <w:p w14:paraId="63255AC7" w14:textId="77777777" w:rsidR="00D503B4" w:rsidRDefault="00D503B4" w:rsidP="00D503B4">
      <w:pPr>
        <w:pStyle w:val="Bullet"/>
        <w:tabs>
          <w:tab w:val="clear" w:pos="397"/>
        </w:tabs>
        <w:ind w:left="0" w:firstLine="0"/>
      </w:pPr>
      <w:r>
        <w:t>The term ‘likely’ is usually considered to mean ‘probably, poss</w:t>
      </w:r>
      <w:r w:rsidR="0057042A">
        <w:t xml:space="preserve">ibly or could be expected to’. </w:t>
      </w:r>
      <w:r>
        <w:t>This does not mean that the discharge must cause a</w:t>
      </w:r>
      <w:r w:rsidR="008B5815">
        <w:t xml:space="preserve"> breach</w:t>
      </w:r>
      <w:r>
        <w:t>, just that it could possibly do so.</w:t>
      </w:r>
    </w:p>
    <w:p w14:paraId="2B186494" w14:textId="77777777" w:rsidR="00AF36D0" w:rsidRDefault="00AF36D0" w:rsidP="00F846B7"/>
    <w:p w14:paraId="61D744E6" w14:textId="77777777" w:rsidR="00F846B7" w:rsidRPr="00A74F05" w:rsidRDefault="00F846B7" w:rsidP="003D7C8B">
      <w:pPr>
        <w:keepNext/>
        <w:pBdr>
          <w:top w:val="single" w:sz="4" w:space="1" w:color="auto"/>
          <w:left w:val="single" w:sz="4" w:space="3"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1</w:t>
      </w:r>
      <w:r w:rsidR="00D1696C">
        <w:rPr>
          <w:rStyle w:val="SubtleEmphasis"/>
          <w:b/>
          <w:color w:val="auto"/>
          <w:sz w:val="20"/>
        </w:rPr>
        <w:t>6</w:t>
      </w:r>
    </w:p>
    <w:p w14:paraId="1A7B222B" w14:textId="77777777" w:rsidR="00F846B7" w:rsidRPr="00CC45B9" w:rsidRDefault="00C11570" w:rsidP="00F846B7">
      <w:pPr>
        <w:keepNext/>
        <w:pBdr>
          <w:top w:val="single" w:sz="4" w:space="1" w:color="auto"/>
          <w:left w:val="single" w:sz="4" w:space="3" w:color="auto"/>
          <w:bottom w:val="single" w:sz="4" w:space="1" w:color="auto"/>
          <w:right w:val="single" w:sz="4" w:space="4" w:color="auto"/>
        </w:pBdr>
        <w:rPr>
          <w:rStyle w:val="SubtleEmphasis"/>
          <w:color w:val="auto"/>
          <w:sz w:val="20"/>
        </w:rPr>
      </w:pPr>
      <w:r>
        <w:rPr>
          <w:rStyle w:val="SubtleEmphasis"/>
          <w:color w:val="auto"/>
          <w:sz w:val="20"/>
        </w:rPr>
        <w:t>Octagon</w:t>
      </w:r>
      <w:r w:rsidRPr="00CC45B9">
        <w:rPr>
          <w:rStyle w:val="SubtleEmphasis"/>
          <w:color w:val="auto"/>
          <w:sz w:val="20"/>
        </w:rPr>
        <w:t xml:space="preserve"> </w:t>
      </w:r>
      <w:r w:rsidR="00F846B7" w:rsidRPr="00CC45B9">
        <w:rPr>
          <w:rStyle w:val="SubtleEmphasis"/>
          <w:color w:val="auto"/>
          <w:sz w:val="20"/>
        </w:rPr>
        <w:t xml:space="preserve">Power operates a </w:t>
      </w:r>
      <w:r>
        <w:rPr>
          <w:rStyle w:val="SubtleEmphasis"/>
          <w:color w:val="auto"/>
          <w:sz w:val="20"/>
        </w:rPr>
        <w:t>p</w:t>
      </w:r>
      <w:r w:rsidR="00F846B7" w:rsidRPr="00CC45B9">
        <w:rPr>
          <w:rStyle w:val="SubtleEmphasis"/>
          <w:color w:val="auto"/>
          <w:sz w:val="20"/>
        </w:rPr>
        <w:t xml:space="preserve">ower </w:t>
      </w:r>
      <w:r>
        <w:rPr>
          <w:rStyle w:val="SubtleEmphasis"/>
          <w:color w:val="auto"/>
          <w:sz w:val="20"/>
        </w:rPr>
        <w:t>s</w:t>
      </w:r>
      <w:r w:rsidR="00F846B7" w:rsidRPr="00CC45B9">
        <w:rPr>
          <w:rStyle w:val="SubtleEmphasis"/>
          <w:color w:val="auto"/>
          <w:sz w:val="20"/>
        </w:rPr>
        <w:t xml:space="preserve">tation in the </w:t>
      </w:r>
      <w:r>
        <w:rPr>
          <w:rStyle w:val="SubtleEmphasis"/>
          <w:color w:val="auto"/>
          <w:sz w:val="20"/>
        </w:rPr>
        <w:t>Saddleback</w:t>
      </w:r>
      <w:r w:rsidR="00F846B7" w:rsidRPr="00CC45B9">
        <w:rPr>
          <w:rStyle w:val="SubtleEmphasis"/>
          <w:color w:val="auto"/>
          <w:sz w:val="20"/>
        </w:rPr>
        <w:t xml:space="preserve"> Airshed. The plant is a large source of nitrogen dioxide (NO</w:t>
      </w:r>
      <w:r w:rsidR="00F846B7" w:rsidRPr="00CC45B9">
        <w:rPr>
          <w:rStyle w:val="SubtleEmphasis"/>
          <w:color w:val="auto"/>
          <w:sz w:val="20"/>
          <w:vertAlign w:val="subscript"/>
        </w:rPr>
        <w:t>2</w:t>
      </w:r>
      <w:r w:rsidR="00F846B7" w:rsidRPr="00CC45B9">
        <w:rPr>
          <w:rStyle w:val="SubtleEmphasis"/>
          <w:color w:val="auto"/>
          <w:sz w:val="20"/>
        </w:rPr>
        <w:t xml:space="preserve">) and is predicted to produce ground level concentrations outside </w:t>
      </w:r>
      <w:r>
        <w:rPr>
          <w:rStyle w:val="SubtleEmphasis"/>
          <w:color w:val="auto"/>
          <w:sz w:val="20"/>
        </w:rPr>
        <w:t>Octagon</w:t>
      </w:r>
      <w:r w:rsidRPr="00CC45B9">
        <w:rPr>
          <w:rStyle w:val="SubtleEmphasis"/>
          <w:color w:val="auto"/>
          <w:sz w:val="20"/>
        </w:rPr>
        <w:t xml:space="preserve">’s </w:t>
      </w:r>
      <w:r w:rsidR="00F846B7" w:rsidRPr="00CC45B9">
        <w:rPr>
          <w:rStyle w:val="SubtleEmphasis"/>
          <w:color w:val="auto"/>
          <w:sz w:val="20"/>
        </w:rPr>
        <w:t xml:space="preserve">site boundary (off-site) of 20 </w:t>
      </w:r>
      <w:r w:rsidR="00F846B7">
        <w:rPr>
          <w:rStyle w:val="SubtleEmphasis"/>
          <w:color w:val="auto"/>
          <w:sz w:val="20"/>
        </w:rPr>
        <w:t>µ</w:t>
      </w:r>
      <w:r w:rsidR="00F846B7" w:rsidRPr="00CC45B9">
        <w:rPr>
          <w:rStyle w:val="SubtleEmphasis"/>
          <w:color w:val="auto"/>
          <w:sz w:val="20"/>
        </w:rPr>
        <w:t>g.m</w:t>
      </w:r>
      <w:r w:rsidR="00F846B7" w:rsidRPr="00CC45B9">
        <w:rPr>
          <w:rStyle w:val="SubtleEmphasis"/>
          <w:color w:val="auto"/>
          <w:sz w:val="20"/>
          <w:vertAlign w:val="superscript"/>
        </w:rPr>
        <w:t>-3</w:t>
      </w:r>
      <w:r w:rsidR="00F846B7" w:rsidRPr="00CC45B9">
        <w:rPr>
          <w:rStyle w:val="SubtleEmphasis"/>
          <w:color w:val="auto"/>
          <w:sz w:val="20"/>
        </w:rPr>
        <w:t xml:space="preserve">(1-hour average) for 10 hours per year. The ambient </w:t>
      </w:r>
      <w:r w:rsidR="00F846B7">
        <w:rPr>
          <w:rStyle w:val="SubtleEmphasis"/>
          <w:color w:val="auto"/>
          <w:sz w:val="20"/>
        </w:rPr>
        <w:t>NO</w:t>
      </w:r>
      <w:r w:rsidR="00F846B7" w:rsidRPr="00CC45B9">
        <w:rPr>
          <w:rStyle w:val="SubtleEmphasis"/>
          <w:color w:val="auto"/>
          <w:sz w:val="20"/>
          <w:vertAlign w:val="subscript"/>
        </w:rPr>
        <w:t>2</w:t>
      </w:r>
      <w:r w:rsidR="00F846B7">
        <w:rPr>
          <w:rStyle w:val="SubtleEmphasis"/>
          <w:color w:val="auto"/>
          <w:sz w:val="20"/>
        </w:rPr>
        <w:t xml:space="preserve"> </w:t>
      </w:r>
      <w:r w:rsidR="00F846B7" w:rsidRPr="00CC45B9">
        <w:rPr>
          <w:rStyle w:val="SubtleEmphasis"/>
          <w:color w:val="auto"/>
          <w:sz w:val="20"/>
        </w:rPr>
        <w:t xml:space="preserve">standard is 200 </w:t>
      </w:r>
      <w:r w:rsidR="00F846B7">
        <w:rPr>
          <w:rStyle w:val="SubtleEmphasis"/>
          <w:color w:val="auto"/>
          <w:sz w:val="20"/>
        </w:rPr>
        <w:t>µ</w:t>
      </w:r>
      <w:r w:rsidR="00F846B7" w:rsidRPr="00CC45B9">
        <w:rPr>
          <w:rStyle w:val="SubtleEmphasis"/>
          <w:color w:val="auto"/>
          <w:sz w:val="20"/>
        </w:rPr>
        <w:t>g.m</w:t>
      </w:r>
      <w:r w:rsidR="00F846B7" w:rsidRPr="00CC45B9">
        <w:rPr>
          <w:rStyle w:val="SubtleEmphasis"/>
          <w:color w:val="auto"/>
          <w:sz w:val="20"/>
          <w:vertAlign w:val="superscript"/>
        </w:rPr>
        <w:t>-3</w:t>
      </w:r>
      <w:r w:rsidR="00F846B7" w:rsidRPr="00CC45B9">
        <w:rPr>
          <w:rStyle w:val="SubtleEmphasis"/>
          <w:color w:val="auto"/>
          <w:sz w:val="20"/>
        </w:rPr>
        <w:t xml:space="preserve"> (1-hour average) – with a maximum of 9 hours of exceedances allowed per year. The historic background levels within the </w:t>
      </w:r>
      <w:r w:rsidR="0074470A">
        <w:rPr>
          <w:rStyle w:val="SubtleEmphasis"/>
          <w:color w:val="auto"/>
          <w:sz w:val="20"/>
        </w:rPr>
        <w:t>Saddleback</w:t>
      </w:r>
      <w:r w:rsidR="00F846B7" w:rsidRPr="00CC45B9">
        <w:rPr>
          <w:rStyle w:val="SubtleEmphasis"/>
          <w:color w:val="auto"/>
          <w:sz w:val="20"/>
        </w:rPr>
        <w:t xml:space="preserve"> Airshed are around 100 </w:t>
      </w:r>
      <w:r w:rsidR="00F846B7">
        <w:rPr>
          <w:rStyle w:val="SubtleEmphasis"/>
          <w:color w:val="auto"/>
          <w:sz w:val="20"/>
        </w:rPr>
        <w:t>µ</w:t>
      </w:r>
      <w:r w:rsidR="00F846B7" w:rsidRPr="00CC45B9">
        <w:rPr>
          <w:rStyle w:val="SubtleEmphasis"/>
          <w:color w:val="auto"/>
          <w:sz w:val="20"/>
        </w:rPr>
        <w:t>g.m</w:t>
      </w:r>
      <w:r w:rsidR="00F846B7" w:rsidRPr="00CC45B9">
        <w:rPr>
          <w:rStyle w:val="SubtleEmphasis"/>
          <w:color w:val="auto"/>
          <w:sz w:val="20"/>
          <w:vertAlign w:val="superscript"/>
        </w:rPr>
        <w:t>-3</w:t>
      </w:r>
      <w:r w:rsidR="00F846B7" w:rsidRPr="00CC45B9">
        <w:rPr>
          <w:rStyle w:val="SubtleEmphasis"/>
          <w:color w:val="auto"/>
          <w:sz w:val="20"/>
        </w:rPr>
        <w:t xml:space="preserve">, giving a predicted combined </w:t>
      </w:r>
      <w:r w:rsidR="00F846B7">
        <w:rPr>
          <w:rStyle w:val="SubtleEmphasis"/>
          <w:color w:val="auto"/>
          <w:sz w:val="20"/>
        </w:rPr>
        <w:t xml:space="preserve">maximum </w:t>
      </w:r>
      <w:r w:rsidR="00F846B7" w:rsidRPr="00CC45B9">
        <w:rPr>
          <w:rStyle w:val="SubtleEmphasis"/>
          <w:color w:val="auto"/>
          <w:sz w:val="20"/>
        </w:rPr>
        <w:t xml:space="preserve">ground level </w:t>
      </w:r>
      <w:r w:rsidR="00F846B7">
        <w:rPr>
          <w:rStyle w:val="SubtleEmphasis"/>
          <w:color w:val="auto"/>
          <w:sz w:val="20"/>
        </w:rPr>
        <w:t>NO</w:t>
      </w:r>
      <w:r w:rsidR="00F846B7" w:rsidRPr="00CC45B9">
        <w:rPr>
          <w:rStyle w:val="SubtleEmphasis"/>
          <w:color w:val="auto"/>
          <w:sz w:val="20"/>
          <w:vertAlign w:val="subscript"/>
        </w:rPr>
        <w:t>2</w:t>
      </w:r>
      <w:r w:rsidR="00F846B7">
        <w:rPr>
          <w:rStyle w:val="SubtleEmphasis"/>
          <w:color w:val="auto"/>
          <w:sz w:val="20"/>
        </w:rPr>
        <w:t xml:space="preserve"> </w:t>
      </w:r>
      <w:r w:rsidR="00F846B7" w:rsidRPr="00CC45B9">
        <w:rPr>
          <w:rStyle w:val="SubtleEmphasis"/>
          <w:color w:val="auto"/>
          <w:sz w:val="20"/>
        </w:rPr>
        <w:t>concentration of 120</w:t>
      </w:r>
      <w:r w:rsidR="00F846B7">
        <w:rPr>
          <w:rStyle w:val="SubtleEmphasis"/>
          <w:color w:val="auto"/>
          <w:sz w:val="20"/>
        </w:rPr>
        <w:t xml:space="preserve"> µ</w:t>
      </w:r>
      <w:r w:rsidR="00F846B7" w:rsidRPr="00CC45B9">
        <w:rPr>
          <w:rStyle w:val="SubtleEmphasis"/>
          <w:color w:val="auto"/>
          <w:sz w:val="20"/>
        </w:rPr>
        <w:t>g.m</w:t>
      </w:r>
      <w:r w:rsidR="00F846B7" w:rsidRPr="00CC45B9">
        <w:rPr>
          <w:rStyle w:val="SubtleEmphasis"/>
          <w:color w:val="auto"/>
          <w:sz w:val="20"/>
          <w:vertAlign w:val="superscript"/>
        </w:rPr>
        <w:t>-3</w:t>
      </w:r>
      <w:r w:rsidR="00F846B7" w:rsidRPr="00CC45B9">
        <w:rPr>
          <w:rStyle w:val="SubtleEmphasis"/>
          <w:color w:val="auto"/>
          <w:sz w:val="20"/>
        </w:rPr>
        <w:t>. Therefore:</w:t>
      </w:r>
    </w:p>
    <w:p w14:paraId="00DA93B5" w14:textId="77777777" w:rsidR="00F846B7" w:rsidRPr="00A74F05" w:rsidRDefault="00F846B7" w:rsidP="00F846B7">
      <w:pPr>
        <w:pBdr>
          <w:top w:val="single" w:sz="4" w:space="1" w:color="auto"/>
          <w:left w:val="single" w:sz="4" w:space="3" w:color="auto"/>
          <w:bottom w:val="single" w:sz="4" w:space="1" w:color="auto"/>
          <w:right w:val="single" w:sz="4" w:space="4" w:color="auto"/>
        </w:pBdr>
        <w:rPr>
          <w:rStyle w:val="SubtleEmphasis"/>
          <w:color w:val="auto"/>
          <w:sz w:val="20"/>
        </w:rPr>
      </w:pPr>
    </w:p>
    <w:p w14:paraId="5C613030" w14:textId="77777777" w:rsidR="00F846B7"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spacing w:after="120"/>
        <w:ind w:left="284" w:hanging="284"/>
        <w:contextualSpacing w:val="0"/>
        <w:rPr>
          <w:i/>
          <w:sz w:val="20"/>
        </w:rPr>
      </w:pPr>
      <w:r>
        <w:rPr>
          <w:i/>
          <w:sz w:val="20"/>
        </w:rPr>
        <w:t xml:space="preserve">the power station is one of the largest individual sources of NOx in the </w:t>
      </w:r>
      <w:r w:rsidR="0074470A">
        <w:rPr>
          <w:i/>
          <w:sz w:val="20"/>
        </w:rPr>
        <w:t>Saddleback</w:t>
      </w:r>
      <w:r>
        <w:rPr>
          <w:i/>
          <w:sz w:val="20"/>
        </w:rPr>
        <w:t xml:space="preserve"> Airshed emitting nearly half a tonne a day</w:t>
      </w:r>
    </w:p>
    <w:p w14:paraId="17828C70" w14:textId="77777777" w:rsidR="00F846B7"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spacing w:after="120"/>
        <w:ind w:left="284" w:hanging="284"/>
        <w:contextualSpacing w:val="0"/>
        <w:rPr>
          <w:i/>
          <w:sz w:val="20"/>
        </w:rPr>
      </w:pPr>
      <w:r>
        <w:rPr>
          <w:i/>
          <w:sz w:val="20"/>
        </w:rPr>
        <w:t>maximum predicted concentrations are substantial (20 µg.m</w:t>
      </w:r>
      <w:r w:rsidRPr="00CC45B9">
        <w:rPr>
          <w:i/>
          <w:sz w:val="20"/>
          <w:vertAlign w:val="superscript"/>
        </w:rPr>
        <w:t>-3</w:t>
      </w:r>
      <w:r>
        <w:rPr>
          <w:i/>
          <w:sz w:val="20"/>
        </w:rPr>
        <w:t xml:space="preserve"> is 10% of the ambient NO</w:t>
      </w:r>
      <w:r w:rsidRPr="00CC45B9">
        <w:rPr>
          <w:i/>
          <w:sz w:val="20"/>
          <w:vertAlign w:val="subscript"/>
        </w:rPr>
        <w:t>2</w:t>
      </w:r>
      <w:r>
        <w:rPr>
          <w:i/>
          <w:sz w:val="20"/>
        </w:rPr>
        <w:t xml:space="preserve"> standard of 200 µg.m</w:t>
      </w:r>
      <w:r w:rsidRPr="00CC45B9">
        <w:rPr>
          <w:i/>
          <w:sz w:val="20"/>
          <w:vertAlign w:val="superscript"/>
        </w:rPr>
        <w:t>-3</w:t>
      </w:r>
    </w:p>
    <w:p w14:paraId="06527251" w14:textId="77777777" w:rsidR="00F846B7" w:rsidRPr="0072605B"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spacing w:after="120"/>
        <w:ind w:left="284" w:hanging="284"/>
        <w:contextualSpacing w:val="0"/>
        <w:rPr>
          <w:i/>
          <w:sz w:val="20"/>
        </w:rPr>
      </w:pPr>
      <w:r>
        <w:rPr>
          <w:i/>
          <w:sz w:val="20"/>
        </w:rPr>
        <w:t>the power station can reasonably be considered to be a principal source</w:t>
      </w:r>
    </w:p>
    <w:p w14:paraId="23F847CC" w14:textId="77777777" w:rsidR="00F846B7"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ind w:left="284" w:hanging="284"/>
        <w:contextualSpacing w:val="0"/>
        <w:rPr>
          <w:i/>
          <w:sz w:val="20"/>
        </w:rPr>
      </w:pPr>
      <w:r>
        <w:rPr>
          <w:i/>
          <w:sz w:val="20"/>
        </w:rPr>
        <w:t xml:space="preserve">however, consent can be granted because the power station will not, and is not likely to, cause the </w:t>
      </w:r>
      <w:r w:rsidR="0074470A">
        <w:rPr>
          <w:i/>
          <w:sz w:val="20"/>
        </w:rPr>
        <w:t>Saddleback</w:t>
      </w:r>
      <w:r>
        <w:rPr>
          <w:i/>
          <w:sz w:val="20"/>
        </w:rPr>
        <w:t xml:space="preserve"> Airshed to exceed the ambient standard</w:t>
      </w:r>
      <w:r w:rsidRPr="0072605B">
        <w:rPr>
          <w:i/>
          <w:sz w:val="20"/>
        </w:rPr>
        <w:t>.</w:t>
      </w:r>
    </w:p>
    <w:p w14:paraId="06E723B2" w14:textId="77777777" w:rsidR="00F846B7" w:rsidRDefault="00F846B7" w:rsidP="00F846B7">
      <w:pPr>
        <w:keepNext/>
        <w:pBdr>
          <w:top w:val="single" w:sz="4" w:space="1" w:color="auto"/>
          <w:left w:val="single" w:sz="4" w:space="3" w:color="auto"/>
          <w:bottom w:val="single" w:sz="4" w:space="1" w:color="auto"/>
          <w:right w:val="single" w:sz="4" w:space="4" w:color="auto"/>
        </w:pBdr>
        <w:rPr>
          <w:rStyle w:val="SubtleEmphasis"/>
          <w:color w:val="auto"/>
          <w:sz w:val="20"/>
        </w:rPr>
      </w:pPr>
    </w:p>
    <w:p w14:paraId="6C511B2F" w14:textId="77777777" w:rsidR="00F846B7" w:rsidRPr="00AB28D6" w:rsidRDefault="0074470A" w:rsidP="00F846B7">
      <w:pPr>
        <w:keepNext/>
        <w:pBdr>
          <w:top w:val="single" w:sz="4" w:space="1" w:color="auto"/>
          <w:left w:val="single" w:sz="4" w:space="3" w:color="auto"/>
          <w:bottom w:val="single" w:sz="4" w:space="1" w:color="auto"/>
          <w:right w:val="single" w:sz="4" w:space="4" w:color="auto"/>
        </w:pBdr>
        <w:rPr>
          <w:rStyle w:val="SubtleEmphasis"/>
          <w:color w:val="auto"/>
          <w:sz w:val="20"/>
        </w:rPr>
      </w:pPr>
      <w:r>
        <w:rPr>
          <w:rStyle w:val="SubtleEmphasis"/>
          <w:color w:val="auto"/>
          <w:sz w:val="20"/>
        </w:rPr>
        <w:t>Pōhutukawa</w:t>
      </w:r>
      <w:r w:rsidRPr="00AB28D6">
        <w:rPr>
          <w:rStyle w:val="SubtleEmphasis"/>
          <w:color w:val="auto"/>
          <w:sz w:val="20"/>
        </w:rPr>
        <w:t xml:space="preserve"> </w:t>
      </w:r>
      <w:r w:rsidR="00F846B7" w:rsidRPr="00AB28D6">
        <w:rPr>
          <w:rStyle w:val="SubtleEmphasis"/>
          <w:color w:val="auto"/>
          <w:sz w:val="20"/>
        </w:rPr>
        <w:t xml:space="preserve">Regional Council undertakes further monitoring in the </w:t>
      </w:r>
      <w:r>
        <w:rPr>
          <w:rStyle w:val="SubtleEmphasis"/>
          <w:color w:val="auto"/>
          <w:sz w:val="20"/>
        </w:rPr>
        <w:t>Saddleback</w:t>
      </w:r>
      <w:r w:rsidR="00F846B7" w:rsidRPr="00AB28D6">
        <w:rPr>
          <w:rStyle w:val="SubtleEmphasis"/>
          <w:color w:val="auto"/>
          <w:sz w:val="20"/>
        </w:rPr>
        <w:t xml:space="preserve"> Airshed and determines that the maximum background concentration of NO</w:t>
      </w:r>
      <w:r w:rsidR="00F846B7" w:rsidRPr="00AB28D6">
        <w:rPr>
          <w:rStyle w:val="SubtleEmphasis"/>
          <w:color w:val="auto"/>
          <w:sz w:val="20"/>
          <w:vertAlign w:val="subscript"/>
        </w:rPr>
        <w:t>2</w:t>
      </w:r>
      <w:r w:rsidR="00F846B7" w:rsidRPr="00AB28D6">
        <w:rPr>
          <w:rStyle w:val="SubtleEmphasis"/>
          <w:color w:val="auto"/>
          <w:sz w:val="20"/>
        </w:rPr>
        <w:t xml:space="preserve"> is </w:t>
      </w:r>
      <w:r w:rsidR="00F846B7">
        <w:rPr>
          <w:rStyle w:val="SubtleEmphasis"/>
          <w:color w:val="auto"/>
          <w:sz w:val="20"/>
        </w:rPr>
        <w:t xml:space="preserve">actually </w:t>
      </w:r>
      <w:r w:rsidR="00F846B7" w:rsidRPr="00AB28D6">
        <w:rPr>
          <w:rStyle w:val="SubtleEmphasis"/>
          <w:color w:val="auto"/>
          <w:sz w:val="20"/>
        </w:rPr>
        <w:t xml:space="preserve">195 </w:t>
      </w:r>
      <w:r w:rsidR="00F846B7">
        <w:rPr>
          <w:rStyle w:val="SubtleEmphasis"/>
          <w:color w:val="auto"/>
          <w:sz w:val="20"/>
        </w:rPr>
        <w:t>µ</w:t>
      </w:r>
      <w:r w:rsidR="00F846B7" w:rsidRPr="00AB28D6">
        <w:rPr>
          <w:rStyle w:val="SubtleEmphasis"/>
          <w:color w:val="auto"/>
          <w:sz w:val="20"/>
        </w:rPr>
        <w:t>g.m</w:t>
      </w:r>
      <w:r w:rsidR="00F846B7" w:rsidRPr="00AB28D6">
        <w:rPr>
          <w:rStyle w:val="SubtleEmphasis"/>
          <w:color w:val="auto"/>
          <w:sz w:val="20"/>
          <w:vertAlign w:val="superscript"/>
        </w:rPr>
        <w:t>-3</w:t>
      </w:r>
      <w:r w:rsidR="00F846B7" w:rsidRPr="00AB28D6">
        <w:rPr>
          <w:rStyle w:val="SubtleEmphasis"/>
          <w:color w:val="auto"/>
          <w:sz w:val="20"/>
        </w:rPr>
        <w:t>. This give</w:t>
      </w:r>
      <w:r w:rsidR="00F846B7">
        <w:rPr>
          <w:rStyle w:val="SubtleEmphasis"/>
          <w:color w:val="auto"/>
          <w:sz w:val="20"/>
        </w:rPr>
        <w:t>s</w:t>
      </w:r>
      <w:r w:rsidR="00F846B7" w:rsidRPr="00AB28D6">
        <w:rPr>
          <w:rStyle w:val="SubtleEmphasis"/>
          <w:color w:val="auto"/>
          <w:sz w:val="20"/>
        </w:rPr>
        <w:t xml:space="preserve"> a predicted </w:t>
      </w:r>
      <w:r w:rsidR="00F846B7">
        <w:rPr>
          <w:rStyle w:val="SubtleEmphasis"/>
          <w:color w:val="auto"/>
          <w:sz w:val="20"/>
        </w:rPr>
        <w:t xml:space="preserve">combined </w:t>
      </w:r>
      <w:r w:rsidR="00F846B7" w:rsidRPr="00AB28D6">
        <w:rPr>
          <w:rStyle w:val="SubtleEmphasis"/>
          <w:color w:val="auto"/>
          <w:sz w:val="20"/>
        </w:rPr>
        <w:t>maximum ground lev</w:t>
      </w:r>
      <w:r w:rsidR="00F846B7">
        <w:rPr>
          <w:rStyle w:val="SubtleEmphasis"/>
          <w:color w:val="auto"/>
          <w:sz w:val="20"/>
        </w:rPr>
        <w:t>el NO</w:t>
      </w:r>
      <w:r w:rsidR="00F846B7" w:rsidRPr="00AB28D6">
        <w:rPr>
          <w:rStyle w:val="SubtleEmphasis"/>
          <w:color w:val="auto"/>
          <w:sz w:val="20"/>
          <w:vertAlign w:val="subscript"/>
        </w:rPr>
        <w:t>2</w:t>
      </w:r>
      <w:r w:rsidR="00F846B7" w:rsidRPr="00AB28D6">
        <w:rPr>
          <w:rStyle w:val="SubtleEmphasis"/>
          <w:color w:val="auto"/>
          <w:sz w:val="20"/>
        </w:rPr>
        <w:t xml:space="preserve"> concentration of 215 </w:t>
      </w:r>
      <w:r w:rsidR="00F846B7">
        <w:rPr>
          <w:rStyle w:val="SubtleEmphasis"/>
          <w:color w:val="auto"/>
          <w:sz w:val="20"/>
        </w:rPr>
        <w:t>µ</w:t>
      </w:r>
      <w:r w:rsidR="00F846B7" w:rsidRPr="00AB28D6">
        <w:rPr>
          <w:rStyle w:val="SubtleEmphasis"/>
          <w:color w:val="auto"/>
          <w:sz w:val="20"/>
        </w:rPr>
        <w:t>g.m</w:t>
      </w:r>
      <w:r w:rsidR="00F846B7" w:rsidRPr="00AB28D6">
        <w:rPr>
          <w:rStyle w:val="SubtleEmphasis"/>
          <w:color w:val="auto"/>
          <w:sz w:val="20"/>
          <w:vertAlign w:val="superscript"/>
        </w:rPr>
        <w:t>-3</w:t>
      </w:r>
      <w:r w:rsidR="00F846B7" w:rsidRPr="00AB28D6">
        <w:rPr>
          <w:rStyle w:val="SubtleEmphasis"/>
          <w:color w:val="auto"/>
          <w:sz w:val="20"/>
        </w:rPr>
        <w:t xml:space="preserve"> for up to 10 hours per year. Thus:</w:t>
      </w:r>
    </w:p>
    <w:p w14:paraId="7E8CCAC3" w14:textId="77777777" w:rsidR="00F846B7" w:rsidRPr="00A74F05" w:rsidRDefault="00F846B7" w:rsidP="00F846B7">
      <w:pPr>
        <w:pBdr>
          <w:top w:val="single" w:sz="4" w:space="1" w:color="auto"/>
          <w:left w:val="single" w:sz="4" w:space="3" w:color="auto"/>
          <w:bottom w:val="single" w:sz="4" w:space="1" w:color="auto"/>
          <w:right w:val="single" w:sz="4" w:space="4" w:color="auto"/>
        </w:pBdr>
        <w:rPr>
          <w:rStyle w:val="SubtleEmphasis"/>
          <w:color w:val="auto"/>
          <w:sz w:val="20"/>
        </w:rPr>
      </w:pPr>
    </w:p>
    <w:p w14:paraId="7A4BA23B" w14:textId="77777777" w:rsidR="00F846B7"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B349E8">
        <w:rPr>
          <w:i/>
          <w:sz w:val="20"/>
        </w:rPr>
        <w:t xml:space="preserve">he power station is likely to be a principal source </w:t>
      </w:r>
      <w:r w:rsidRPr="00AB28D6">
        <w:rPr>
          <w:b/>
          <w:i/>
          <w:sz w:val="20"/>
        </w:rPr>
        <w:t>and</w:t>
      </w:r>
    </w:p>
    <w:p w14:paraId="429BBA54" w14:textId="77777777" w:rsidR="00F846B7" w:rsidRPr="00B349E8"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ind w:left="284" w:hanging="284"/>
        <w:contextualSpacing w:val="0"/>
        <w:rPr>
          <w:i/>
          <w:sz w:val="20"/>
        </w:rPr>
      </w:pPr>
      <w:r>
        <w:rPr>
          <w:i/>
          <w:sz w:val="20"/>
        </w:rPr>
        <w:t>c</w:t>
      </w:r>
      <w:r w:rsidRPr="00B349E8">
        <w:rPr>
          <w:i/>
          <w:sz w:val="20"/>
        </w:rPr>
        <w:t xml:space="preserve">onsent must be declined, because the power station is likely to cause the </w:t>
      </w:r>
      <w:r w:rsidR="00484E67">
        <w:rPr>
          <w:i/>
          <w:sz w:val="20"/>
        </w:rPr>
        <w:t>Saddleback</w:t>
      </w:r>
      <w:r w:rsidRPr="00B349E8">
        <w:rPr>
          <w:i/>
          <w:sz w:val="20"/>
        </w:rPr>
        <w:t xml:space="preserve"> Airshed to exceed the ambient standard.</w:t>
      </w:r>
    </w:p>
    <w:p w14:paraId="6B47FCF5" w14:textId="77777777" w:rsidR="00F846B7" w:rsidRDefault="00F846B7" w:rsidP="00F846B7">
      <w:pPr>
        <w:keepNext/>
        <w:pBdr>
          <w:top w:val="single" w:sz="4" w:space="1" w:color="auto"/>
          <w:left w:val="single" w:sz="4" w:space="3" w:color="auto"/>
          <w:bottom w:val="single" w:sz="4" w:space="1" w:color="auto"/>
          <w:right w:val="single" w:sz="4" w:space="4" w:color="auto"/>
        </w:pBdr>
        <w:rPr>
          <w:rStyle w:val="SubtleEmphasis"/>
          <w:color w:val="auto"/>
          <w:sz w:val="20"/>
        </w:rPr>
      </w:pPr>
    </w:p>
    <w:p w14:paraId="43C0380B" w14:textId="77777777" w:rsidR="00F846B7" w:rsidRDefault="00F846B7" w:rsidP="00F846B7">
      <w:pPr>
        <w:keepNext/>
        <w:pBdr>
          <w:top w:val="single" w:sz="4" w:space="1" w:color="auto"/>
          <w:left w:val="single" w:sz="4" w:space="3" w:color="auto"/>
          <w:bottom w:val="single" w:sz="4" w:space="1" w:color="auto"/>
          <w:right w:val="single" w:sz="4" w:space="4" w:color="auto"/>
        </w:pBdr>
        <w:rPr>
          <w:rStyle w:val="SubtleEmphasis"/>
          <w:color w:val="auto"/>
          <w:sz w:val="20"/>
        </w:rPr>
      </w:pPr>
      <w:r>
        <w:rPr>
          <w:rStyle w:val="SubtleEmphasis"/>
          <w:color w:val="auto"/>
          <w:sz w:val="20"/>
        </w:rPr>
        <w:t xml:space="preserve">In response to the likely declining of their original consent, </w:t>
      </w:r>
      <w:r w:rsidR="00484E67">
        <w:rPr>
          <w:rStyle w:val="SubtleEmphasis"/>
          <w:color w:val="auto"/>
          <w:sz w:val="20"/>
        </w:rPr>
        <w:t xml:space="preserve">Octagon </w:t>
      </w:r>
      <w:r>
        <w:rPr>
          <w:rStyle w:val="SubtleEmphasis"/>
          <w:color w:val="auto"/>
          <w:sz w:val="20"/>
        </w:rPr>
        <w:t xml:space="preserve">Power </w:t>
      </w:r>
      <w:r w:rsidRPr="00AB28D6">
        <w:rPr>
          <w:rStyle w:val="SubtleEmphasis"/>
          <w:color w:val="auto"/>
          <w:sz w:val="20"/>
        </w:rPr>
        <w:t>propose</w:t>
      </w:r>
      <w:r>
        <w:rPr>
          <w:rStyle w:val="SubtleEmphasis"/>
          <w:color w:val="auto"/>
          <w:sz w:val="20"/>
        </w:rPr>
        <w:t>d</w:t>
      </w:r>
      <w:r w:rsidRPr="00AB28D6">
        <w:rPr>
          <w:rStyle w:val="SubtleEmphasis"/>
          <w:color w:val="auto"/>
          <w:sz w:val="20"/>
        </w:rPr>
        <w:t xml:space="preserve"> different control equipment and advised that the maximum ground level </w:t>
      </w:r>
      <w:r>
        <w:rPr>
          <w:rStyle w:val="SubtleEmphasis"/>
          <w:color w:val="auto"/>
          <w:sz w:val="20"/>
        </w:rPr>
        <w:t>NO</w:t>
      </w:r>
      <w:r w:rsidRPr="00AB28D6">
        <w:rPr>
          <w:rStyle w:val="SubtleEmphasis"/>
          <w:color w:val="auto"/>
          <w:sz w:val="20"/>
          <w:vertAlign w:val="subscript"/>
        </w:rPr>
        <w:t>2</w:t>
      </w:r>
      <w:r>
        <w:rPr>
          <w:rStyle w:val="SubtleEmphasis"/>
          <w:color w:val="auto"/>
          <w:sz w:val="20"/>
        </w:rPr>
        <w:t xml:space="preserve"> </w:t>
      </w:r>
      <w:r w:rsidRPr="00AB28D6">
        <w:rPr>
          <w:rStyle w:val="SubtleEmphasis"/>
          <w:color w:val="auto"/>
          <w:sz w:val="20"/>
        </w:rPr>
        <w:t>concentrations produce</w:t>
      </w:r>
      <w:r>
        <w:rPr>
          <w:rStyle w:val="SubtleEmphasis"/>
          <w:color w:val="auto"/>
          <w:sz w:val="20"/>
        </w:rPr>
        <w:t>d</w:t>
      </w:r>
      <w:r w:rsidRPr="00AB28D6">
        <w:rPr>
          <w:rStyle w:val="SubtleEmphasis"/>
          <w:color w:val="auto"/>
          <w:sz w:val="20"/>
        </w:rPr>
        <w:t xml:space="preserve"> off-site </w:t>
      </w:r>
      <w:r>
        <w:rPr>
          <w:rStyle w:val="SubtleEmphasis"/>
          <w:color w:val="auto"/>
          <w:sz w:val="20"/>
        </w:rPr>
        <w:t xml:space="preserve">by the power station </w:t>
      </w:r>
      <w:r w:rsidRPr="00AB28D6">
        <w:rPr>
          <w:rStyle w:val="SubtleEmphasis"/>
          <w:color w:val="auto"/>
          <w:sz w:val="20"/>
        </w:rPr>
        <w:t xml:space="preserve">would now be only 7 </w:t>
      </w:r>
      <w:r>
        <w:rPr>
          <w:rStyle w:val="SubtleEmphasis"/>
          <w:color w:val="auto"/>
          <w:sz w:val="20"/>
        </w:rPr>
        <w:t>µ</w:t>
      </w:r>
      <w:r w:rsidRPr="00AB28D6">
        <w:rPr>
          <w:rStyle w:val="SubtleEmphasis"/>
          <w:color w:val="auto"/>
          <w:sz w:val="20"/>
        </w:rPr>
        <w:t>g.m</w:t>
      </w:r>
      <w:r w:rsidRPr="00AB28D6">
        <w:rPr>
          <w:rStyle w:val="SubtleEmphasis"/>
          <w:color w:val="auto"/>
          <w:sz w:val="20"/>
          <w:vertAlign w:val="superscript"/>
        </w:rPr>
        <w:t>-3</w:t>
      </w:r>
      <w:r w:rsidRPr="00AB28D6">
        <w:rPr>
          <w:rStyle w:val="SubtleEmphasis"/>
          <w:color w:val="auto"/>
          <w:sz w:val="20"/>
        </w:rPr>
        <w:t xml:space="preserve">. This would give a maximum combined ground level </w:t>
      </w:r>
      <w:r>
        <w:rPr>
          <w:rStyle w:val="SubtleEmphasis"/>
          <w:color w:val="auto"/>
          <w:sz w:val="20"/>
        </w:rPr>
        <w:t>NO</w:t>
      </w:r>
      <w:r w:rsidRPr="00AB28D6">
        <w:rPr>
          <w:rStyle w:val="SubtleEmphasis"/>
          <w:color w:val="auto"/>
          <w:sz w:val="20"/>
          <w:vertAlign w:val="subscript"/>
        </w:rPr>
        <w:t>2</w:t>
      </w:r>
      <w:r>
        <w:rPr>
          <w:rStyle w:val="SubtleEmphasis"/>
          <w:color w:val="auto"/>
          <w:sz w:val="20"/>
        </w:rPr>
        <w:t xml:space="preserve"> </w:t>
      </w:r>
      <w:r w:rsidRPr="00AB28D6">
        <w:rPr>
          <w:rStyle w:val="SubtleEmphasis"/>
          <w:color w:val="auto"/>
          <w:sz w:val="20"/>
        </w:rPr>
        <w:t xml:space="preserve">concentration of 202 </w:t>
      </w:r>
      <w:r>
        <w:rPr>
          <w:rStyle w:val="SubtleEmphasis"/>
          <w:color w:val="auto"/>
          <w:sz w:val="20"/>
        </w:rPr>
        <w:t>µ</w:t>
      </w:r>
      <w:r w:rsidRPr="00AB28D6">
        <w:rPr>
          <w:rStyle w:val="SubtleEmphasis"/>
          <w:color w:val="auto"/>
          <w:sz w:val="20"/>
        </w:rPr>
        <w:t>g.m</w:t>
      </w:r>
      <w:r w:rsidRPr="00AB28D6">
        <w:rPr>
          <w:rStyle w:val="SubtleEmphasis"/>
          <w:color w:val="auto"/>
          <w:sz w:val="20"/>
          <w:vertAlign w:val="superscript"/>
        </w:rPr>
        <w:t>-3</w:t>
      </w:r>
      <w:r w:rsidRPr="00AB28D6">
        <w:rPr>
          <w:rStyle w:val="SubtleEmphasis"/>
          <w:color w:val="auto"/>
          <w:sz w:val="20"/>
        </w:rPr>
        <w:t>. Therefore:</w:t>
      </w:r>
    </w:p>
    <w:p w14:paraId="4032CD58" w14:textId="77777777" w:rsidR="00F846B7" w:rsidRPr="00AB28D6" w:rsidRDefault="00F846B7" w:rsidP="00F846B7">
      <w:pPr>
        <w:keepNext/>
        <w:pBdr>
          <w:top w:val="single" w:sz="4" w:space="1" w:color="auto"/>
          <w:left w:val="single" w:sz="4" w:space="3" w:color="auto"/>
          <w:bottom w:val="single" w:sz="4" w:space="1" w:color="auto"/>
          <w:right w:val="single" w:sz="4" w:space="4" w:color="auto"/>
        </w:pBdr>
        <w:rPr>
          <w:rStyle w:val="SubtleEmphasis"/>
          <w:color w:val="auto"/>
          <w:sz w:val="20"/>
        </w:rPr>
      </w:pPr>
    </w:p>
    <w:p w14:paraId="77FC9084" w14:textId="77777777" w:rsidR="00F846B7" w:rsidRDefault="00F846B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spacing w:after="120"/>
        <w:ind w:left="284" w:hanging="284"/>
        <w:contextualSpacing w:val="0"/>
        <w:rPr>
          <w:i/>
          <w:sz w:val="20"/>
        </w:rPr>
      </w:pPr>
      <w:r>
        <w:rPr>
          <w:i/>
          <w:sz w:val="20"/>
        </w:rPr>
        <w:t>the power station is not a principal source (7 µg.m</w:t>
      </w:r>
      <w:r w:rsidRPr="00AB28D6">
        <w:rPr>
          <w:i/>
          <w:sz w:val="20"/>
          <w:vertAlign w:val="superscript"/>
        </w:rPr>
        <w:t>-3</w:t>
      </w:r>
      <w:r>
        <w:rPr>
          <w:i/>
          <w:sz w:val="20"/>
        </w:rPr>
        <w:t xml:space="preserve"> is 3.5% of the ambient NO</w:t>
      </w:r>
      <w:r w:rsidRPr="00AB28D6">
        <w:rPr>
          <w:i/>
          <w:sz w:val="20"/>
          <w:vertAlign w:val="subscript"/>
        </w:rPr>
        <w:t>2</w:t>
      </w:r>
      <w:r>
        <w:rPr>
          <w:i/>
          <w:sz w:val="20"/>
        </w:rPr>
        <w:t xml:space="preserve"> standard of </w:t>
      </w:r>
      <w:r w:rsidR="003D7C8B">
        <w:rPr>
          <w:i/>
          <w:sz w:val="20"/>
        </w:rPr>
        <w:br/>
      </w:r>
      <w:r>
        <w:rPr>
          <w:i/>
          <w:sz w:val="20"/>
        </w:rPr>
        <w:t>200 µg.m</w:t>
      </w:r>
      <w:r w:rsidRPr="00AB28D6">
        <w:rPr>
          <w:i/>
          <w:sz w:val="20"/>
          <w:vertAlign w:val="superscript"/>
        </w:rPr>
        <w:t>-3</w:t>
      </w:r>
      <w:r>
        <w:rPr>
          <w:i/>
          <w:sz w:val="20"/>
        </w:rPr>
        <w:t>)</w:t>
      </w:r>
    </w:p>
    <w:p w14:paraId="2F411935" w14:textId="77777777" w:rsidR="00F846B7" w:rsidRPr="0072605B" w:rsidRDefault="00484E67" w:rsidP="00F846B7">
      <w:pPr>
        <w:pStyle w:val="ListParagraph"/>
        <w:numPr>
          <w:ilvl w:val="0"/>
          <w:numId w:val="1"/>
        </w:numPr>
        <w:pBdr>
          <w:top w:val="single" w:sz="4" w:space="1" w:color="auto"/>
          <w:left w:val="single" w:sz="4" w:space="3" w:color="auto"/>
          <w:bottom w:val="single" w:sz="4" w:space="1" w:color="auto"/>
          <w:right w:val="single" w:sz="4" w:space="4" w:color="auto"/>
        </w:pBdr>
        <w:tabs>
          <w:tab w:val="left" w:pos="284"/>
        </w:tabs>
        <w:ind w:left="284" w:hanging="284"/>
        <w:contextualSpacing w:val="0"/>
        <w:rPr>
          <w:i/>
          <w:sz w:val="20"/>
        </w:rPr>
      </w:pPr>
      <w:r>
        <w:rPr>
          <w:i/>
          <w:sz w:val="20"/>
        </w:rPr>
        <w:t>Pōhutukawa</w:t>
      </w:r>
      <w:r w:rsidRPr="00D503B4">
        <w:rPr>
          <w:i/>
          <w:sz w:val="20"/>
        </w:rPr>
        <w:t xml:space="preserve"> </w:t>
      </w:r>
      <w:r w:rsidR="00F846B7" w:rsidRPr="00D503B4">
        <w:rPr>
          <w:i/>
          <w:sz w:val="20"/>
        </w:rPr>
        <w:t xml:space="preserve">Regional Council </w:t>
      </w:r>
      <w:r w:rsidR="00F846B7" w:rsidRPr="00AB28D6">
        <w:rPr>
          <w:i/>
          <w:sz w:val="20"/>
        </w:rPr>
        <w:t>may</w:t>
      </w:r>
      <w:r w:rsidR="00F846B7">
        <w:rPr>
          <w:i/>
          <w:sz w:val="20"/>
        </w:rPr>
        <w:t xml:space="preserve"> however, choose to decline</w:t>
      </w:r>
      <w:r w:rsidR="00F846B7" w:rsidRPr="00AB28D6">
        <w:rPr>
          <w:i/>
          <w:sz w:val="20"/>
        </w:rPr>
        <w:t xml:space="preserve"> </w:t>
      </w:r>
      <w:r w:rsidR="00F846B7">
        <w:rPr>
          <w:i/>
          <w:sz w:val="20"/>
        </w:rPr>
        <w:t xml:space="preserve">consent on the grounds that the source is likely to cause the </w:t>
      </w:r>
      <w:r>
        <w:rPr>
          <w:i/>
          <w:sz w:val="20"/>
        </w:rPr>
        <w:t>Saddleback</w:t>
      </w:r>
      <w:r w:rsidR="00F846B7">
        <w:rPr>
          <w:i/>
          <w:sz w:val="20"/>
        </w:rPr>
        <w:t xml:space="preserve"> Airshed to exceed the ambient standard.</w:t>
      </w:r>
    </w:p>
    <w:p w14:paraId="6F70C677" w14:textId="77777777" w:rsidR="00AF36D0" w:rsidRDefault="00AF36D0" w:rsidP="00F846B7"/>
    <w:p w14:paraId="547AB69E" w14:textId="77777777" w:rsidR="00502B92" w:rsidRPr="00BF4416" w:rsidRDefault="00502B92" w:rsidP="00502B92">
      <w:pPr>
        <w:pStyle w:val="BodyText"/>
        <w:rPr>
          <w:rStyle w:val="Hyperlink"/>
          <w:color w:val="auto"/>
        </w:rPr>
      </w:pPr>
      <w:r>
        <w:t xml:space="preserve">Further guidance on assessing discharges to air from activities that require resource consents is </w:t>
      </w:r>
      <w:r w:rsidRPr="00BF4416">
        <w:t xml:space="preserve">provided in the Good Practice Guide for Assessing Discharges to Air from Industry </w:t>
      </w:r>
      <w:r w:rsidR="00EF3269">
        <w:br/>
      </w:r>
      <w:r w:rsidRPr="00BF4416">
        <w:t>(MfE, 2008a</w:t>
      </w:r>
      <w:r w:rsidR="0057042A">
        <w:t xml:space="preserve">). </w:t>
      </w:r>
      <w:r>
        <w:t>The good practice guide can be downloaded from the Ministry for the Environment website</w:t>
      </w:r>
      <w:r w:rsidR="00BF4416">
        <w:t xml:space="preserve"> at</w:t>
      </w:r>
      <w:r w:rsidR="00EA045C" w:rsidRPr="00BF4416">
        <w:t xml:space="preserve"> </w:t>
      </w:r>
      <w:hyperlink r:id="rId35" w:history="1">
        <w:r w:rsidR="00B22505" w:rsidRPr="00BF4416">
          <w:rPr>
            <w:rStyle w:val="Hyperlink"/>
            <w:color w:val="auto"/>
          </w:rPr>
          <w:t>www.mfe.govt.nz</w:t>
        </w:r>
      </w:hyperlink>
      <w:r w:rsidR="00BF4416">
        <w:rPr>
          <w:rStyle w:val="Hyperlink"/>
          <w:color w:val="auto"/>
        </w:rPr>
        <w:t>.</w:t>
      </w:r>
    </w:p>
    <w:p w14:paraId="02BCC11D" w14:textId="77777777" w:rsidR="00502B92" w:rsidRPr="00AF36D0" w:rsidRDefault="00502B92" w:rsidP="00AF36D0">
      <w:pPr>
        <w:pStyle w:val="Heading5"/>
      </w:pPr>
      <w:r w:rsidRPr="00AF36D0">
        <w:t>Amendments</w:t>
      </w:r>
    </w:p>
    <w:p w14:paraId="1E4936BA" w14:textId="77777777" w:rsidR="00502B92" w:rsidRDefault="00502B92" w:rsidP="00F846B7">
      <w:r>
        <w:t xml:space="preserve">In July 2005 </w:t>
      </w:r>
      <w:r w:rsidR="00D3760A">
        <w:t xml:space="preserve">Regulation </w:t>
      </w:r>
      <w:r>
        <w:t>20 was amended to reflect that ozone and nitrogen dioxide are both secondary pollutants that are formed from other pollutants (oxides of nitrogen an</w:t>
      </w:r>
      <w:r w:rsidR="0057042A">
        <w:t xml:space="preserve">d volatile organic compounds). </w:t>
      </w:r>
      <w:r>
        <w:t>A definition of volatile organic compounds was also included.</w:t>
      </w:r>
    </w:p>
    <w:p w14:paraId="79C53218" w14:textId="77777777" w:rsidR="00B561EC" w:rsidRDefault="001A4DE5" w:rsidP="00B561EC">
      <w:pPr>
        <w:pStyle w:val="Heading3"/>
      </w:pPr>
      <w:r>
        <w:t>3.9.2</w:t>
      </w:r>
      <w:r w:rsidR="00B561EC">
        <w:tab/>
        <w:t>Sulphur dioxide (SO</w:t>
      </w:r>
      <w:r w:rsidR="00B561EC" w:rsidRPr="002C3EAB">
        <w:rPr>
          <w:vertAlign w:val="subscript"/>
        </w:rPr>
        <w:t>2</w:t>
      </w:r>
      <w:r w:rsidR="00B561EC">
        <w:t>)</w:t>
      </w:r>
    </w:p>
    <w:p w14:paraId="1D1FC03A" w14:textId="77777777" w:rsidR="00B561EC" w:rsidRDefault="00B561EC" w:rsidP="00B561EC">
      <w:pPr>
        <w:pStyle w:val="BodyText"/>
      </w:pPr>
      <w:r>
        <w:t xml:space="preserve">From 1 September 2005, </w:t>
      </w:r>
      <w:r w:rsidR="009F5850">
        <w:t xml:space="preserve">Regulation </w:t>
      </w:r>
      <w:r>
        <w:t>21 has required that:</w:t>
      </w:r>
    </w:p>
    <w:p w14:paraId="661E2E23" w14:textId="77777777" w:rsidR="00B561EC" w:rsidRDefault="00B561EC" w:rsidP="00B561EC">
      <w:pPr>
        <w:pStyle w:val="BodyText"/>
      </w:pPr>
    </w:p>
    <w:p w14:paraId="2EDCCFFB" w14:textId="77777777" w:rsidR="00B561EC" w:rsidRPr="000A591B" w:rsidRDefault="00B561EC" w:rsidP="00AF36D0">
      <w:pPr>
        <w:pStyle w:val="BodyText"/>
        <w:keepNext/>
        <w:ind w:left="567"/>
        <w:rPr>
          <w:b/>
          <w:i/>
          <w:sz w:val="20"/>
        </w:rPr>
      </w:pPr>
      <w:r>
        <w:rPr>
          <w:b/>
          <w:i/>
          <w:sz w:val="20"/>
        </w:rPr>
        <w:t>21</w:t>
      </w:r>
      <w:r w:rsidRPr="000A591B">
        <w:rPr>
          <w:b/>
          <w:i/>
          <w:sz w:val="20"/>
        </w:rPr>
        <w:tab/>
      </w:r>
      <w:r w:rsidR="00AF36D0">
        <w:rPr>
          <w:b/>
          <w:i/>
          <w:sz w:val="20"/>
        </w:rPr>
        <w:tab/>
      </w:r>
      <w:r>
        <w:rPr>
          <w:b/>
          <w:i/>
          <w:sz w:val="20"/>
        </w:rPr>
        <w:t>Resource consents for discharges of sulphur dioxide</w:t>
      </w:r>
    </w:p>
    <w:p w14:paraId="68238CCC" w14:textId="77777777" w:rsidR="00B561EC" w:rsidRPr="000A591B" w:rsidRDefault="00B561EC" w:rsidP="00AF36D0">
      <w:pPr>
        <w:pStyle w:val="BodyText"/>
        <w:keepNext/>
        <w:ind w:left="1134"/>
        <w:rPr>
          <w:i/>
          <w:sz w:val="20"/>
        </w:rPr>
      </w:pPr>
      <w:r>
        <w:rPr>
          <w:i/>
          <w:sz w:val="20"/>
        </w:rPr>
        <w:t>A consent authority must decline an application for a resource consent to discharge sulphur dioxide into air if the discharge to be expressly allowed by the resource consent is likely, at any time, to cause the concentration of sulphur dioxide in the airshed to breach its ambient air quality standard.</w:t>
      </w:r>
    </w:p>
    <w:p w14:paraId="36DD6C4A" w14:textId="77777777" w:rsidR="009F5850" w:rsidRDefault="009F5850" w:rsidP="009F5850">
      <w:pPr>
        <w:pStyle w:val="BodyText"/>
      </w:pPr>
    </w:p>
    <w:p w14:paraId="67902839" w14:textId="77777777" w:rsidR="009F5850" w:rsidRDefault="009F5850" w:rsidP="009F5850">
      <w:pPr>
        <w:pStyle w:val="BodyText"/>
      </w:pPr>
      <w:r>
        <w:t>Regulation 21 requir</w:t>
      </w:r>
      <w:r w:rsidR="00D503B4">
        <w:t xml:space="preserve">es </w:t>
      </w:r>
      <w:r>
        <w:t>resource consent for the discharge of sulphur dioxide (SO</w:t>
      </w:r>
      <w:r w:rsidRPr="00F3643F">
        <w:rPr>
          <w:vertAlign w:val="subscript"/>
        </w:rPr>
        <w:t>2</w:t>
      </w:r>
      <w:r>
        <w:t xml:space="preserve">) to be declined if it is the cause of the ambient standard being </w:t>
      </w:r>
      <w:r w:rsidR="00D503B4" w:rsidRPr="00D503B4">
        <w:rPr>
          <w:b/>
        </w:rPr>
        <w:t>likely</w:t>
      </w:r>
      <w:r w:rsidR="00D503B4">
        <w:t xml:space="preserve"> to be </w:t>
      </w:r>
      <w:r w:rsidR="00296584">
        <w:t>breached.</w:t>
      </w:r>
      <w:r>
        <w:t xml:space="preserve"> The source of SO</w:t>
      </w:r>
      <w:r w:rsidRPr="00F3643F">
        <w:rPr>
          <w:vertAlign w:val="subscript"/>
        </w:rPr>
        <w:t>2</w:t>
      </w:r>
      <w:r>
        <w:t xml:space="preserve"> </w:t>
      </w:r>
      <w:r w:rsidRPr="00F3643F">
        <w:rPr>
          <w:b/>
        </w:rPr>
        <w:t>must</w:t>
      </w:r>
      <w:r>
        <w:t xml:space="preserve"> be the </w:t>
      </w:r>
      <w:r w:rsidR="00D503B4">
        <w:t>cause</w:t>
      </w:r>
      <w:r>
        <w:t xml:space="preserve">. </w:t>
      </w:r>
    </w:p>
    <w:p w14:paraId="20640EA4" w14:textId="77777777" w:rsidR="009F5850" w:rsidRDefault="009F5850" w:rsidP="009F5850">
      <w:pPr>
        <w:pStyle w:val="BodyText"/>
      </w:pPr>
    </w:p>
    <w:p w14:paraId="39926DB0" w14:textId="77777777" w:rsidR="009F5850" w:rsidRDefault="009F5850" w:rsidP="009F5850">
      <w:pPr>
        <w:pStyle w:val="BodyText"/>
      </w:pPr>
      <w:r>
        <w:t>This means that in areas with very low background SO</w:t>
      </w:r>
      <w:r w:rsidRPr="004714C1">
        <w:rPr>
          <w:vertAlign w:val="subscript"/>
        </w:rPr>
        <w:t>2</w:t>
      </w:r>
      <w:r>
        <w:t xml:space="preserve"> levels, councils cannot grant consent to a large source of SO</w:t>
      </w:r>
      <w:r w:rsidRPr="004714C1">
        <w:rPr>
          <w:vertAlign w:val="subscript"/>
        </w:rPr>
        <w:t>2</w:t>
      </w:r>
      <w:r>
        <w:t xml:space="preserve"> that, on its own, would cause the</w:t>
      </w:r>
      <w:r w:rsidR="00BF4416">
        <w:t xml:space="preserve"> 1-hour</w:t>
      </w:r>
      <w:r>
        <w:t xml:space="preserve"> concentration limit to be </w:t>
      </w:r>
      <w:r w:rsidR="008B5815">
        <w:t>breached</w:t>
      </w:r>
      <w:r>
        <w:t xml:space="preserve"> (either 350 </w:t>
      </w:r>
      <w:r w:rsidRPr="004714C1">
        <w:rPr>
          <w:rFonts w:ascii="Symbol" w:hAnsi="Symbol"/>
        </w:rPr>
        <w:t></w:t>
      </w:r>
      <w:r>
        <w:t>g.m</w:t>
      </w:r>
      <w:r w:rsidRPr="004714C1">
        <w:rPr>
          <w:vertAlign w:val="superscript"/>
        </w:rPr>
        <w:t>-3</w:t>
      </w:r>
      <w:r>
        <w:t xml:space="preserve"> for more than 8 hours per year or 570 </w:t>
      </w:r>
      <w:r w:rsidRPr="004714C1">
        <w:rPr>
          <w:rFonts w:ascii="Symbol" w:hAnsi="Symbol"/>
        </w:rPr>
        <w:t></w:t>
      </w:r>
      <w:r>
        <w:t>g.m</w:t>
      </w:r>
      <w:r w:rsidRPr="004714C1">
        <w:rPr>
          <w:vertAlign w:val="superscript"/>
        </w:rPr>
        <w:t>-3</w:t>
      </w:r>
      <w:r>
        <w:t xml:space="preserve"> ever). </w:t>
      </w:r>
    </w:p>
    <w:p w14:paraId="4186D70C" w14:textId="77777777" w:rsidR="009F5850" w:rsidRDefault="009F5850" w:rsidP="009F5850">
      <w:pPr>
        <w:pStyle w:val="BodyText"/>
      </w:pPr>
    </w:p>
    <w:p w14:paraId="6CF4C697" w14:textId="77777777" w:rsidR="009F5850" w:rsidRDefault="009F5850" w:rsidP="009F5850">
      <w:pPr>
        <w:pStyle w:val="BodyText"/>
      </w:pPr>
      <w:r>
        <w:t>Conversely, in areas with high background levels of SO</w:t>
      </w:r>
      <w:r w:rsidRPr="004714C1">
        <w:rPr>
          <w:vertAlign w:val="subscript"/>
        </w:rPr>
        <w:t>2</w:t>
      </w:r>
      <w:r>
        <w:t>, but below the existing ambient standard consent could not be granted to a small discharge of SO</w:t>
      </w:r>
      <w:r w:rsidRPr="004714C1">
        <w:rPr>
          <w:vertAlign w:val="subscript"/>
        </w:rPr>
        <w:t>2</w:t>
      </w:r>
      <w:r>
        <w:t xml:space="preserve"> if it caused the ambient levels within the airshed to </w:t>
      </w:r>
      <w:r w:rsidR="008B5815">
        <w:t>breach</w:t>
      </w:r>
      <w:r>
        <w:t xml:space="preserve"> the concentration limit.</w:t>
      </w:r>
    </w:p>
    <w:p w14:paraId="057389E4" w14:textId="77777777" w:rsidR="009F5850" w:rsidRDefault="009F5850" w:rsidP="009F5850">
      <w:pPr>
        <w:rPr>
          <w:highlight w:val="cyan"/>
        </w:rPr>
      </w:pPr>
    </w:p>
    <w:p w14:paraId="3C7DAD32" w14:textId="77777777" w:rsidR="002E257F" w:rsidRDefault="00D503B4" w:rsidP="00B561EC">
      <w:r w:rsidRPr="002E257F">
        <w:t>Councils and consent applicants should be aware that</w:t>
      </w:r>
      <w:r w:rsidR="00D3760A">
        <w:t xml:space="preserve"> the</w:t>
      </w:r>
      <w:r w:rsidRPr="002E257F">
        <w:t xml:space="preserve"> </w:t>
      </w:r>
      <w:r w:rsidR="00BF4416">
        <w:t>WHO</w:t>
      </w:r>
      <w:r w:rsidRPr="002E257F">
        <w:t xml:space="preserve"> </w:t>
      </w:r>
      <w:r>
        <w:t>has significantly reduced their recommendations for acceptable levels of SO</w:t>
      </w:r>
      <w:r w:rsidRPr="00D503B4">
        <w:rPr>
          <w:vertAlign w:val="subscript"/>
        </w:rPr>
        <w:t>2</w:t>
      </w:r>
      <w:r>
        <w:t xml:space="preserve"> to reflect new </w:t>
      </w:r>
      <w:r w:rsidR="00D3760A">
        <w:t>data</w:t>
      </w:r>
      <w:r>
        <w:t xml:space="preserve"> which show severe adverse effects at lower concentrations</w:t>
      </w:r>
      <w:r w:rsidR="00D3760A">
        <w:t xml:space="preserve"> than previously anticipated</w:t>
      </w:r>
      <w:r w:rsidR="00296584">
        <w:t xml:space="preserve">. </w:t>
      </w:r>
      <w:r>
        <w:t xml:space="preserve">The </w:t>
      </w:r>
      <w:r w:rsidR="002E257F">
        <w:t>ambient standard for SO</w:t>
      </w:r>
      <w:r w:rsidR="002E257F" w:rsidRPr="002E257F">
        <w:rPr>
          <w:vertAlign w:val="subscript"/>
        </w:rPr>
        <w:t>2</w:t>
      </w:r>
      <w:r w:rsidR="002E257F">
        <w:t xml:space="preserve"> has</w:t>
      </w:r>
      <w:r>
        <w:t xml:space="preserve"> a threshold 1-hour mean concentration for SO</w:t>
      </w:r>
      <w:r w:rsidRPr="00515DF4">
        <w:rPr>
          <w:vertAlign w:val="subscript"/>
        </w:rPr>
        <w:t>2</w:t>
      </w:r>
      <w:r>
        <w:t xml:space="preserve"> of 350 µg.m</w:t>
      </w:r>
      <w:r w:rsidRPr="00106FD0">
        <w:rPr>
          <w:vertAlign w:val="superscript"/>
        </w:rPr>
        <w:t>-</w:t>
      </w:r>
      <w:r w:rsidRPr="00515DF4">
        <w:rPr>
          <w:vertAlign w:val="superscript"/>
        </w:rPr>
        <w:t>3</w:t>
      </w:r>
      <w:r>
        <w:t xml:space="preserve"> but the WHO guideline is only 20 µg.m</w:t>
      </w:r>
      <w:r w:rsidRPr="00106FD0">
        <w:rPr>
          <w:vertAlign w:val="superscript"/>
        </w:rPr>
        <w:t>-</w:t>
      </w:r>
      <w:r w:rsidRPr="00515DF4">
        <w:rPr>
          <w:vertAlign w:val="superscript"/>
        </w:rPr>
        <w:t>3</w:t>
      </w:r>
      <w:r w:rsidR="0023782A">
        <w:t xml:space="preserve"> (24-hour average)</w:t>
      </w:r>
      <w:r>
        <w:t>.</w:t>
      </w:r>
      <w:r w:rsidR="002E257F">
        <w:t xml:space="preserve"> </w:t>
      </w:r>
    </w:p>
    <w:p w14:paraId="3C6A27F0" w14:textId="77777777" w:rsidR="002E257F" w:rsidRDefault="002E257F" w:rsidP="00B561EC"/>
    <w:p w14:paraId="4F8AF4AF" w14:textId="77777777" w:rsidR="00D503B4" w:rsidRDefault="001A4DE5" w:rsidP="00B561EC">
      <w:r>
        <w:t>C</w:t>
      </w:r>
      <w:r w:rsidR="002E257F" w:rsidRPr="002E257F">
        <w:t xml:space="preserve">ouncils </w:t>
      </w:r>
      <w:r>
        <w:t xml:space="preserve">may wish to </w:t>
      </w:r>
      <w:r w:rsidR="002E257F" w:rsidRPr="002E257F">
        <w:t>consider the new WHO guideline in reso</w:t>
      </w:r>
      <w:r w:rsidR="00B67AEA">
        <w:t xml:space="preserve">urce consent applications as </w:t>
      </w:r>
      <w:r w:rsidR="002E257F" w:rsidRPr="002E257F">
        <w:t xml:space="preserve">an </w:t>
      </w:r>
      <w:r w:rsidR="00B67AEA">
        <w:t>‘</w:t>
      </w:r>
      <w:r w:rsidR="002E257F" w:rsidRPr="002E257F">
        <w:t>other matter’ as allowed for in</w:t>
      </w:r>
      <w:r w:rsidR="00296584">
        <w:t xml:space="preserve"> section 104(1)(c) of the RMA.</w:t>
      </w:r>
    </w:p>
    <w:p w14:paraId="20D9B6E4" w14:textId="77777777" w:rsidR="00D3760A" w:rsidRDefault="00D3760A" w:rsidP="00B561EC">
      <w:pPr>
        <w:rPr>
          <w:highlight w:val="cyan"/>
        </w:rPr>
      </w:pPr>
    </w:p>
    <w:p w14:paraId="5B4A1015" w14:textId="77777777" w:rsidR="008D0461" w:rsidRDefault="00B561EC" w:rsidP="008D0461">
      <w:pPr>
        <w:pStyle w:val="BodyText"/>
        <w:rPr>
          <w:rStyle w:val="SubtleEmphasis"/>
          <w:color w:val="auto"/>
        </w:rPr>
      </w:pPr>
      <w:r>
        <w:t xml:space="preserve">Further guidance on assessing discharges to air from activities that require resource consents is provided in the </w:t>
      </w:r>
      <w:r w:rsidRPr="00BF4416">
        <w:t>Good Practice Guide for Assessing Discharges to A</w:t>
      </w:r>
      <w:r w:rsidR="00296584">
        <w:t xml:space="preserve">ir from Industry (MfE, 2008a). </w:t>
      </w:r>
      <w:r w:rsidRPr="00BF4416">
        <w:t>The</w:t>
      </w:r>
      <w:r>
        <w:t xml:space="preserve"> good practice guide can be downloaded from the Ministry for the Environment website</w:t>
      </w:r>
      <w:r w:rsidR="002E257F">
        <w:t xml:space="preserve"> </w:t>
      </w:r>
      <w:r w:rsidR="00BF4416">
        <w:t xml:space="preserve">at </w:t>
      </w:r>
      <w:r w:rsidR="002E257F">
        <w:t>www.mfe.govt.nz.</w:t>
      </w:r>
    </w:p>
    <w:p w14:paraId="4357EBDE" w14:textId="77777777" w:rsidR="008D0461" w:rsidRDefault="008D0461" w:rsidP="008D0461">
      <w:pPr>
        <w:pStyle w:val="Heading5"/>
      </w:pPr>
      <w:r>
        <w:t>Amendments</w:t>
      </w:r>
    </w:p>
    <w:p w14:paraId="1F006F41" w14:textId="77777777" w:rsidR="008D0461" w:rsidRDefault="008D0461" w:rsidP="008D0461">
      <w:r>
        <w:t xml:space="preserve">In </w:t>
      </w:r>
      <w:r w:rsidR="00D87D86">
        <w:t>June</w:t>
      </w:r>
      <w:r>
        <w:t xml:space="preserve"> 2011 Regulation 21 was amended to align with the words of the Act and to avoid any confusion with permitted activities.</w:t>
      </w:r>
    </w:p>
    <w:p w14:paraId="6EB8CEA7" w14:textId="77777777" w:rsidR="00F30214" w:rsidRDefault="00F30214" w:rsidP="008D0461"/>
    <w:p w14:paraId="42DCC5CB" w14:textId="77777777" w:rsidR="00DE50FB" w:rsidRDefault="00DE50FB" w:rsidP="008D0461"/>
    <w:p w14:paraId="2A9CD098" w14:textId="77777777" w:rsidR="00DE50FB" w:rsidRDefault="00DE50FB" w:rsidP="008D0461"/>
    <w:p w14:paraId="5CFB1482" w14:textId="77777777" w:rsidR="00DE50FB" w:rsidRDefault="00DE50FB" w:rsidP="008D0461"/>
    <w:p w14:paraId="274EAF65" w14:textId="77777777" w:rsidR="00DE50FB" w:rsidRDefault="00DE50FB" w:rsidP="008D0461"/>
    <w:p w14:paraId="10AB8C50" w14:textId="77777777" w:rsidR="00DE50FB" w:rsidRDefault="00DE50FB" w:rsidP="008D0461"/>
    <w:p w14:paraId="20328BA4" w14:textId="77777777" w:rsidR="00F846B7" w:rsidRPr="00A74F05" w:rsidRDefault="00F846B7" w:rsidP="003D7C8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1</w:t>
      </w:r>
      <w:r w:rsidR="00D1696C">
        <w:rPr>
          <w:rStyle w:val="SubtleEmphasis"/>
          <w:b/>
          <w:color w:val="auto"/>
          <w:sz w:val="20"/>
        </w:rPr>
        <w:t>7</w:t>
      </w:r>
    </w:p>
    <w:p w14:paraId="4E23DD5B" w14:textId="77777777" w:rsidR="00F846B7" w:rsidRPr="00AB28D6" w:rsidRDefault="0096727D" w:rsidP="00F846B7">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Hexagon</w:t>
      </w:r>
      <w:r w:rsidRPr="00AB28D6">
        <w:rPr>
          <w:rStyle w:val="SubtleEmphasis"/>
          <w:color w:val="auto"/>
          <w:sz w:val="20"/>
        </w:rPr>
        <w:t xml:space="preserve"> </w:t>
      </w:r>
      <w:r w:rsidR="00F846B7" w:rsidRPr="00AB28D6">
        <w:rPr>
          <w:rStyle w:val="SubtleEmphasis"/>
          <w:color w:val="auto"/>
          <w:sz w:val="20"/>
        </w:rPr>
        <w:t xml:space="preserve">Fertiliser operates a super phosphate plant in the </w:t>
      </w:r>
      <w:r>
        <w:rPr>
          <w:rStyle w:val="SubtleEmphasis"/>
          <w:color w:val="auto"/>
          <w:sz w:val="20"/>
        </w:rPr>
        <w:t xml:space="preserve">Tāiko </w:t>
      </w:r>
      <w:r w:rsidR="00F846B7" w:rsidRPr="00AB28D6">
        <w:rPr>
          <w:rStyle w:val="SubtleEmphasis"/>
          <w:color w:val="auto"/>
          <w:sz w:val="20"/>
        </w:rPr>
        <w:t xml:space="preserve">Airshed. The plant is a large source and is predicted to produce ground level </w:t>
      </w:r>
      <w:r w:rsidR="00F846B7">
        <w:rPr>
          <w:rStyle w:val="SubtleEmphasis"/>
          <w:color w:val="auto"/>
          <w:sz w:val="20"/>
        </w:rPr>
        <w:t>SO</w:t>
      </w:r>
      <w:r w:rsidR="00F846B7" w:rsidRPr="002C124E">
        <w:rPr>
          <w:rStyle w:val="SubtleEmphasis"/>
          <w:color w:val="auto"/>
          <w:sz w:val="20"/>
          <w:vertAlign w:val="subscript"/>
        </w:rPr>
        <w:t>2</w:t>
      </w:r>
      <w:r w:rsidR="00F846B7">
        <w:rPr>
          <w:rStyle w:val="SubtleEmphasis"/>
          <w:color w:val="auto"/>
          <w:sz w:val="20"/>
        </w:rPr>
        <w:t xml:space="preserve"> </w:t>
      </w:r>
      <w:r w:rsidR="00F846B7" w:rsidRPr="00AB28D6">
        <w:rPr>
          <w:rStyle w:val="SubtleEmphasis"/>
          <w:color w:val="auto"/>
          <w:sz w:val="20"/>
        </w:rPr>
        <w:t xml:space="preserve">concentrations outside </w:t>
      </w:r>
      <w:r w:rsidR="009706AC">
        <w:rPr>
          <w:rStyle w:val="SubtleEmphasis"/>
          <w:color w:val="auto"/>
          <w:sz w:val="20"/>
        </w:rPr>
        <w:t>Hexagon</w:t>
      </w:r>
      <w:r w:rsidR="009706AC" w:rsidRPr="00AB28D6">
        <w:rPr>
          <w:rStyle w:val="SubtleEmphasis"/>
          <w:color w:val="auto"/>
          <w:sz w:val="20"/>
        </w:rPr>
        <w:t xml:space="preserve">’s </w:t>
      </w:r>
      <w:r w:rsidR="00F846B7" w:rsidRPr="00AB28D6">
        <w:rPr>
          <w:rStyle w:val="SubtleEmphasis"/>
          <w:color w:val="auto"/>
          <w:sz w:val="20"/>
        </w:rPr>
        <w:t xml:space="preserve">plant boundary (off-site) of 300 </w:t>
      </w:r>
      <w:r w:rsidR="00F846B7">
        <w:rPr>
          <w:rStyle w:val="SubtleEmphasis"/>
          <w:color w:val="auto"/>
          <w:sz w:val="20"/>
        </w:rPr>
        <w:t>µ</w:t>
      </w:r>
      <w:r w:rsidR="00F846B7" w:rsidRPr="00AB28D6">
        <w:rPr>
          <w:rStyle w:val="SubtleEmphasis"/>
          <w:color w:val="auto"/>
          <w:sz w:val="20"/>
        </w:rPr>
        <w:t>g.m</w:t>
      </w:r>
      <w:r w:rsidR="00F846B7" w:rsidRPr="002C124E">
        <w:rPr>
          <w:rStyle w:val="SubtleEmphasis"/>
          <w:color w:val="auto"/>
          <w:sz w:val="20"/>
          <w:vertAlign w:val="superscript"/>
        </w:rPr>
        <w:t>-3</w:t>
      </w:r>
      <w:r w:rsidR="00F846B7" w:rsidRPr="00AB28D6">
        <w:rPr>
          <w:rStyle w:val="SubtleEmphasis"/>
          <w:color w:val="auto"/>
          <w:sz w:val="20"/>
        </w:rPr>
        <w:t xml:space="preserve"> for 32 hours per year. The ambient </w:t>
      </w:r>
      <w:r w:rsidR="00F846B7">
        <w:rPr>
          <w:rStyle w:val="SubtleEmphasis"/>
          <w:color w:val="auto"/>
          <w:sz w:val="20"/>
        </w:rPr>
        <w:t>SO</w:t>
      </w:r>
      <w:r w:rsidR="00F846B7" w:rsidRPr="002C124E">
        <w:rPr>
          <w:rStyle w:val="SubtleEmphasis"/>
          <w:color w:val="auto"/>
          <w:sz w:val="20"/>
          <w:vertAlign w:val="subscript"/>
        </w:rPr>
        <w:t>2</w:t>
      </w:r>
      <w:r w:rsidR="00F846B7">
        <w:rPr>
          <w:rStyle w:val="SubtleEmphasis"/>
          <w:color w:val="auto"/>
          <w:sz w:val="20"/>
        </w:rPr>
        <w:t xml:space="preserve"> </w:t>
      </w:r>
      <w:r w:rsidR="00F846B7" w:rsidRPr="00AB28D6">
        <w:rPr>
          <w:rStyle w:val="SubtleEmphasis"/>
          <w:color w:val="auto"/>
          <w:sz w:val="20"/>
        </w:rPr>
        <w:t xml:space="preserve">standard is 350 </w:t>
      </w:r>
      <w:r w:rsidR="00F846B7">
        <w:rPr>
          <w:rStyle w:val="SubtleEmphasis"/>
          <w:color w:val="auto"/>
          <w:sz w:val="20"/>
        </w:rPr>
        <w:t>µ</w:t>
      </w:r>
      <w:r w:rsidR="00F846B7" w:rsidRPr="00AB28D6">
        <w:rPr>
          <w:rStyle w:val="SubtleEmphasis"/>
          <w:color w:val="auto"/>
          <w:sz w:val="20"/>
        </w:rPr>
        <w:t>g.m</w:t>
      </w:r>
      <w:r w:rsidR="00F846B7" w:rsidRPr="002C124E">
        <w:rPr>
          <w:rStyle w:val="SubtleEmphasis"/>
          <w:color w:val="auto"/>
          <w:sz w:val="20"/>
          <w:vertAlign w:val="superscript"/>
        </w:rPr>
        <w:t>-3</w:t>
      </w:r>
      <w:r w:rsidR="00F846B7" w:rsidRPr="00AB28D6">
        <w:rPr>
          <w:rStyle w:val="SubtleEmphasis"/>
          <w:color w:val="auto"/>
          <w:sz w:val="20"/>
        </w:rPr>
        <w:t xml:space="preserve"> (1-hour average) – with a maximum of 1 exceedance allowed per year (and a never to be exceeded maximum of 570 </w:t>
      </w:r>
      <w:r w:rsidR="00F846B7">
        <w:rPr>
          <w:rStyle w:val="SubtleEmphasis"/>
          <w:color w:val="auto"/>
          <w:sz w:val="20"/>
        </w:rPr>
        <w:t>µ</w:t>
      </w:r>
      <w:r w:rsidR="00F846B7" w:rsidRPr="00AB28D6">
        <w:rPr>
          <w:rStyle w:val="SubtleEmphasis"/>
          <w:color w:val="auto"/>
          <w:sz w:val="20"/>
        </w:rPr>
        <w:t>g.m</w:t>
      </w:r>
      <w:r w:rsidR="00F846B7" w:rsidRPr="002C124E">
        <w:rPr>
          <w:rStyle w:val="SubtleEmphasis"/>
          <w:color w:val="auto"/>
          <w:sz w:val="20"/>
          <w:vertAlign w:val="superscript"/>
        </w:rPr>
        <w:t>-3</w:t>
      </w:r>
      <w:r w:rsidR="00F846B7" w:rsidRPr="00AB28D6">
        <w:rPr>
          <w:rStyle w:val="SubtleEmphasis"/>
          <w:color w:val="auto"/>
          <w:sz w:val="20"/>
        </w:rPr>
        <w:t xml:space="preserve">). The background levels within the </w:t>
      </w:r>
      <w:r w:rsidR="009706AC">
        <w:rPr>
          <w:rStyle w:val="SubtleEmphasis"/>
          <w:color w:val="auto"/>
          <w:sz w:val="20"/>
        </w:rPr>
        <w:t>Tāiko</w:t>
      </w:r>
      <w:r w:rsidR="009706AC" w:rsidRPr="00AB28D6">
        <w:rPr>
          <w:rStyle w:val="SubtleEmphasis"/>
          <w:color w:val="auto"/>
          <w:sz w:val="20"/>
        </w:rPr>
        <w:t xml:space="preserve"> </w:t>
      </w:r>
      <w:r w:rsidR="00F846B7" w:rsidRPr="00AB28D6">
        <w:rPr>
          <w:rStyle w:val="SubtleEmphasis"/>
          <w:color w:val="auto"/>
          <w:sz w:val="20"/>
        </w:rPr>
        <w:t xml:space="preserve">Airshed are 64 </w:t>
      </w:r>
      <w:r w:rsidR="00F846B7">
        <w:rPr>
          <w:rStyle w:val="SubtleEmphasis"/>
          <w:color w:val="auto"/>
          <w:sz w:val="20"/>
        </w:rPr>
        <w:t>µ</w:t>
      </w:r>
      <w:r w:rsidR="00F846B7" w:rsidRPr="00AB28D6">
        <w:rPr>
          <w:rStyle w:val="SubtleEmphasis"/>
          <w:color w:val="auto"/>
          <w:sz w:val="20"/>
        </w:rPr>
        <w:t>g.m</w:t>
      </w:r>
      <w:r w:rsidR="00F846B7" w:rsidRPr="002C124E">
        <w:rPr>
          <w:rStyle w:val="SubtleEmphasis"/>
          <w:color w:val="auto"/>
          <w:sz w:val="20"/>
          <w:vertAlign w:val="superscript"/>
        </w:rPr>
        <w:t>-3</w:t>
      </w:r>
      <w:r w:rsidR="00F846B7" w:rsidRPr="00AB28D6">
        <w:rPr>
          <w:rStyle w:val="SubtleEmphasis"/>
          <w:color w:val="auto"/>
          <w:sz w:val="20"/>
        </w:rPr>
        <w:t xml:space="preserve"> giving a predicted combined ground level </w:t>
      </w:r>
      <w:r w:rsidR="00F846B7">
        <w:rPr>
          <w:rStyle w:val="SubtleEmphasis"/>
          <w:color w:val="auto"/>
          <w:sz w:val="20"/>
        </w:rPr>
        <w:t>SO</w:t>
      </w:r>
      <w:r w:rsidR="00F846B7" w:rsidRPr="002C124E">
        <w:rPr>
          <w:rStyle w:val="SubtleEmphasis"/>
          <w:color w:val="auto"/>
          <w:sz w:val="20"/>
          <w:vertAlign w:val="subscript"/>
        </w:rPr>
        <w:t>2</w:t>
      </w:r>
      <w:r w:rsidR="00F846B7">
        <w:rPr>
          <w:rStyle w:val="SubtleEmphasis"/>
          <w:color w:val="auto"/>
          <w:sz w:val="20"/>
        </w:rPr>
        <w:t xml:space="preserve"> </w:t>
      </w:r>
      <w:r w:rsidR="00F846B7" w:rsidRPr="00AB28D6">
        <w:rPr>
          <w:rStyle w:val="SubtleEmphasis"/>
          <w:color w:val="auto"/>
          <w:sz w:val="20"/>
        </w:rPr>
        <w:t xml:space="preserve">concentration of 364 </w:t>
      </w:r>
      <w:r w:rsidR="00F846B7">
        <w:rPr>
          <w:rStyle w:val="SubtleEmphasis"/>
          <w:color w:val="auto"/>
          <w:sz w:val="20"/>
        </w:rPr>
        <w:t>µ</w:t>
      </w:r>
      <w:r w:rsidR="00F846B7" w:rsidRPr="00AB28D6">
        <w:rPr>
          <w:rStyle w:val="SubtleEmphasis"/>
          <w:color w:val="auto"/>
          <w:sz w:val="20"/>
        </w:rPr>
        <w:t>g.m</w:t>
      </w:r>
      <w:r w:rsidR="00F846B7" w:rsidRPr="002C124E">
        <w:rPr>
          <w:rStyle w:val="SubtleEmphasis"/>
          <w:color w:val="auto"/>
          <w:sz w:val="20"/>
          <w:vertAlign w:val="superscript"/>
        </w:rPr>
        <w:t>-3</w:t>
      </w:r>
      <w:r w:rsidR="00F846B7" w:rsidRPr="00AB28D6">
        <w:rPr>
          <w:rStyle w:val="SubtleEmphasis"/>
          <w:color w:val="auto"/>
          <w:sz w:val="20"/>
        </w:rPr>
        <w:t>. Therefore:</w:t>
      </w:r>
    </w:p>
    <w:p w14:paraId="50EFD089" w14:textId="77777777" w:rsidR="00F846B7" w:rsidRPr="00A74F05" w:rsidRDefault="00F846B7" w:rsidP="00F846B7">
      <w:pPr>
        <w:pBdr>
          <w:top w:val="single" w:sz="4" w:space="1" w:color="auto"/>
          <w:left w:val="single" w:sz="4" w:space="4" w:color="auto"/>
          <w:bottom w:val="single" w:sz="4" w:space="1" w:color="auto"/>
          <w:right w:val="single" w:sz="4" w:space="4" w:color="auto"/>
        </w:pBdr>
        <w:rPr>
          <w:rStyle w:val="SubtleEmphasis"/>
          <w:color w:val="auto"/>
          <w:sz w:val="20"/>
        </w:rPr>
      </w:pPr>
    </w:p>
    <w:p w14:paraId="1B2007DD" w14:textId="77777777" w:rsidR="00F846B7" w:rsidRPr="0072605B"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5A7DE6">
        <w:rPr>
          <w:i/>
          <w:sz w:val="20"/>
        </w:rPr>
        <w:t>he ambient standard for SO</w:t>
      </w:r>
      <w:r w:rsidRPr="002C124E">
        <w:rPr>
          <w:i/>
          <w:sz w:val="20"/>
          <w:vertAlign w:val="subscript"/>
        </w:rPr>
        <w:t>2</w:t>
      </w:r>
      <w:r w:rsidRPr="005A7DE6">
        <w:rPr>
          <w:i/>
          <w:sz w:val="20"/>
        </w:rPr>
        <w:t xml:space="preserve"> of 350 </w:t>
      </w:r>
      <w:r>
        <w:rPr>
          <w:i/>
          <w:sz w:val="20"/>
        </w:rPr>
        <w:t>µ</w:t>
      </w:r>
      <w:r w:rsidRPr="005A7DE6">
        <w:rPr>
          <w:i/>
          <w:sz w:val="20"/>
        </w:rPr>
        <w:t>g.m</w:t>
      </w:r>
      <w:r w:rsidRPr="002C124E">
        <w:rPr>
          <w:i/>
          <w:sz w:val="20"/>
          <w:vertAlign w:val="superscript"/>
        </w:rPr>
        <w:t>-3</w:t>
      </w:r>
      <w:r w:rsidRPr="005A7DE6">
        <w:rPr>
          <w:i/>
          <w:sz w:val="20"/>
        </w:rPr>
        <w:t xml:space="preserve"> will be exceeded for at least 32 hours per year (maximum permitted is 8 hours per year</w:t>
      </w:r>
      <w:r>
        <w:rPr>
          <w:i/>
          <w:sz w:val="20"/>
        </w:rPr>
        <w:t>)</w:t>
      </w:r>
    </w:p>
    <w:p w14:paraId="36DA78EF"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consent must be declined</w:t>
      </w:r>
      <w:r w:rsidRPr="0072605B">
        <w:rPr>
          <w:i/>
          <w:sz w:val="20"/>
        </w:rPr>
        <w:t>.</w:t>
      </w:r>
    </w:p>
    <w:p w14:paraId="765E45E2" w14:textId="77777777" w:rsidR="007611EB" w:rsidRDefault="007611EB" w:rsidP="007611EB">
      <w:pPr>
        <w:pBdr>
          <w:top w:val="single" w:sz="4" w:space="1" w:color="auto"/>
          <w:left w:val="single" w:sz="4" w:space="4" w:color="auto"/>
          <w:bottom w:val="single" w:sz="4" w:space="1" w:color="auto"/>
          <w:right w:val="single" w:sz="4" w:space="4" w:color="auto"/>
        </w:pBdr>
        <w:tabs>
          <w:tab w:val="left" w:pos="284"/>
        </w:tabs>
        <w:rPr>
          <w:i/>
          <w:sz w:val="20"/>
        </w:rPr>
      </w:pPr>
    </w:p>
    <w:p w14:paraId="19ABDFDF" w14:textId="77777777" w:rsidR="007611EB" w:rsidRPr="00A74F05" w:rsidRDefault="007611EB" w:rsidP="007611E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3</w:t>
      </w:r>
      <w:r w:rsidRPr="00A74F05">
        <w:rPr>
          <w:rStyle w:val="SubtleEmphasis"/>
          <w:b/>
          <w:color w:val="auto"/>
          <w:sz w:val="20"/>
        </w:rPr>
        <w:t>.</w:t>
      </w:r>
      <w:r>
        <w:rPr>
          <w:rStyle w:val="SubtleEmphasis"/>
          <w:b/>
          <w:color w:val="auto"/>
          <w:sz w:val="20"/>
        </w:rPr>
        <w:t>1</w:t>
      </w:r>
      <w:r w:rsidR="00D1696C">
        <w:rPr>
          <w:rStyle w:val="SubtleEmphasis"/>
          <w:b/>
          <w:color w:val="auto"/>
          <w:sz w:val="20"/>
        </w:rPr>
        <w:t>8</w:t>
      </w:r>
    </w:p>
    <w:p w14:paraId="71B82FB9" w14:textId="77777777" w:rsidR="007611EB" w:rsidRPr="002C124E" w:rsidRDefault="007611EB" w:rsidP="007611EB">
      <w:pPr>
        <w:keepNext/>
        <w:pBdr>
          <w:top w:val="single" w:sz="4" w:space="1" w:color="auto"/>
          <w:left w:val="single" w:sz="4" w:space="4" w:color="auto"/>
          <w:bottom w:val="single" w:sz="4" w:space="1" w:color="auto"/>
          <w:right w:val="single" w:sz="4" w:space="4" w:color="auto"/>
        </w:pBdr>
        <w:rPr>
          <w:rStyle w:val="SubtleEmphasis"/>
          <w:color w:val="auto"/>
          <w:sz w:val="20"/>
        </w:rPr>
      </w:pPr>
      <w:r>
        <w:rPr>
          <w:rStyle w:val="SubtleEmphasis"/>
          <w:color w:val="auto"/>
          <w:sz w:val="20"/>
        </w:rPr>
        <w:t>Pentagon</w:t>
      </w:r>
      <w:r w:rsidRPr="002C124E">
        <w:rPr>
          <w:rStyle w:val="SubtleEmphasis"/>
          <w:color w:val="auto"/>
          <w:sz w:val="20"/>
        </w:rPr>
        <w:t xml:space="preserve"> Asphalt operates an asphalt plant in the </w:t>
      </w:r>
      <w:r>
        <w:rPr>
          <w:rStyle w:val="SubtleEmphasis"/>
          <w:color w:val="auto"/>
          <w:sz w:val="20"/>
        </w:rPr>
        <w:t>Kārearea</w:t>
      </w:r>
      <w:r w:rsidRPr="002C124E">
        <w:rPr>
          <w:rStyle w:val="SubtleEmphasis"/>
          <w:color w:val="auto"/>
          <w:sz w:val="20"/>
        </w:rPr>
        <w:t xml:space="preserve"> Airshed. The plant is a small source and is predicted to produce ground level concentrations off-site of 20 </w:t>
      </w:r>
      <w:r>
        <w:rPr>
          <w:rStyle w:val="SubtleEmphasis"/>
          <w:color w:val="auto"/>
          <w:sz w:val="20"/>
        </w:rPr>
        <w:t>µ</w:t>
      </w:r>
      <w:r w:rsidRPr="002C124E">
        <w:rPr>
          <w:rStyle w:val="SubtleEmphasis"/>
          <w:color w:val="auto"/>
          <w:sz w:val="20"/>
        </w:rPr>
        <w:t>g.m</w:t>
      </w:r>
      <w:r w:rsidRPr="005F5520">
        <w:rPr>
          <w:rStyle w:val="SubtleEmphasis"/>
          <w:color w:val="auto"/>
          <w:sz w:val="20"/>
          <w:vertAlign w:val="superscript"/>
        </w:rPr>
        <w:t>-3</w:t>
      </w:r>
      <w:r w:rsidRPr="002C124E">
        <w:rPr>
          <w:rStyle w:val="SubtleEmphasis"/>
          <w:color w:val="auto"/>
          <w:sz w:val="20"/>
        </w:rPr>
        <w:t xml:space="preserve"> for 11 hours per year. The background levels within the </w:t>
      </w:r>
      <w:r>
        <w:rPr>
          <w:rStyle w:val="SubtleEmphasis"/>
          <w:color w:val="auto"/>
          <w:sz w:val="20"/>
        </w:rPr>
        <w:t>Kārearea</w:t>
      </w:r>
      <w:r w:rsidRPr="002C124E">
        <w:rPr>
          <w:rStyle w:val="SubtleEmphasis"/>
          <w:color w:val="auto"/>
          <w:sz w:val="20"/>
        </w:rPr>
        <w:t xml:space="preserve"> Airshed are 344 </w:t>
      </w:r>
      <w:r>
        <w:rPr>
          <w:rStyle w:val="SubtleEmphasis"/>
          <w:color w:val="auto"/>
          <w:sz w:val="20"/>
        </w:rPr>
        <w:t>µ</w:t>
      </w:r>
      <w:r w:rsidRPr="002C124E">
        <w:rPr>
          <w:rStyle w:val="SubtleEmphasis"/>
          <w:color w:val="auto"/>
          <w:sz w:val="20"/>
        </w:rPr>
        <w:t>g.m</w:t>
      </w:r>
      <w:r w:rsidRPr="005F5520">
        <w:rPr>
          <w:rStyle w:val="SubtleEmphasis"/>
          <w:color w:val="auto"/>
          <w:sz w:val="20"/>
          <w:vertAlign w:val="superscript"/>
        </w:rPr>
        <w:t>-3</w:t>
      </w:r>
      <w:r w:rsidRPr="002C124E">
        <w:rPr>
          <w:rStyle w:val="SubtleEmphasis"/>
          <w:color w:val="auto"/>
          <w:sz w:val="20"/>
        </w:rPr>
        <w:t xml:space="preserve"> due to the presence of </w:t>
      </w:r>
      <w:r>
        <w:rPr>
          <w:rStyle w:val="SubtleEmphasis"/>
          <w:color w:val="auto"/>
          <w:sz w:val="20"/>
        </w:rPr>
        <w:t>Diamond</w:t>
      </w:r>
      <w:r w:rsidRPr="002C124E">
        <w:rPr>
          <w:rStyle w:val="SubtleEmphasis"/>
          <w:color w:val="auto"/>
          <w:sz w:val="20"/>
        </w:rPr>
        <w:t xml:space="preserve"> Fertiliser next door (which was subsequently granted consent following a massive reduction in emissions) giving a predicted combined ground level </w:t>
      </w:r>
      <w:r>
        <w:rPr>
          <w:rStyle w:val="SubtleEmphasis"/>
          <w:color w:val="auto"/>
          <w:sz w:val="20"/>
        </w:rPr>
        <w:t>SO</w:t>
      </w:r>
      <w:r w:rsidRPr="005F5520">
        <w:rPr>
          <w:rStyle w:val="SubtleEmphasis"/>
          <w:color w:val="auto"/>
          <w:sz w:val="20"/>
          <w:vertAlign w:val="subscript"/>
        </w:rPr>
        <w:t>2</w:t>
      </w:r>
      <w:r>
        <w:rPr>
          <w:rStyle w:val="SubtleEmphasis"/>
          <w:color w:val="auto"/>
          <w:sz w:val="20"/>
        </w:rPr>
        <w:t xml:space="preserve"> </w:t>
      </w:r>
      <w:r w:rsidRPr="002C124E">
        <w:rPr>
          <w:rStyle w:val="SubtleEmphasis"/>
          <w:color w:val="auto"/>
          <w:sz w:val="20"/>
        </w:rPr>
        <w:t xml:space="preserve">concentration of 364 </w:t>
      </w:r>
      <w:r>
        <w:rPr>
          <w:rStyle w:val="SubtleEmphasis"/>
          <w:color w:val="auto"/>
          <w:sz w:val="20"/>
        </w:rPr>
        <w:t>µ</w:t>
      </w:r>
      <w:r w:rsidRPr="002C124E">
        <w:rPr>
          <w:rStyle w:val="SubtleEmphasis"/>
          <w:color w:val="auto"/>
          <w:sz w:val="20"/>
        </w:rPr>
        <w:t>g.m</w:t>
      </w:r>
      <w:r w:rsidRPr="005F5520">
        <w:rPr>
          <w:rStyle w:val="SubtleEmphasis"/>
          <w:color w:val="auto"/>
          <w:sz w:val="20"/>
          <w:vertAlign w:val="superscript"/>
        </w:rPr>
        <w:t>-3</w:t>
      </w:r>
      <w:r w:rsidRPr="002C124E">
        <w:rPr>
          <w:rStyle w:val="SubtleEmphasis"/>
          <w:color w:val="auto"/>
          <w:sz w:val="20"/>
        </w:rPr>
        <w:t>. Therefore:</w:t>
      </w:r>
    </w:p>
    <w:p w14:paraId="420BB183" w14:textId="77777777" w:rsidR="007611EB" w:rsidRPr="00A74F05" w:rsidRDefault="007611EB" w:rsidP="007611EB">
      <w:pPr>
        <w:pBdr>
          <w:top w:val="single" w:sz="4" w:space="1" w:color="auto"/>
          <w:left w:val="single" w:sz="4" w:space="4" w:color="auto"/>
          <w:bottom w:val="single" w:sz="4" w:space="1" w:color="auto"/>
          <w:right w:val="single" w:sz="4" w:space="4" w:color="auto"/>
        </w:pBdr>
        <w:rPr>
          <w:rStyle w:val="SubtleEmphasis"/>
          <w:color w:val="auto"/>
          <w:sz w:val="20"/>
        </w:rPr>
      </w:pPr>
    </w:p>
    <w:p w14:paraId="55A5B83E" w14:textId="77777777" w:rsidR="007611EB" w:rsidRPr="005A7DE6"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5A7DE6">
        <w:rPr>
          <w:i/>
          <w:sz w:val="20"/>
        </w:rPr>
        <w:t>he ambient standard for SO</w:t>
      </w:r>
      <w:r w:rsidRPr="005F5520">
        <w:rPr>
          <w:i/>
          <w:sz w:val="20"/>
          <w:vertAlign w:val="subscript"/>
        </w:rPr>
        <w:t>2</w:t>
      </w:r>
      <w:r w:rsidRPr="005A7DE6">
        <w:rPr>
          <w:i/>
          <w:sz w:val="20"/>
        </w:rPr>
        <w:t xml:space="preserve"> of 350 </w:t>
      </w:r>
      <w:r>
        <w:rPr>
          <w:i/>
          <w:sz w:val="20"/>
        </w:rPr>
        <w:t>µ</w:t>
      </w:r>
      <w:r w:rsidRPr="005A7DE6">
        <w:rPr>
          <w:i/>
          <w:sz w:val="20"/>
        </w:rPr>
        <w:t>g.m</w:t>
      </w:r>
      <w:r w:rsidRPr="005F5520">
        <w:rPr>
          <w:i/>
          <w:sz w:val="20"/>
          <w:vertAlign w:val="superscript"/>
        </w:rPr>
        <w:t>-3</w:t>
      </w:r>
      <w:r w:rsidRPr="005A7DE6">
        <w:rPr>
          <w:i/>
          <w:sz w:val="20"/>
        </w:rPr>
        <w:t xml:space="preserve"> will be exceeded for at least 11 hours per year</w:t>
      </w:r>
    </w:p>
    <w:p w14:paraId="519A1191" w14:textId="77777777" w:rsidR="007611EB" w:rsidRPr="007611EB" w:rsidRDefault="007611EB" w:rsidP="007611E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consent must be declined</w:t>
      </w:r>
      <w:r w:rsidRPr="0072605B">
        <w:rPr>
          <w:i/>
          <w:sz w:val="20"/>
        </w:rPr>
        <w:t>.</w:t>
      </w:r>
    </w:p>
    <w:p w14:paraId="1EA0C8DC" w14:textId="77777777" w:rsidR="00170A39" w:rsidRDefault="00170A39" w:rsidP="00170A39">
      <w:bookmarkStart w:id="53" w:name="_Toc222291792"/>
      <w:bookmarkStart w:id="54" w:name="_Toc222292138"/>
      <w:bookmarkStart w:id="55" w:name="_Toc222292226"/>
      <w:bookmarkStart w:id="56" w:name="_Toc242861949"/>
      <w:bookmarkStart w:id="57" w:name="_Toc300856604"/>
    </w:p>
    <w:p w14:paraId="194669F4" w14:textId="77777777" w:rsidR="003732DD" w:rsidRDefault="003732DD" w:rsidP="003732DD">
      <w:pPr>
        <w:pStyle w:val="Heading2"/>
      </w:pPr>
      <w:r w:rsidRPr="00234369">
        <w:t>3.</w:t>
      </w:r>
      <w:r>
        <w:t>10</w:t>
      </w:r>
      <w:r w:rsidRPr="00234369">
        <w:tab/>
      </w:r>
      <w:bookmarkEnd w:id="53"/>
      <w:bookmarkEnd w:id="54"/>
      <w:bookmarkEnd w:id="55"/>
      <w:bookmarkEnd w:id="56"/>
      <w:r>
        <w:t>Impacts on regulatory documents</w:t>
      </w:r>
      <w:bookmarkEnd w:id="57"/>
    </w:p>
    <w:p w14:paraId="3D5B7ACD" w14:textId="77777777" w:rsidR="003732DD" w:rsidRPr="00690721" w:rsidRDefault="00C4009F" w:rsidP="003732DD">
      <w:r>
        <w:t>The Regulatio</w:t>
      </w:r>
      <w:r w:rsidR="00296584">
        <w:t>ns are mandatory under the RMA.</w:t>
      </w:r>
      <w:r>
        <w:t xml:space="preserve"> </w:t>
      </w:r>
      <w:r w:rsidR="003732DD" w:rsidRPr="00690721">
        <w:t xml:space="preserve">Notwithstanding the constraints upon resource consent decisions, the ambient standards impact on </w:t>
      </w:r>
      <w:r w:rsidR="003732DD" w:rsidRPr="00765ADA">
        <w:t>all</w:t>
      </w:r>
      <w:r w:rsidR="003732DD" w:rsidRPr="00690721">
        <w:t xml:space="preserve"> decisions </w:t>
      </w:r>
      <w:r w:rsidR="00F31C01" w:rsidRPr="00690721">
        <w:t xml:space="preserve">that relate to air quality </w:t>
      </w:r>
      <w:r w:rsidR="00941954">
        <w:t>made under the RMA.</w:t>
      </w:r>
    </w:p>
    <w:p w14:paraId="7982D70C" w14:textId="77777777" w:rsidR="003732DD" w:rsidRDefault="003732DD" w:rsidP="003732DD"/>
    <w:p w14:paraId="2B80D9A0" w14:textId="77777777" w:rsidR="003732DD" w:rsidRPr="00690721" w:rsidRDefault="003732DD" w:rsidP="003732DD">
      <w:r w:rsidRPr="00690721">
        <w:t>For example, a regional council may currently permit a range of activities (</w:t>
      </w:r>
      <w:r>
        <w:t>eg coal-</w:t>
      </w:r>
      <w:r w:rsidRPr="00690721">
        <w:t xml:space="preserve">fired boilers under 5 </w:t>
      </w:r>
      <w:r w:rsidR="00C81F7B">
        <w:t>megawatts (</w:t>
      </w:r>
      <w:r w:rsidRPr="00690721">
        <w:t>MW</w:t>
      </w:r>
      <w:r w:rsidR="00C81F7B">
        <w:t>)</w:t>
      </w:r>
      <w:r w:rsidRPr="00690721">
        <w:t xml:space="preserve"> i</w:t>
      </w:r>
      <w:r w:rsidR="00296584">
        <w:t>n size) in their regional plan.</w:t>
      </w:r>
      <w:r w:rsidRPr="00690721">
        <w:t xml:space="preserve"> These activities may cumulatively be making a significant contribution to exceedances of the ambient </w:t>
      </w:r>
      <w:r w:rsidR="00F31C01">
        <w:t>SO</w:t>
      </w:r>
      <w:r w:rsidR="00F31C01" w:rsidRPr="00F31C01">
        <w:rPr>
          <w:vertAlign w:val="subscript"/>
        </w:rPr>
        <w:t>2</w:t>
      </w:r>
      <w:r w:rsidR="00F31C01">
        <w:rPr>
          <w:vertAlign w:val="subscript"/>
        </w:rPr>
        <w:t xml:space="preserve"> </w:t>
      </w:r>
      <w:r w:rsidRPr="00690721">
        <w:t xml:space="preserve">standard.  If so, the regional council </w:t>
      </w:r>
      <w:r w:rsidR="00294E22">
        <w:t>should</w:t>
      </w:r>
      <w:r w:rsidRPr="00690721">
        <w:t xml:space="preserve"> review their regional plan.</w:t>
      </w:r>
    </w:p>
    <w:p w14:paraId="0929A91E" w14:textId="77777777" w:rsidR="003732DD" w:rsidRDefault="003732DD" w:rsidP="003732DD"/>
    <w:p w14:paraId="1E499D25" w14:textId="77777777" w:rsidR="003732DD" w:rsidRDefault="003732DD" w:rsidP="003732DD">
      <w:r w:rsidRPr="00690721">
        <w:t xml:space="preserve">Application of the </w:t>
      </w:r>
      <w:r w:rsidR="00671120">
        <w:t>Regulation</w:t>
      </w:r>
      <w:r w:rsidR="00671120" w:rsidRPr="00690721">
        <w:t>s</w:t>
      </w:r>
      <w:r w:rsidRPr="00690721">
        <w:t xml:space="preserve"> with respect to regional plans, designations and resource consents (both existing and new) are discussed in more detail below.</w:t>
      </w:r>
    </w:p>
    <w:p w14:paraId="091E6598" w14:textId="77777777" w:rsidR="003732DD" w:rsidRDefault="003732DD" w:rsidP="003732DD">
      <w:pPr>
        <w:pStyle w:val="Heading3"/>
      </w:pPr>
      <w:bookmarkStart w:id="58" w:name="_Toc82152028"/>
      <w:bookmarkStart w:id="59" w:name="_Toc82851131"/>
      <w:bookmarkStart w:id="60" w:name="_Toc84646407"/>
      <w:bookmarkStart w:id="61" w:name="_Toc87954618"/>
      <w:bookmarkStart w:id="62" w:name="_Toc222291793"/>
      <w:bookmarkStart w:id="63" w:name="_Toc222292139"/>
      <w:bookmarkStart w:id="64" w:name="_Toc222292227"/>
      <w:bookmarkStart w:id="65" w:name="_Toc242861950"/>
      <w:r>
        <w:t>3.10.1</w:t>
      </w:r>
      <w:r>
        <w:tab/>
      </w:r>
      <w:r w:rsidR="000F61D7">
        <w:t xml:space="preserve"> </w:t>
      </w:r>
      <w:r>
        <w:t xml:space="preserve">Regional </w:t>
      </w:r>
      <w:bookmarkEnd w:id="58"/>
      <w:bookmarkEnd w:id="59"/>
      <w:bookmarkEnd w:id="60"/>
      <w:r>
        <w:t>plans</w:t>
      </w:r>
      <w:bookmarkEnd w:id="61"/>
      <w:bookmarkEnd w:id="62"/>
      <w:bookmarkEnd w:id="63"/>
      <w:bookmarkEnd w:id="64"/>
      <w:bookmarkEnd w:id="65"/>
    </w:p>
    <w:p w14:paraId="6E2C20D4" w14:textId="77777777" w:rsidR="00E922DC" w:rsidRDefault="00E922DC" w:rsidP="003732DD">
      <w:r>
        <w:t>The Regulation</w:t>
      </w:r>
      <w:r w:rsidR="00296584">
        <w:t xml:space="preserve">s are mandatory under the RMA. </w:t>
      </w:r>
      <w:r>
        <w:t xml:space="preserve">They automatically supersede any relevant regional plan rules (unless the local government controls are stricter). </w:t>
      </w:r>
    </w:p>
    <w:p w14:paraId="2DF45017" w14:textId="77777777" w:rsidR="00E922DC" w:rsidRDefault="00E922DC" w:rsidP="003732DD"/>
    <w:p w14:paraId="10B14B90" w14:textId="77777777" w:rsidR="00E922DC" w:rsidRDefault="00E922DC" w:rsidP="00E922DC">
      <w:r>
        <w:t xml:space="preserve">As a result of the 2009 amendments to the RMA, section 44A(5) of the RMA requires that regional councils </w:t>
      </w:r>
      <w:r w:rsidRPr="0007677F">
        <w:rPr>
          <w:b/>
        </w:rPr>
        <w:t>must</w:t>
      </w:r>
      <w:r>
        <w:t xml:space="preserve"> remove regional plan rules that are more lenient than the national environmen</w:t>
      </w:r>
      <w:r w:rsidR="00296584">
        <w:t xml:space="preserve">tal standards for air quality. </w:t>
      </w:r>
      <w:r>
        <w:t>A regional plan cannot allow resource consent for an activity that discharges ambient pollutants that is less stringent than, or c</w:t>
      </w:r>
      <w:r w:rsidR="00296584">
        <w:t>onflicts with, the Regulations.</w:t>
      </w:r>
      <w:r>
        <w:t xml:space="preserve"> Removal of the rule/s must be carried out without using </w:t>
      </w:r>
      <w:r w:rsidR="00826C79">
        <w:t>the consultation, notification, hearings and decision processes for plan changes in Schedule 1 of the RMA</w:t>
      </w:r>
      <w:r>
        <w:t xml:space="preserve"> and must be done as soon as practic</w:t>
      </w:r>
      <w:r w:rsidR="00170A39">
        <w:t>able.</w:t>
      </w:r>
    </w:p>
    <w:p w14:paraId="7CAC988B" w14:textId="77777777" w:rsidR="00E922DC" w:rsidRDefault="00E922DC" w:rsidP="00E922DC"/>
    <w:p w14:paraId="04650669" w14:textId="77777777" w:rsidR="00E922DC" w:rsidRDefault="00E922DC" w:rsidP="00E922DC">
      <w:r>
        <w:t xml:space="preserve">Regulation 28 allows for more stringent rules, resource consents or bylaws than </w:t>
      </w:r>
      <w:r w:rsidR="003901C3">
        <w:t>the Regulations (including Regulations 13, 20 and 21)</w:t>
      </w:r>
      <w:r w:rsidR="00296584">
        <w:t xml:space="preserve">. </w:t>
      </w:r>
      <w:r>
        <w:t>For example, this means:</w:t>
      </w:r>
    </w:p>
    <w:p w14:paraId="32B38BA3" w14:textId="77777777" w:rsidR="00E922DC" w:rsidRDefault="00E922DC" w:rsidP="00726A4C">
      <w:pPr>
        <w:pStyle w:val="Bullet"/>
        <w:numPr>
          <w:ilvl w:val="0"/>
          <w:numId w:val="14"/>
        </w:numPr>
      </w:pPr>
      <w:r>
        <w:t>regional plans can have tighter ambient standards for ambient pollutants (either lower concentration levels or different averaging times)</w:t>
      </w:r>
    </w:p>
    <w:p w14:paraId="2D00CD79" w14:textId="77777777" w:rsidR="003901C3" w:rsidRDefault="00E922DC" w:rsidP="00726A4C">
      <w:pPr>
        <w:pStyle w:val="Bullet"/>
        <w:numPr>
          <w:ilvl w:val="0"/>
          <w:numId w:val="14"/>
        </w:numPr>
      </w:pPr>
      <w:r>
        <w:t xml:space="preserve">regional plans could apply stricter requirements or tests </w:t>
      </w:r>
      <w:r w:rsidR="003901C3">
        <w:t xml:space="preserve">to resource consents </w:t>
      </w:r>
      <w:r>
        <w:t>(eg, other than ‘princ</w:t>
      </w:r>
      <w:r w:rsidR="00C17D99">
        <w:t>i</w:t>
      </w:r>
      <w:r>
        <w:t xml:space="preserve">pal source’ or ‘likely’) in relation to the ambient standard pollutants </w:t>
      </w:r>
    </w:p>
    <w:p w14:paraId="12D76BF5" w14:textId="77777777" w:rsidR="00E922DC" w:rsidRDefault="003901C3" w:rsidP="00726A4C">
      <w:pPr>
        <w:pStyle w:val="Bullet"/>
        <w:numPr>
          <w:ilvl w:val="0"/>
          <w:numId w:val="14"/>
        </w:numPr>
      </w:pPr>
      <w:r>
        <w:t>regional plans could require offsets in resource consents for dischargers of ambient pollutants other than PM</w:t>
      </w:r>
      <w:r w:rsidRPr="003901C3">
        <w:rPr>
          <w:vertAlign w:val="subscript"/>
        </w:rPr>
        <w:t>10</w:t>
      </w:r>
      <w:r w:rsidR="00296584">
        <w:t>.</w:t>
      </w:r>
    </w:p>
    <w:p w14:paraId="6D55570A" w14:textId="77777777" w:rsidR="003732DD" w:rsidRPr="003732DD" w:rsidRDefault="003732DD" w:rsidP="003732DD"/>
    <w:p w14:paraId="7DF90DF2" w14:textId="77777777" w:rsidR="003732DD" w:rsidRPr="003732DD" w:rsidRDefault="003732DD" w:rsidP="003732DD">
      <w:r w:rsidRPr="003732DD">
        <w:t>This policy advice is true only for the national environme</w:t>
      </w:r>
      <w:r w:rsidR="00296584">
        <w:t>ntal standards for air quality.</w:t>
      </w:r>
      <w:r w:rsidRPr="003732DD">
        <w:t xml:space="preserve"> Other national environmental standards will have a different relationship with regional plans.</w:t>
      </w:r>
    </w:p>
    <w:p w14:paraId="5698EBBB" w14:textId="77777777" w:rsidR="003732DD" w:rsidRPr="00234369" w:rsidRDefault="003732DD" w:rsidP="003732DD">
      <w:pPr>
        <w:pStyle w:val="Heading3"/>
      </w:pPr>
      <w:bookmarkStart w:id="66" w:name="_Toc82152029"/>
      <w:bookmarkStart w:id="67" w:name="_Toc82851132"/>
      <w:bookmarkStart w:id="68" w:name="_Toc84646408"/>
      <w:bookmarkStart w:id="69" w:name="_Toc87954619"/>
      <w:bookmarkStart w:id="70" w:name="_Toc222291794"/>
      <w:bookmarkStart w:id="71" w:name="_Toc222292140"/>
      <w:bookmarkStart w:id="72" w:name="_Toc222292228"/>
      <w:bookmarkStart w:id="73" w:name="_Toc242861951"/>
      <w:r w:rsidRPr="00234369">
        <w:t>3.</w:t>
      </w:r>
      <w:r>
        <w:t>10</w:t>
      </w:r>
      <w:r w:rsidRPr="00234369">
        <w:t>.2</w:t>
      </w:r>
      <w:r w:rsidRPr="00234369">
        <w:tab/>
      </w:r>
      <w:bookmarkEnd w:id="66"/>
      <w:bookmarkEnd w:id="67"/>
      <w:r w:rsidR="000F61D7">
        <w:t xml:space="preserve"> </w:t>
      </w:r>
      <w:r w:rsidRPr="00234369">
        <w:t>Designations</w:t>
      </w:r>
      <w:bookmarkEnd w:id="68"/>
      <w:bookmarkEnd w:id="69"/>
      <w:bookmarkEnd w:id="70"/>
      <w:bookmarkEnd w:id="71"/>
      <w:bookmarkEnd w:id="72"/>
      <w:bookmarkEnd w:id="73"/>
    </w:p>
    <w:p w14:paraId="439857A6" w14:textId="77777777" w:rsidR="003732DD" w:rsidRDefault="003732DD" w:rsidP="00B23930">
      <w:r w:rsidRPr="00690721">
        <w:t>A designation is a provision in a district plan which provides notice to the community of an intention by a requiring authority (</w:t>
      </w:r>
      <w:r>
        <w:t xml:space="preserve">eg, </w:t>
      </w:r>
      <w:r w:rsidRPr="00690721">
        <w:t>a road controlling authority) to use land in the future for a particular project (</w:t>
      </w:r>
      <w:r>
        <w:t xml:space="preserve">eg, </w:t>
      </w:r>
      <w:r w:rsidR="00F311C0">
        <w:t>road or airport</w:t>
      </w:r>
      <w:r w:rsidR="00296584">
        <w:t>).</w:t>
      </w:r>
      <w:r w:rsidRPr="00690721">
        <w:t xml:space="preserve"> Once a site is designated for a particular purpose, the requiring authority is able to proceed with the specific work on the site as if it were permitted by the district plan.  </w:t>
      </w:r>
    </w:p>
    <w:p w14:paraId="466758AA" w14:textId="77777777" w:rsidR="003732DD" w:rsidRDefault="003732DD" w:rsidP="00B23930"/>
    <w:p w14:paraId="05C1580A" w14:textId="77777777" w:rsidR="003732DD" w:rsidRPr="00690721" w:rsidRDefault="003732DD" w:rsidP="00B23930">
      <w:r w:rsidRPr="00690721">
        <w:t xml:space="preserve">The </w:t>
      </w:r>
      <w:r w:rsidR="00671120" w:rsidRPr="00690721">
        <w:t>Regulations</w:t>
      </w:r>
      <w:r w:rsidRPr="00690721">
        <w:t xml:space="preserve"> do not apply to designations</w:t>
      </w:r>
      <w:r>
        <w:t xml:space="preserve"> that </w:t>
      </w:r>
      <w:r w:rsidRPr="00690721">
        <w:t>exist</w:t>
      </w:r>
      <w:r w:rsidR="00BF4416">
        <w:t>ed at 1 September 2005 (ie,</w:t>
      </w:r>
      <w:r>
        <w:t xml:space="preserve"> when the ambient standards came into force)</w:t>
      </w:r>
      <w:r w:rsidRPr="00690721">
        <w:t>.</w:t>
      </w:r>
    </w:p>
    <w:p w14:paraId="655B28C9" w14:textId="77777777" w:rsidR="003732DD" w:rsidRDefault="003732DD" w:rsidP="00B23930"/>
    <w:p w14:paraId="753886DA" w14:textId="77777777" w:rsidR="008A63AB" w:rsidRDefault="003732DD" w:rsidP="00B23930">
      <w:r w:rsidRPr="00690721">
        <w:t xml:space="preserve">For designations after 1 September 2005, territorial authorities and/or requiring authorities </w:t>
      </w:r>
      <w:r>
        <w:t>must</w:t>
      </w:r>
      <w:r w:rsidRPr="00690721">
        <w:t xml:space="preserve"> consider the </w:t>
      </w:r>
      <w:r w:rsidR="00034DD1">
        <w:t xml:space="preserve">Regulations </w:t>
      </w:r>
      <w:r w:rsidRPr="00690721">
        <w:t>when weighing up whether new designations, or alterations to existing designations, meet the purposes of the RMA (</w:t>
      </w:r>
      <w:r>
        <w:t xml:space="preserve">eg, </w:t>
      </w:r>
      <w:r w:rsidRPr="00690721">
        <w:t>safeguarding the lif</w:t>
      </w:r>
      <w:r w:rsidR="00296584">
        <w:t xml:space="preserve">e-supporting capacity of air). </w:t>
      </w:r>
      <w:r w:rsidR="008A63AB">
        <w:t xml:space="preserve">This is particularly important for new roads as roads can have significant impacts on ambient pollutant levels both locally and regionally.  </w:t>
      </w:r>
    </w:p>
    <w:p w14:paraId="149A3F40" w14:textId="77777777" w:rsidR="008A63AB" w:rsidRDefault="008A63AB" w:rsidP="00B23930"/>
    <w:p w14:paraId="7C793D02" w14:textId="77777777" w:rsidR="003732DD" w:rsidRPr="00690721" w:rsidRDefault="003732DD" w:rsidP="00B23930">
      <w:r w:rsidRPr="00690721">
        <w:t>Territorial authorities will need to take into account the potential impacts of a new design</w:t>
      </w:r>
      <w:r>
        <w:t>ation on air quality in the airshed</w:t>
      </w:r>
      <w:r w:rsidRPr="00690721">
        <w:t>, and the subsequent impact upon the ability to issue future resource consents within that air</w:t>
      </w:r>
      <w:r>
        <w:t>shed</w:t>
      </w:r>
      <w:r w:rsidRPr="00690721">
        <w:t>.</w:t>
      </w:r>
    </w:p>
    <w:p w14:paraId="52266FDC" w14:textId="77777777" w:rsidR="003732DD" w:rsidRDefault="003732DD" w:rsidP="00B23930"/>
    <w:p w14:paraId="279E27C3" w14:textId="77777777" w:rsidR="003732DD" w:rsidRDefault="003732DD" w:rsidP="008A63AB">
      <w:r w:rsidRPr="00690721">
        <w:t xml:space="preserve">Additional guidance for territorial authorities and regional councils </w:t>
      </w:r>
      <w:r>
        <w:t>is</w:t>
      </w:r>
      <w:r w:rsidRPr="00690721">
        <w:t xml:space="preserve"> </w:t>
      </w:r>
      <w:r w:rsidRPr="00BF4416">
        <w:t>provided on assessing discharges from transport with respect to the ambient standards in the Good Practice Guide for Assessing Discharges to Air fr</w:t>
      </w:r>
      <w:r w:rsidR="00296584">
        <w:t>om Land Transport (MfE, 2008b).</w:t>
      </w:r>
      <w:r w:rsidRPr="00BF4416">
        <w:t xml:space="preserve"> The good practice guide can be downloaded from the Ministry for the Environment website</w:t>
      </w:r>
      <w:r w:rsidR="00BF4416">
        <w:t xml:space="preserve"> at</w:t>
      </w:r>
      <w:r w:rsidR="008A63AB" w:rsidRPr="00BF4416">
        <w:t xml:space="preserve"> </w:t>
      </w:r>
      <w:hyperlink r:id="rId36" w:history="1">
        <w:r w:rsidR="008C53E6" w:rsidRPr="00BF4416">
          <w:rPr>
            <w:rStyle w:val="Hyperlink"/>
            <w:color w:val="auto"/>
          </w:rPr>
          <w:t>www.mfe.govt.nz</w:t>
        </w:r>
      </w:hyperlink>
      <w:r w:rsidR="008A63AB" w:rsidRPr="00BF4416">
        <w:t>.</w:t>
      </w:r>
    </w:p>
    <w:p w14:paraId="79681956" w14:textId="77777777" w:rsidR="008C53E6" w:rsidRPr="007F504E" w:rsidRDefault="008C53E6" w:rsidP="008C53E6">
      <w:pPr>
        <w:pStyle w:val="Heading3"/>
      </w:pPr>
      <w:r w:rsidRPr="007F504E">
        <w:t>3.10.3</w:t>
      </w:r>
      <w:r w:rsidRPr="007F504E">
        <w:tab/>
      </w:r>
      <w:r w:rsidR="000F61D7">
        <w:t xml:space="preserve"> </w:t>
      </w:r>
      <w:r w:rsidRPr="007F504E">
        <w:t>Bylaws</w:t>
      </w:r>
    </w:p>
    <w:p w14:paraId="29A0EC9C" w14:textId="77777777" w:rsidR="008C53E6" w:rsidRDefault="008C53E6" w:rsidP="008C53E6">
      <w:pPr>
        <w:pStyle w:val="BodyText"/>
      </w:pPr>
      <w:r>
        <w:t>Territorial authorities do not have a specific air quality management function under the RMA but do have the primary responsibility for land use (eg, the location of activities that may discharge contaminants to air). However, territorial authorities are able to make bylaws under the Local Government Act 2002 (LGA). Section 145 of the LGA states:</w:t>
      </w:r>
    </w:p>
    <w:p w14:paraId="1DA1D399" w14:textId="77777777" w:rsidR="00BF4416" w:rsidRDefault="00BF4416" w:rsidP="008C53E6">
      <w:pPr>
        <w:pStyle w:val="BodyText"/>
      </w:pPr>
    </w:p>
    <w:p w14:paraId="643F4D87" w14:textId="77777777" w:rsidR="008C53E6" w:rsidRPr="007F504E" w:rsidRDefault="008C53E6" w:rsidP="00BF4416">
      <w:pPr>
        <w:keepNext/>
        <w:keepLines/>
        <w:ind w:left="567"/>
        <w:rPr>
          <w:b/>
          <w:i/>
          <w:sz w:val="20"/>
        </w:rPr>
      </w:pPr>
      <w:r w:rsidRPr="007F504E">
        <w:rPr>
          <w:b/>
          <w:i/>
          <w:sz w:val="20"/>
        </w:rPr>
        <w:t>145</w:t>
      </w:r>
      <w:r w:rsidRPr="007F504E">
        <w:rPr>
          <w:b/>
          <w:i/>
          <w:sz w:val="20"/>
        </w:rPr>
        <w:tab/>
        <w:t>General bylaw-making power for territorial authorities</w:t>
      </w:r>
    </w:p>
    <w:p w14:paraId="6B8E0FAE" w14:textId="77777777" w:rsidR="008C53E6" w:rsidRPr="007F504E" w:rsidRDefault="008C53E6" w:rsidP="008C53E6">
      <w:pPr>
        <w:keepNext/>
        <w:keepLines/>
        <w:ind w:left="1134"/>
        <w:rPr>
          <w:i/>
          <w:sz w:val="20"/>
        </w:rPr>
      </w:pPr>
      <w:r w:rsidRPr="007F504E">
        <w:rPr>
          <w:i/>
          <w:sz w:val="20"/>
        </w:rPr>
        <w:t>A territorial authority may make bylaws for its district for 1 or more of the following purposes:</w:t>
      </w:r>
    </w:p>
    <w:p w14:paraId="43FC65AB" w14:textId="77777777" w:rsidR="008C53E6" w:rsidRPr="007F504E" w:rsidRDefault="008C53E6" w:rsidP="008C53E6">
      <w:pPr>
        <w:ind w:left="1701" w:hanging="567"/>
        <w:rPr>
          <w:i/>
          <w:sz w:val="20"/>
        </w:rPr>
      </w:pPr>
      <w:r w:rsidRPr="007F504E">
        <w:rPr>
          <w:i/>
          <w:sz w:val="20"/>
        </w:rPr>
        <w:t xml:space="preserve">(a) </w:t>
      </w:r>
      <w:r>
        <w:rPr>
          <w:i/>
          <w:sz w:val="20"/>
        </w:rPr>
        <w:tab/>
      </w:r>
      <w:r w:rsidRPr="007F504E">
        <w:rPr>
          <w:i/>
          <w:sz w:val="20"/>
        </w:rPr>
        <w:t>protecting the public from nuisance:</w:t>
      </w:r>
    </w:p>
    <w:p w14:paraId="44D53AD8" w14:textId="77777777" w:rsidR="008C53E6" w:rsidRPr="007F504E" w:rsidRDefault="008C53E6" w:rsidP="008C53E6">
      <w:pPr>
        <w:ind w:left="1701" w:hanging="567"/>
        <w:rPr>
          <w:i/>
          <w:sz w:val="20"/>
        </w:rPr>
      </w:pPr>
      <w:r w:rsidRPr="007F504E">
        <w:rPr>
          <w:i/>
          <w:sz w:val="20"/>
        </w:rPr>
        <w:t>(b)</w:t>
      </w:r>
      <w:r>
        <w:rPr>
          <w:i/>
          <w:sz w:val="20"/>
        </w:rPr>
        <w:tab/>
      </w:r>
      <w:r w:rsidRPr="007F504E">
        <w:rPr>
          <w:i/>
          <w:sz w:val="20"/>
        </w:rPr>
        <w:t xml:space="preserve"> protecting, promoting, and maintaining public health and safety:</w:t>
      </w:r>
    </w:p>
    <w:p w14:paraId="433F559F" w14:textId="77777777" w:rsidR="008C53E6" w:rsidRPr="007F504E" w:rsidRDefault="008C53E6" w:rsidP="008C53E6">
      <w:pPr>
        <w:ind w:left="1701" w:hanging="567"/>
        <w:rPr>
          <w:i/>
          <w:sz w:val="20"/>
        </w:rPr>
      </w:pPr>
      <w:r w:rsidRPr="007F504E">
        <w:rPr>
          <w:i/>
          <w:sz w:val="20"/>
        </w:rPr>
        <w:t xml:space="preserve">(c) </w:t>
      </w:r>
      <w:r>
        <w:rPr>
          <w:i/>
          <w:sz w:val="20"/>
        </w:rPr>
        <w:tab/>
      </w:r>
      <w:r w:rsidRPr="007F504E">
        <w:rPr>
          <w:i/>
          <w:sz w:val="20"/>
        </w:rPr>
        <w:t>minimising the potential for offensive behaviour in public places.</w:t>
      </w:r>
    </w:p>
    <w:p w14:paraId="6FC496D7" w14:textId="77777777" w:rsidR="008C53E6" w:rsidRDefault="008C53E6" w:rsidP="008C53E6">
      <w:r>
        <w:t>This could include bylaws regarding air</w:t>
      </w:r>
      <w:r w:rsidR="00296584">
        <w:t xml:space="preserve"> quality in terms of (b) above.</w:t>
      </w:r>
      <w:r>
        <w:t xml:space="preserve"> Regulation 28 allows for bylaws to be more s</w:t>
      </w:r>
      <w:r w:rsidR="00296584">
        <w:t>tringent than the Regulations.</w:t>
      </w:r>
    </w:p>
    <w:p w14:paraId="63DBAD64" w14:textId="77777777" w:rsidR="008C53E6" w:rsidRDefault="008C53E6" w:rsidP="008C53E6"/>
    <w:p w14:paraId="7D97B5C2" w14:textId="77777777" w:rsidR="008C53E6" w:rsidRPr="007F504E" w:rsidRDefault="008C53E6" w:rsidP="008C53E6">
      <w:pPr>
        <w:pStyle w:val="BodyText"/>
        <w:shd w:val="clear" w:color="auto" w:fill="FFFFFF"/>
      </w:pPr>
      <w:r w:rsidRPr="007F504E">
        <w:t>A good working relationship between the regional councils and territorial authorities can significantly assist in addressing air quality issues, and meeting the national air quality standards effectively and efficiently.</w:t>
      </w:r>
    </w:p>
    <w:p w14:paraId="4024CAEA" w14:textId="77777777" w:rsidR="003732DD" w:rsidRPr="00234369" w:rsidRDefault="003732DD" w:rsidP="003732DD">
      <w:pPr>
        <w:pStyle w:val="Heading3"/>
      </w:pPr>
      <w:bookmarkStart w:id="74" w:name="_Toc82152030"/>
      <w:bookmarkStart w:id="75" w:name="_Toc82851133"/>
      <w:bookmarkStart w:id="76" w:name="_Toc84646409"/>
      <w:bookmarkStart w:id="77" w:name="_Toc87954620"/>
      <w:bookmarkStart w:id="78" w:name="_Toc222291795"/>
      <w:bookmarkStart w:id="79" w:name="_Toc222292141"/>
      <w:bookmarkStart w:id="80" w:name="_Toc222292229"/>
      <w:bookmarkStart w:id="81" w:name="_Toc242861952"/>
      <w:r>
        <w:t>3.</w:t>
      </w:r>
      <w:r w:rsidR="00C72D7A">
        <w:t>10</w:t>
      </w:r>
      <w:r>
        <w:t>.</w:t>
      </w:r>
      <w:r w:rsidR="008C53E6">
        <w:t>4</w:t>
      </w:r>
      <w:r>
        <w:tab/>
      </w:r>
      <w:r w:rsidR="000F61D7">
        <w:t xml:space="preserve"> </w:t>
      </w:r>
      <w:r>
        <w:t>Existing c</w:t>
      </w:r>
      <w:r w:rsidRPr="00234369">
        <w:t>onsents</w:t>
      </w:r>
      <w:bookmarkEnd w:id="74"/>
      <w:bookmarkEnd w:id="75"/>
      <w:bookmarkEnd w:id="76"/>
      <w:bookmarkEnd w:id="77"/>
      <w:bookmarkEnd w:id="78"/>
      <w:bookmarkEnd w:id="79"/>
      <w:bookmarkEnd w:id="80"/>
      <w:bookmarkEnd w:id="81"/>
    </w:p>
    <w:p w14:paraId="5E893B2A" w14:textId="77777777" w:rsidR="008A63AB" w:rsidRDefault="008A63AB" w:rsidP="008A63AB">
      <w:r>
        <w:t xml:space="preserve">The effects of the Regulations on </w:t>
      </w:r>
      <w:r w:rsidR="00034DD1">
        <w:t>existing</w:t>
      </w:r>
      <w:r>
        <w:t xml:space="preserve"> consents is also discussed in section </w:t>
      </w:r>
      <w:r w:rsidR="00BF4416" w:rsidRPr="00BF4416">
        <w:t>2.3.3</w:t>
      </w:r>
      <w:r>
        <w:t>.</w:t>
      </w:r>
    </w:p>
    <w:p w14:paraId="51AF9106" w14:textId="77777777" w:rsidR="003732DD" w:rsidRPr="00690721" w:rsidRDefault="003732DD" w:rsidP="003732DD">
      <w:pPr>
        <w:pStyle w:val="Heading4"/>
      </w:pPr>
      <w:r w:rsidRPr="00690721">
        <w:t>Review of consents</w:t>
      </w:r>
    </w:p>
    <w:p w14:paraId="575B7A0E" w14:textId="77777777" w:rsidR="003732DD" w:rsidRDefault="00FE3566" w:rsidP="00B23930">
      <w:r>
        <w:t>Section 43B(6</w:t>
      </w:r>
      <w:r w:rsidR="003732DD" w:rsidRPr="00690721">
        <w:t xml:space="preserve">) of the RMA provides that the </w:t>
      </w:r>
      <w:r w:rsidR="00671120">
        <w:t>Regulations</w:t>
      </w:r>
      <w:r w:rsidR="003732DD" w:rsidRPr="00690721">
        <w:t xml:space="preserve"> do </w:t>
      </w:r>
      <w:r w:rsidR="003732DD" w:rsidRPr="00690721">
        <w:rPr>
          <w:b/>
        </w:rPr>
        <w:t>not</w:t>
      </w:r>
      <w:r w:rsidR="003732DD" w:rsidRPr="00690721">
        <w:t xml:space="preserve"> affect consents that have commenced before 1 September 2005</w:t>
      </w:r>
      <w:r>
        <w:t xml:space="preserve"> until such time as consent conditions are reviewed under section 128(1)(ba)</w:t>
      </w:r>
      <w:r w:rsidR="003732DD" w:rsidRPr="00690721">
        <w:t>.</w:t>
      </w:r>
    </w:p>
    <w:p w14:paraId="6B6653FC" w14:textId="77777777" w:rsidR="003732DD" w:rsidRPr="00690721" w:rsidRDefault="003732DD" w:rsidP="003732DD">
      <w:pPr>
        <w:pStyle w:val="Heading4"/>
      </w:pPr>
      <w:r w:rsidRPr="00690721">
        <w:t>Renewal of existing consents</w:t>
      </w:r>
    </w:p>
    <w:p w14:paraId="4FB0CFC6" w14:textId="77777777" w:rsidR="003732DD" w:rsidRDefault="003732DD" w:rsidP="00B23930">
      <w:r w:rsidRPr="00690721">
        <w:t xml:space="preserve">Under the RMA, consents up for renewal are treated as </w:t>
      </w:r>
      <w:r>
        <w:t>‘</w:t>
      </w:r>
      <w:r w:rsidRPr="00690721">
        <w:t>new</w:t>
      </w:r>
      <w:r>
        <w:t>’</w:t>
      </w:r>
      <w:r w:rsidRPr="00690721">
        <w:t xml:space="preserve"> consents.</w:t>
      </w:r>
      <w:r w:rsidR="00C72D7A">
        <w:t xml:space="preserve"> </w:t>
      </w:r>
    </w:p>
    <w:p w14:paraId="4D1FC80E" w14:textId="77777777" w:rsidR="00034DD1" w:rsidRDefault="00034DD1" w:rsidP="00B23930"/>
    <w:p w14:paraId="574A94DB" w14:textId="77777777" w:rsidR="003732DD" w:rsidRDefault="003732DD" w:rsidP="00B23930">
      <w:r w:rsidRPr="00690721">
        <w:t>For example, an existing industry applying for consent to continue to discharge SO</w:t>
      </w:r>
      <w:r w:rsidRPr="00690721">
        <w:rPr>
          <w:vertAlign w:val="subscript"/>
        </w:rPr>
        <w:t>2</w:t>
      </w:r>
      <w:r w:rsidRPr="00C663AF">
        <w:t xml:space="preserve"> </w:t>
      </w:r>
      <w:r w:rsidRPr="00690721">
        <w:t>would not be permitted if it resulted in a breach of the SO</w:t>
      </w:r>
      <w:r w:rsidRPr="00690721">
        <w:rPr>
          <w:vertAlign w:val="subscript"/>
        </w:rPr>
        <w:t>2</w:t>
      </w:r>
      <w:r w:rsidRPr="00690721">
        <w:t xml:space="preserve"> ambient standard.</w:t>
      </w:r>
    </w:p>
    <w:p w14:paraId="633D723E" w14:textId="77777777" w:rsidR="00034DD1" w:rsidRDefault="00034DD1" w:rsidP="00B23930"/>
    <w:p w14:paraId="4754A8D0" w14:textId="77777777" w:rsidR="00034DD1" w:rsidRDefault="00034DD1" w:rsidP="00B23930">
      <w:r>
        <w:t xml:space="preserve">The 2011 amendments to the Regulations have additional requirements for </w:t>
      </w:r>
      <w:r w:rsidR="00BF4416">
        <w:t>substantial</w:t>
      </w:r>
      <w:r>
        <w:t xml:space="preserve"> PM</w:t>
      </w:r>
      <w:r w:rsidRPr="00F311C0">
        <w:rPr>
          <w:vertAlign w:val="subscript"/>
        </w:rPr>
        <w:t>10</w:t>
      </w:r>
      <w:r>
        <w:t xml:space="preserve"> sources</w:t>
      </w:r>
      <w:r w:rsidR="00296584">
        <w:t xml:space="preserve"> that must also be considered. </w:t>
      </w:r>
      <w:r>
        <w:t xml:space="preserve">This is discussed in further </w:t>
      </w:r>
      <w:r w:rsidR="00F311C0">
        <w:t xml:space="preserve">detail </w:t>
      </w:r>
      <w:r>
        <w:t xml:space="preserve">in </w:t>
      </w:r>
      <w:r w:rsidR="00F311C0">
        <w:t xml:space="preserve">section </w:t>
      </w:r>
      <w:r w:rsidR="00BF4416">
        <w:t>4.10.</w:t>
      </w:r>
    </w:p>
    <w:p w14:paraId="15DD09CF" w14:textId="77777777" w:rsidR="003732DD" w:rsidRDefault="003732DD" w:rsidP="003732DD">
      <w:pPr>
        <w:pStyle w:val="Heading3"/>
      </w:pPr>
      <w:bookmarkStart w:id="82" w:name="_Toc82152031"/>
      <w:bookmarkStart w:id="83" w:name="_Toc82851134"/>
      <w:bookmarkStart w:id="84" w:name="_Toc84646410"/>
      <w:bookmarkStart w:id="85" w:name="_Toc87954621"/>
      <w:bookmarkStart w:id="86" w:name="_Toc222291796"/>
      <w:bookmarkStart w:id="87" w:name="_Toc222292142"/>
      <w:bookmarkStart w:id="88" w:name="_Toc222292230"/>
      <w:bookmarkStart w:id="89" w:name="_Toc242861953"/>
      <w:r>
        <w:t>3.</w:t>
      </w:r>
      <w:r w:rsidR="00B23930">
        <w:t>10</w:t>
      </w:r>
      <w:r w:rsidR="008C53E6">
        <w:t>.5</w:t>
      </w:r>
      <w:r w:rsidR="00F311C0">
        <w:tab/>
      </w:r>
      <w:r w:rsidR="000F61D7">
        <w:t xml:space="preserve"> </w:t>
      </w:r>
      <w:r w:rsidR="00F311C0">
        <w:t>N</w:t>
      </w:r>
      <w:r>
        <w:t>ew c</w:t>
      </w:r>
      <w:r w:rsidRPr="00234369">
        <w:t>onsents</w:t>
      </w:r>
      <w:bookmarkEnd w:id="82"/>
      <w:bookmarkEnd w:id="83"/>
      <w:bookmarkEnd w:id="84"/>
      <w:bookmarkEnd w:id="85"/>
      <w:bookmarkEnd w:id="86"/>
      <w:bookmarkEnd w:id="87"/>
      <w:bookmarkEnd w:id="88"/>
      <w:bookmarkEnd w:id="89"/>
    </w:p>
    <w:p w14:paraId="5BCE004C" w14:textId="77777777" w:rsidR="003732DD" w:rsidRDefault="003732DD" w:rsidP="00B23930">
      <w:r w:rsidRPr="00690721">
        <w:t xml:space="preserve">As outlined above, the introduction of the </w:t>
      </w:r>
      <w:r w:rsidR="00034DD1">
        <w:t xml:space="preserve">Regulations </w:t>
      </w:r>
      <w:r w:rsidR="00B23930">
        <w:t>has placed</w:t>
      </w:r>
      <w:r w:rsidRPr="00690721">
        <w:t xml:space="preserve"> differing constraints upo</w:t>
      </w:r>
      <w:r w:rsidR="00296584">
        <w:t>n the resource consent process.</w:t>
      </w:r>
      <w:r w:rsidRPr="00690721">
        <w:t xml:space="preserve"> </w:t>
      </w:r>
      <w:r>
        <w:t xml:space="preserve">For </w:t>
      </w:r>
      <w:r w:rsidR="00034DD1">
        <w:t>consent applications</w:t>
      </w:r>
      <w:r>
        <w:t>, t</w:t>
      </w:r>
      <w:r w:rsidRPr="00690721">
        <w:t xml:space="preserve">he first issue that should be addressed is whether or not the discharge </w:t>
      </w:r>
      <w:r>
        <w:t>will result in a</w:t>
      </w:r>
      <w:r w:rsidRPr="00690721">
        <w:t xml:space="preserve"> s</w:t>
      </w:r>
      <w:r w:rsidR="008A63AB">
        <w:t>ubstantial</w:t>
      </w:r>
      <w:r w:rsidRPr="00690721">
        <w:t xml:space="preserve"> </w:t>
      </w:r>
      <w:r>
        <w:t>increase in concentrations</w:t>
      </w:r>
      <w:r w:rsidR="00B23930">
        <w:t xml:space="preserve"> (ie, whether the activity will be a principle source or would be likely to cause the ambient standard to be </w:t>
      </w:r>
      <w:r w:rsidR="008B5815">
        <w:t>breached</w:t>
      </w:r>
      <w:r w:rsidR="00B23930">
        <w:t>)</w:t>
      </w:r>
      <w:r w:rsidR="00296584">
        <w:t xml:space="preserve">. </w:t>
      </w:r>
      <w:r w:rsidRPr="00690721">
        <w:t>If so, the next issue is to determine the scope of discharge</w:t>
      </w:r>
      <w:r>
        <w:t xml:space="preserve"> – </w:t>
      </w:r>
      <w:r w:rsidRPr="00690721">
        <w:t>does it require a complex assessment or can a simple calculation (</w:t>
      </w:r>
      <w:r>
        <w:t xml:space="preserve">eg, </w:t>
      </w:r>
      <w:r w:rsidRPr="00690721">
        <w:t xml:space="preserve">comparison of in-stack concentrations) </w:t>
      </w:r>
      <w:r>
        <w:t xml:space="preserve">meet the ambient </w:t>
      </w:r>
      <w:r w:rsidRPr="00690721">
        <w:t>standards.</w:t>
      </w:r>
    </w:p>
    <w:p w14:paraId="08EE42FF" w14:textId="77777777" w:rsidR="003732DD" w:rsidRDefault="00B23930" w:rsidP="00B23930">
      <w:r>
        <w:tab/>
      </w:r>
    </w:p>
    <w:p w14:paraId="378CECE1" w14:textId="77777777" w:rsidR="003732DD" w:rsidRDefault="003732DD" w:rsidP="00B23930">
      <w:r w:rsidRPr="00234369">
        <w:t>Detailed assessments should be carried out using predictive tools such as computer dispersion modelling</w:t>
      </w:r>
      <w:r>
        <w:t xml:space="preserve"> in accordance with the </w:t>
      </w:r>
      <w:r w:rsidRPr="00BF4416">
        <w:t xml:space="preserve">Good Practice Guide for Atmospheric Dispersion Modelling </w:t>
      </w:r>
      <w:r w:rsidR="00F311C0">
        <w:t>(</w:t>
      </w:r>
      <w:r w:rsidR="00F311C0" w:rsidRPr="00BF4416">
        <w:t>MfE</w:t>
      </w:r>
      <w:r w:rsidRPr="00BF4416">
        <w:t>, 2004</w:t>
      </w:r>
      <w:r w:rsidR="00BF4416" w:rsidRPr="00BF4416">
        <w:t>b</w:t>
      </w:r>
      <w:r w:rsidRPr="00234369">
        <w:t>)</w:t>
      </w:r>
      <w:r>
        <w:t>. This document</w:t>
      </w:r>
      <w:r w:rsidRPr="00234369">
        <w:t xml:space="preserve"> contains comprehensive protocols on how to carry out dispersion modelling.</w:t>
      </w:r>
      <w:r>
        <w:t xml:space="preserve"> Guidance on the interpretation of results is provided in the </w:t>
      </w:r>
      <w:r w:rsidRPr="00BF4416">
        <w:t xml:space="preserve">Good Practice Guide for Assessing Discharges to Air from Industry </w:t>
      </w:r>
      <w:r>
        <w:t>(</w:t>
      </w:r>
      <w:r w:rsidRPr="00BF4416">
        <w:t>MfE, 2008a</w:t>
      </w:r>
      <w:r w:rsidR="00296584">
        <w:t xml:space="preserve">). </w:t>
      </w:r>
      <w:r>
        <w:t>The good practice gu</w:t>
      </w:r>
      <w:r w:rsidR="008A63AB">
        <w:t>ide</w:t>
      </w:r>
      <w:r w:rsidR="00F311C0">
        <w:t>s</w:t>
      </w:r>
      <w:r w:rsidR="008A63AB">
        <w:t xml:space="preserve"> can be downloaded from the </w:t>
      </w:r>
      <w:r>
        <w:t>Minis</w:t>
      </w:r>
      <w:r w:rsidR="008A63AB">
        <w:t>try for the Environment website</w:t>
      </w:r>
      <w:r w:rsidR="00BF4416">
        <w:t xml:space="preserve"> at</w:t>
      </w:r>
      <w:r w:rsidR="008A63AB">
        <w:t xml:space="preserve"> </w:t>
      </w:r>
      <w:hyperlink r:id="rId37" w:history="1">
        <w:r w:rsidR="00170A39" w:rsidRPr="007620A5">
          <w:rPr>
            <w:rStyle w:val="Hyperlink"/>
          </w:rPr>
          <w:t>www.mfe.govt.nz</w:t>
        </w:r>
      </w:hyperlink>
      <w:r w:rsidR="00BF4416">
        <w:t>.</w:t>
      </w:r>
    </w:p>
    <w:p w14:paraId="34684F14" w14:textId="77777777" w:rsidR="00170A39" w:rsidRDefault="00170A39" w:rsidP="00B23930"/>
    <w:p w14:paraId="20AE75DA" w14:textId="77777777" w:rsidR="003732DD" w:rsidRPr="00234369" w:rsidRDefault="003732DD" w:rsidP="003732DD">
      <w:pPr>
        <w:pStyle w:val="Heading2"/>
      </w:pPr>
      <w:bookmarkStart w:id="90" w:name="_Toc82152035"/>
      <w:bookmarkStart w:id="91" w:name="_Toc82851137"/>
      <w:bookmarkStart w:id="92" w:name="_Toc84646412"/>
      <w:bookmarkStart w:id="93" w:name="_Toc87954624"/>
      <w:bookmarkStart w:id="94" w:name="_Toc222291798"/>
      <w:bookmarkStart w:id="95" w:name="_Toc222292144"/>
      <w:bookmarkStart w:id="96" w:name="_Toc222292232"/>
      <w:bookmarkStart w:id="97" w:name="_Toc242861955"/>
      <w:bookmarkStart w:id="98" w:name="_Toc300856605"/>
      <w:r>
        <w:t>3.</w:t>
      </w:r>
      <w:r w:rsidR="00B23930">
        <w:t>11</w:t>
      </w:r>
      <w:r>
        <w:tab/>
        <w:t>Implementing the ambient s</w:t>
      </w:r>
      <w:r w:rsidRPr="00234369">
        <w:t>tandard</w:t>
      </w:r>
      <w:bookmarkEnd w:id="90"/>
      <w:bookmarkEnd w:id="91"/>
      <w:bookmarkEnd w:id="92"/>
      <w:bookmarkEnd w:id="93"/>
      <w:bookmarkEnd w:id="94"/>
      <w:bookmarkEnd w:id="95"/>
      <w:bookmarkEnd w:id="96"/>
      <w:r>
        <w:t>s</w:t>
      </w:r>
      <w:bookmarkEnd w:id="97"/>
      <w:bookmarkEnd w:id="98"/>
    </w:p>
    <w:p w14:paraId="5FEBFFE3" w14:textId="77777777" w:rsidR="008238DA" w:rsidRDefault="00407F17" w:rsidP="003732DD">
      <w:r>
        <w:t xml:space="preserve">The </w:t>
      </w:r>
      <w:r w:rsidR="00671120">
        <w:t>Regulations</w:t>
      </w:r>
      <w:r>
        <w:t xml:space="preserve"> were promulgated in 2004 and </w:t>
      </w:r>
      <w:r w:rsidR="00034DD1">
        <w:t xml:space="preserve">the ambient standards </w:t>
      </w:r>
      <w:r>
        <w:t>have been in force since 2005.  For all ambient standards other than PM</w:t>
      </w:r>
      <w:r w:rsidRPr="00407F17">
        <w:rPr>
          <w:vertAlign w:val="subscript"/>
        </w:rPr>
        <w:t>10</w:t>
      </w:r>
      <w:r>
        <w:t xml:space="preserve"> the </w:t>
      </w:r>
      <w:r w:rsidR="00671120">
        <w:t>Regulations</w:t>
      </w:r>
      <w:r>
        <w:t xml:space="preserve"> have required compliance from 1 September 2005. Only a few airshe</w:t>
      </w:r>
      <w:r w:rsidR="008238DA">
        <w:t xml:space="preserve">ds within New Zealand have the </w:t>
      </w:r>
      <w:r>
        <w:t>potential</w:t>
      </w:r>
      <w:r w:rsidR="008238DA">
        <w:t xml:space="preserve"> to </w:t>
      </w:r>
      <w:r>
        <w:t>breach</w:t>
      </w:r>
      <w:r w:rsidR="008238DA">
        <w:t>, or have breached the ambient standards for carbon monoxide (CO), sulphur dioxide (SO</w:t>
      </w:r>
      <w:r w:rsidR="008238DA" w:rsidRPr="008238DA">
        <w:rPr>
          <w:vertAlign w:val="subscript"/>
        </w:rPr>
        <w:t>2</w:t>
      </w:r>
      <w:r w:rsidR="008238DA">
        <w:t>), nitrogen dioxide (NO</w:t>
      </w:r>
      <w:r w:rsidR="008238DA" w:rsidRPr="008238DA">
        <w:rPr>
          <w:vertAlign w:val="subscript"/>
        </w:rPr>
        <w:t>2</w:t>
      </w:r>
      <w:r w:rsidR="008238DA">
        <w:t>) or ozone (O</w:t>
      </w:r>
      <w:r w:rsidR="008238DA" w:rsidRPr="008238DA">
        <w:rPr>
          <w:vertAlign w:val="subscript"/>
        </w:rPr>
        <w:t>3</w:t>
      </w:r>
      <w:r w:rsidR="00296584">
        <w:t>).</w:t>
      </w:r>
    </w:p>
    <w:p w14:paraId="7BC4A38B" w14:textId="77777777" w:rsidR="008238DA" w:rsidRDefault="008238DA" w:rsidP="003732DD"/>
    <w:p w14:paraId="41C303E8" w14:textId="77777777" w:rsidR="003732DD" w:rsidRDefault="003732DD" w:rsidP="003732DD">
      <w:r w:rsidRPr="00234369">
        <w:t>Where an air</w:t>
      </w:r>
      <w:r>
        <w:t>shed</w:t>
      </w:r>
      <w:r w:rsidRPr="00234369">
        <w:t xml:space="preserve"> is known to</w:t>
      </w:r>
      <w:r w:rsidR="008238DA">
        <w:t xml:space="preserve"> be close to</w:t>
      </w:r>
      <w:r w:rsidR="00034DD1">
        <w:t>,</w:t>
      </w:r>
      <w:r w:rsidR="008238DA">
        <w:t xml:space="preserve"> or</w:t>
      </w:r>
      <w:r w:rsidRPr="00234369">
        <w:t xml:space="preserve"> </w:t>
      </w:r>
      <w:r>
        <w:t>breach</w:t>
      </w:r>
      <w:r w:rsidR="00034DD1">
        <w:t>,</w:t>
      </w:r>
      <w:r>
        <w:t xml:space="preserve"> </w:t>
      </w:r>
      <w:r w:rsidRPr="00234369">
        <w:t xml:space="preserve">the </w:t>
      </w:r>
      <w:r>
        <w:t xml:space="preserve">ambient </w:t>
      </w:r>
      <w:r w:rsidRPr="00234369">
        <w:t xml:space="preserve">standards, the </w:t>
      </w:r>
      <w:r>
        <w:t>regional c</w:t>
      </w:r>
      <w:r w:rsidRPr="00234369">
        <w:t xml:space="preserve">ouncil </w:t>
      </w:r>
      <w:r w:rsidR="008238DA">
        <w:t>should have</w:t>
      </w:r>
      <w:r>
        <w:t xml:space="preserve"> develop</w:t>
      </w:r>
      <w:r w:rsidR="008238DA">
        <w:t>ed</w:t>
      </w:r>
      <w:r>
        <w:t xml:space="preserve"> </w:t>
      </w:r>
      <w:r w:rsidR="00D1516C">
        <w:t xml:space="preserve">an ‘action plan’ to determine </w:t>
      </w:r>
      <w:r>
        <w:t>a</w:t>
      </w:r>
      <w:r w:rsidRPr="00234369">
        <w:t xml:space="preserve"> </w:t>
      </w:r>
      <w:r>
        <w:t xml:space="preserve">path </w:t>
      </w:r>
      <w:r w:rsidRPr="00234369">
        <w:t>to comp</w:t>
      </w:r>
      <w:r w:rsidR="00024AFA">
        <w:t>liance</w:t>
      </w:r>
      <w:r w:rsidR="00D1516C">
        <w:t>.</w:t>
      </w:r>
      <w:r w:rsidR="00024AFA">
        <w:t xml:space="preserve"> </w:t>
      </w:r>
    </w:p>
    <w:p w14:paraId="7179B139" w14:textId="77777777" w:rsidR="00D1516C" w:rsidRDefault="00D1516C" w:rsidP="003732DD"/>
    <w:p w14:paraId="6490BEA8" w14:textId="77777777" w:rsidR="003732DD" w:rsidRDefault="003732DD" w:rsidP="003732DD">
      <w:r w:rsidRPr="00BE5924">
        <w:t xml:space="preserve">In simple terms, councils with air quality that exceeds the </w:t>
      </w:r>
      <w:r>
        <w:t xml:space="preserve">ambient </w:t>
      </w:r>
      <w:r w:rsidRPr="00BE5924">
        <w:t xml:space="preserve">standards </w:t>
      </w:r>
      <w:r w:rsidR="00D1516C">
        <w:t>should have</w:t>
      </w:r>
      <w:r w:rsidRPr="00BE5924">
        <w:t xml:space="preserve"> take</w:t>
      </w:r>
      <w:r w:rsidR="00D1516C">
        <w:t>n</w:t>
      </w:r>
      <w:r w:rsidRPr="00BE5924">
        <w:t xml:space="preserve"> action</w:t>
      </w:r>
      <w:r w:rsidR="00D1516C">
        <w:t xml:space="preserve"> by now</w:t>
      </w:r>
      <w:r w:rsidR="00296584">
        <w:t xml:space="preserve">. </w:t>
      </w:r>
      <w:r w:rsidRPr="00BE5924">
        <w:t xml:space="preserve">In particular, those airsheds </w:t>
      </w:r>
      <w:r w:rsidR="008B5815">
        <w:t>breaching</w:t>
      </w:r>
      <w:r w:rsidRPr="00BE5924">
        <w:t xml:space="preserve"> the</w:t>
      </w:r>
      <w:r>
        <w:t xml:space="preserve"> s</w:t>
      </w:r>
      <w:r w:rsidRPr="00BE5924">
        <w:t>tandard</w:t>
      </w:r>
      <w:r w:rsidR="00D1516C">
        <w:t>s</w:t>
      </w:r>
      <w:r w:rsidRPr="00BE5924">
        <w:t xml:space="preserve"> face co</w:t>
      </w:r>
      <w:r w:rsidR="00296584">
        <w:t>nstraints on resource consents.</w:t>
      </w:r>
      <w:r w:rsidRPr="00BE5924">
        <w:t xml:space="preserve"> There are, therefore, significant implications for communities – and councils – if they </w:t>
      </w:r>
      <w:r w:rsidR="00D1516C">
        <w:t>have</w:t>
      </w:r>
      <w:r w:rsidRPr="00BE5924">
        <w:t xml:space="preserve"> not implement</w:t>
      </w:r>
      <w:r w:rsidR="00D1516C">
        <w:t>ed</w:t>
      </w:r>
      <w:r w:rsidRPr="00BE5924">
        <w:t xml:space="preserve"> an appropriate response.</w:t>
      </w:r>
    </w:p>
    <w:p w14:paraId="1FEF230D" w14:textId="77777777" w:rsidR="00170A39" w:rsidRPr="00BE5924" w:rsidRDefault="00170A39" w:rsidP="003732DD"/>
    <w:p w14:paraId="34207267" w14:textId="77777777" w:rsidR="008238DA" w:rsidRPr="00234369" w:rsidRDefault="008238DA" w:rsidP="00360CCC">
      <w:pPr>
        <w:pStyle w:val="Heading2"/>
      </w:pPr>
      <w:bookmarkStart w:id="99" w:name="_Toc87954623"/>
      <w:bookmarkStart w:id="100" w:name="_Toc222291797"/>
      <w:bookmarkStart w:id="101" w:name="_Toc222292143"/>
      <w:bookmarkStart w:id="102" w:name="_Toc222292231"/>
      <w:bookmarkStart w:id="103" w:name="_Toc242861954"/>
      <w:bookmarkStart w:id="104" w:name="_Toc300856606"/>
      <w:r w:rsidRPr="00234369">
        <w:t>3.</w:t>
      </w:r>
      <w:r w:rsidR="00360CCC">
        <w:t>12</w:t>
      </w:r>
      <w:r w:rsidRPr="00234369">
        <w:tab/>
        <w:t>Enforcement</w:t>
      </w:r>
      <w:bookmarkEnd w:id="99"/>
      <w:bookmarkEnd w:id="100"/>
      <w:bookmarkEnd w:id="101"/>
      <w:bookmarkEnd w:id="102"/>
      <w:bookmarkEnd w:id="103"/>
      <w:bookmarkEnd w:id="104"/>
    </w:p>
    <w:p w14:paraId="5BD1BA99" w14:textId="77777777" w:rsidR="00360CCC" w:rsidRDefault="00360CCC" w:rsidP="00360CCC">
      <w:r w:rsidRPr="00234369">
        <w:t xml:space="preserve">Any person who discharges </w:t>
      </w:r>
      <w:r>
        <w:t xml:space="preserve">emissions of ambient pollutants from an activity, particularly those that require resource consent, </w:t>
      </w:r>
      <w:r w:rsidRPr="00234369">
        <w:t>could be subject to enforcement action from the regional council in accordance with the enforcement provisions of the RMA</w:t>
      </w:r>
      <w:r w:rsidR="00296584">
        <w:t xml:space="preserve">. </w:t>
      </w:r>
      <w:r>
        <w:t xml:space="preserve">These provisions are discussed in more detail in </w:t>
      </w:r>
      <w:r w:rsidRPr="00BF4416">
        <w:t>section 2.4.</w:t>
      </w:r>
    </w:p>
    <w:p w14:paraId="17F06FFA" w14:textId="77777777" w:rsidR="00360CCC" w:rsidRDefault="00360CCC" w:rsidP="00360CCC"/>
    <w:p w14:paraId="7E048EFA" w14:textId="77777777" w:rsidR="00360CCC" w:rsidRPr="00BF4416" w:rsidRDefault="00360CCC" w:rsidP="00360CCC">
      <w:pPr>
        <w:rPr>
          <w:szCs w:val="22"/>
        </w:rPr>
      </w:pPr>
      <w:r w:rsidRPr="008A1AB7">
        <w:t>In addition to this, section 44A(8) of the RMA now requires</w:t>
      </w:r>
      <w:r>
        <w:t xml:space="preserve"> that</w:t>
      </w:r>
      <w:r w:rsidRPr="008A1AB7">
        <w:t xml:space="preserve"> </w:t>
      </w:r>
      <w:r>
        <w:t>‘</w:t>
      </w:r>
      <w:r w:rsidRPr="00BF4416">
        <w:rPr>
          <w:i/>
          <w:szCs w:val="22"/>
        </w:rPr>
        <w:t>every local authority and consent authority must enforce the observance of national environmental standards to the extent to which their powers enable them to do so’.</w:t>
      </w:r>
    </w:p>
    <w:p w14:paraId="0FEDFFC3" w14:textId="77777777" w:rsidR="00360CCC" w:rsidRPr="008A1AB7" w:rsidRDefault="00360CCC" w:rsidP="00360CCC">
      <w:pPr>
        <w:rPr>
          <w:sz w:val="20"/>
        </w:rPr>
      </w:pPr>
    </w:p>
    <w:p w14:paraId="3879A7E5" w14:textId="77777777" w:rsidR="00360CCC" w:rsidRDefault="00360CCC" w:rsidP="00360CCC">
      <w:r w:rsidRPr="008A1AB7">
        <w:t>There is therefore, an obligation on regional councils</w:t>
      </w:r>
      <w:r>
        <w:t>, territorial local author</w:t>
      </w:r>
      <w:r w:rsidR="000664E3">
        <w:t>ities and requiring authorities</w:t>
      </w:r>
      <w:r>
        <w:t xml:space="preserve"> </w:t>
      </w:r>
      <w:r w:rsidR="000664E3">
        <w:t>(</w:t>
      </w:r>
      <w:r>
        <w:t>when consi</w:t>
      </w:r>
      <w:r w:rsidR="000664E3">
        <w:t>dering designation applications)</w:t>
      </w:r>
      <w:r w:rsidRPr="008A1AB7">
        <w:t xml:space="preserve"> to </w:t>
      </w:r>
      <w:r>
        <w:t xml:space="preserve">enforce </w:t>
      </w:r>
      <w:r w:rsidRPr="008A1AB7">
        <w:t xml:space="preserve">the </w:t>
      </w:r>
      <w:r w:rsidR="00034DD1">
        <w:t>Regulations</w:t>
      </w:r>
      <w:r w:rsidRPr="008A1AB7">
        <w:t>.</w:t>
      </w:r>
    </w:p>
    <w:p w14:paraId="2E2ABDAE" w14:textId="77777777" w:rsidR="009C474F" w:rsidRDefault="009C474F" w:rsidP="00502B92"/>
    <w:p w14:paraId="38BB8C9C" w14:textId="77777777" w:rsidR="00D1516C" w:rsidRDefault="008238DA" w:rsidP="00D1516C">
      <w:r w:rsidRPr="00360CCC">
        <w:t xml:space="preserve">Given the time the </w:t>
      </w:r>
      <w:r w:rsidR="00671120" w:rsidRPr="00360CCC">
        <w:t>Regulations</w:t>
      </w:r>
      <w:r w:rsidRPr="00360CCC">
        <w:t xml:space="preserve"> have been in force, it is not unreasonable to expect that the Minister for the Environment may take similar action to ensure compliance with these ambient standards as he/she may do for PM</w:t>
      </w:r>
      <w:r w:rsidRPr="00360CCC">
        <w:rPr>
          <w:vertAlign w:val="subscript"/>
        </w:rPr>
        <w:t>10</w:t>
      </w:r>
      <w:r w:rsidR="00D1516C" w:rsidRPr="00360CCC">
        <w:t>.</w:t>
      </w:r>
      <w:r w:rsidR="00360CCC">
        <w:t xml:space="preserve"> This is discussed further in section 4.</w:t>
      </w:r>
      <w:r w:rsidR="00BF4416">
        <w:t>12 and in the Compliance Strategy (MfE, 2011e)</w:t>
      </w:r>
      <w:r w:rsidR="00360CCC">
        <w:t>.</w:t>
      </w:r>
    </w:p>
    <w:p w14:paraId="0E0E12B1" w14:textId="77777777" w:rsidR="00170A39" w:rsidRDefault="00170A39" w:rsidP="00D1516C"/>
    <w:p w14:paraId="4CEFD7DB" w14:textId="77777777" w:rsidR="003948D8" w:rsidRPr="000A61B9" w:rsidRDefault="003948D8" w:rsidP="003948D8">
      <w:pPr>
        <w:pStyle w:val="Heading2"/>
      </w:pPr>
      <w:bookmarkStart w:id="105" w:name="_Toc300856607"/>
      <w:r>
        <w:t>3.13</w:t>
      </w:r>
      <w:r>
        <w:tab/>
      </w:r>
      <w:r w:rsidRPr="000A61B9">
        <w:t>Reporting requirements</w:t>
      </w:r>
      <w:bookmarkEnd w:id="105"/>
    </w:p>
    <w:p w14:paraId="2838D84F" w14:textId="77777777" w:rsidR="00034DD1" w:rsidRDefault="00034DD1" w:rsidP="003948D8">
      <w:r>
        <w:t>The Regulations do not require the mandatory reporting of progress towards achieving the ambient standards to the Ministry of the Environment.</w:t>
      </w:r>
    </w:p>
    <w:p w14:paraId="27CF09D2" w14:textId="77777777" w:rsidR="00034DD1" w:rsidRDefault="00034DD1" w:rsidP="003948D8"/>
    <w:p w14:paraId="4CB87CD4" w14:textId="77777777" w:rsidR="003948D8" w:rsidRDefault="003948D8" w:rsidP="003948D8">
      <w:r>
        <w:t>The Minister for the Environment may</w:t>
      </w:r>
      <w:r w:rsidR="00034DD1">
        <w:t xml:space="preserve"> however</w:t>
      </w:r>
      <w:r>
        <w:t>, under section 27 of the RMA, request information on the implementation of the Regulations from regional councils at any time.  Councils have 20 working days to respond.</w:t>
      </w:r>
    </w:p>
    <w:p w14:paraId="5C99AC0D" w14:textId="77777777" w:rsidR="008238DA" w:rsidRDefault="008238DA" w:rsidP="00D1516C"/>
    <w:p w14:paraId="0E6A632A" w14:textId="77777777" w:rsidR="00E5629D" w:rsidRDefault="00E5629D" w:rsidP="00D1516C"/>
    <w:p w14:paraId="226B0013" w14:textId="77777777" w:rsidR="00E5629D" w:rsidRDefault="00E5629D" w:rsidP="00D1516C">
      <w:pPr>
        <w:sectPr w:rsidR="00E5629D">
          <w:pgSz w:w="11907" w:h="16840" w:code="9"/>
          <w:pgMar w:top="1701" w:right="1418" w:bottom="1701" w:left="1418" w:header="567" w:footer="567" w:gutter="567"/>
          <w:cols w:space="720"/>
        </w:sectPr>
      </w:pPr>
    </w:p>
    <w:p w14:paraId="7DEEAD1E" w14:textId="77777777" w:rsidR="009C474F" w:rsidRDefault="009C474F" w:rsidP="009C474F">
      <w:pPr>
        <w:pStyle w:val="Heading1"/>
        <w:ind w:left="567" w:hanging="567"/>
      </w:pPr>
      <w:bookmarkStart w:id="106" w:name="_Toc300856608"/>
      <w:r>
        <w:t>4</w:t>
      </w:r>
      <w:r>
        <w:tab/>
        <w:t xml:space="preserve">Ambient Air Quality Standard </w:t>
      </w:r>
      <w:r w:rsidR="00EF3269">
        <w:br/>
      </w:r>
      <w:r>
        <w:t xml:space="preserve">for </w:t>
      </w:r>
      <w:r w:rsidR="009355D6">
        <w:t>PM</w:t>
      </w:r>
      <w:r w:rsidR="009355D6" w:rsidRPr="009355D6">
        <w:rPr>
          <w:vertAlign w:val="subscript"/>
        </w:rPr>
        <w:t>10</w:t>
      </w:r>
      <w:bookmarkEnd w:id="106"/>
    </w:p>
    <w:p w14:paraId="48745E65" w14:textId="77777777" w:rsidR="009C474F" w:rsidRDefault="00F26B70" w:rsidP="009C474F">
      <w:pPr>
        <w:pStyle w:val="Heading2"/>
      </w:pPr>
      <w:bookmarkStart w:id="107" w:name="_Toc300856609"/>
      <w:r>
        <w:t>4</w:t>
      </w:r>
      <w:r w:rsidR="009C474F">
        <w:t>.1</w:t>
      </w:r>
      <w:r w:rsidR="009C474F">
        <w:tab/>
        <w:t>Introduction</w:t>
      </w:r>
      <w:bookmarkEnd w:id="107"/>
    </w:p>
    <w:p w14:paraId="33562454" w14:textId="77777777" w:rsidR="00313AF9" w:rsidRDefault="00313AF9" w:rsidP="00313AF9">
      <w:r>
        <w:t xml:space="preserve">This chapter has been added to the </w:t>
      </w:r>
      <w:r w:rsidR="004C1281">
        <w:t xml:space="preserve">2011 </w:t>
      </w:r>
      <w:r>
        <w:t>Users’ Guide to give due attention to the amended requirements in the Regulations for PM</w:t>
      </w:r>
      <w:r w:rsidRPr="002848E1">
        <w:rPr>
          <w:vertAlign w:val="subscript"/>
        </w:rPr>
        <w:t>10</w:t>
      </w:r>
      <w:r w:rsidRPr="00313AF9">
        <w:t>.</w:t>
      </w:r>
      <w:r>
        <w:t xml:space="preserve"> In the previous Users’ Guide</w:t>
      </w:r>
      <w:r w:rsidR="004C1281">
        <w:t>s</w:t>
      </w:r>
      <w:r>
        <w:t xml:space="preserve"> </w:t>
      </w:r>
      <w:r w:rsidR="00E5629D">
        <w:t xml:space="preserve">the ambient </w:t>
      </w:r>
      <w:r>
        <w:t>PM</w:t>
      </w:r>
      <w:r w:rsidRPr="00313AF9">
        <w:rPr>
          <w:vertAlign w:val="subscript"/>
        </w:rPr>
        <w:t>10</w:t>
      </w:r>
      <w:r>
        <w:t xml:space="preserve"> </w:t>
      </w:r>
      <w:r w:rsidR="00E5629D">
        <w:t xml:space="preserve">standard </w:t>
      </w:r>
      <w:r>
        <w:t xml:space="preserve">was </w:t>
      </w:r>
      <w:r w:rsidR="00F03617">
        <w:t xml:space="preserve">discussed </w:t>
      </w:r>
      <w:r>
        <w:t xml:space="preserve">in </w:t>
      </w:r>
      <w:r w:rsidR="00A83E2F">
        <w:t xml:space="preserve">Chapter </w:t>
      </w:r>
      <w:r>
        <w:t xml:space="preserve">3 </w:t>
      </w:r>
      <w:r w:rsidR="00E5629D">
        <w:t>together</w:t>
      </w:r>
      <w:r w:rsidR="00F03617">
        <w:t xml:space="preserve"> </w:t>
      </w:r>
      <w:r>
        <w:t>with the ambient standards</w:t>
      </w:r>
      <w:r w:rsidR="00E5629D">
        <w:t xml:space="preserve"> for other pollutants</w:t>
      </w:r>
      <w:r>
        <w:t>.</w:t>
      </w:r>
    </w:p>
    <w:p w14:paraId="0ABC89FA" w14:textId="77777777" w:rsidR="00CF4853" w:rsidRDefault="00CF4853" w:rsidP="00CF4853"/>
    <w:p w14:paraId="7E05FF07" w14:textId="77777777" w:rsidR="00CF4853" w:rsidRDefault="00CF4853" w:rsidP="00CF4853">
      <w:r w:rsidRPr="00234751">
        <w:t xml:space="preserve">The </w:t>
      </w:r>
      <w:r>
        <w:t xml:space="preserve">original </w:t>
      </w:r>
      <w:r w:rsidR="00E5629D" w:rsidRPr="00234751">
        <w:t xml:space="preserve">Regulations </w:t>
      </w:r>
      <w:r w:rsidRPr="00234751">
        <w:t>impose</w:t>
      </w:r>
      <w:r>
        <w:t>d</w:t>
      </w:r>
      <w:r w:rsidRPr="00234751">
        <w:t xml:space="preserve"> restrictions on the issuing of resource consents </w:t>
      </w:r>
      <w:r w:rsidR="00F03617">
        <w:t xml:space="preserve">to industry </w:t>
      </w:r>
      <w:r w:rsidRPr="00234751">
        <w:t>in breaching</w:t>
      </w:r>
      <w:r>
        <w:t xml:space="preserve"> </w:t>
      </w:r>
      <w:r w:rsidRPr="00234751">
        <w:t>airsheds</w:t>
      </w:r>
      <w:r w:rsidR="00F03617">
        <w:t>. This was inequitable because domestic fires and not industry are the primary source of PM</w:t>
      </w:r>
      <w:r w:rsidR="00F03617" w:rsidRPr="00F03617">
        <w:rPr>
          <w:vertAlign w:val="subscript"/>
        </w:rPr>
        <w:t>10</w:t>
      </w:r>
      <w:r w:rsidR="00F03617">
        <w:t xml:space="preserve"> in winter.</w:t>
      </w:r>
    </w:p>
    <w:p w14:paraId="4715AD1F" w14:textId="77777777" w:rsidR="00466B61" w:rsidRDefault="00466B61" w:rsidP="00CF4853"/>
    <w:p w14:paraId="259F6896" w14:textId="77777777" w:rsidR="00CF4853" w:rsidRDefault="00466B61" w:rsidP="00CF4853">
      <w:r>
        <w:t>Furthermore, i</w:t>
      </w:r>
      <w:r w:rsidR="00CF4853" w:rsidRPr="00234751">
        <w:t xml:space="preserve">n 2004, when the </w:t>
      </w:r>
      <w:r w:rsidR="00CF4853">
        <w:t xml:space="preserve">air quality </w:t>
      </w:r>
      <w:r w:rsidR="00CF4853" w:rsidRPr="00234751">
        <w:t>standards were put in place, it was expected that all airsheds</w:t>
      </w:r>
      <w:r w:rsidR="00CF4853">
        <w:t xml:space="preserve"> </w:t>
      </w:r>
      <w:r w:rsidR="00CF4853" w:rsidRPr="00234751">
        <w:t>would comply with the PM</w:t>
      </w:r>
      <w:r w:rsidR="00CF4853" w:rsidRPr="00234751">
        <w:rPr>
          <w:vertAlign w:val="subscript"/>
        </w:rPr>
        <w:t>10</w:t>
      </w:r>
      <w:r w:rsidR="00CF4853" w:rsidRPr="00234751">
        <w:t xml:space="preserve"> standard by 2013. However, </w:t>
      </w:r>
      <w:r w:rsidR="00CF4853">
        <w:t xml:space="preserve">by late 2009, </w:t>
      </w:r>
      <w:r w:rsidR="00CF4853" w:rsidRPr="00234751">
        <w:t xml:space="preserve">it </w:t>
      </w:r>
      <w:r w:rsidR="00CF4853">
        <w:t>wa</w:t>
      </w:r>
      <w:r w:rsidR="00CF4853" w:rsidRPr="00234751">
        <w:t>s estimated</w:t>
      </w:r>
      <w:r w:rsidR="00CF4853">
        <w:t xml:space="preserve"> </w:t>
      </w:r>
      <w:r w:rsidR="00CF4853" w:rsidRPr="00234751">
        <w:t>that there w</w:t>
      </w:r>
      <w:r w:rsidR="00CF4853">
        <w:t>ould</w:t>
      </w:r>
      <w:r w:rsidR="00CF4853" w:rsidRPr="00234751">
        <w:t xml:space="preserve"> be 15 airsheds which w</w:t>
      </w:r>
      <w:r w:rsidR="00CF4853">
        <w:t>ould</w:t>
      </w:r>
      <w:r w:rsidR="00CF4853" w:rsidRPr="00234751">
        <w:t xml:space="preserve"> not comply </w:t>
      </w:r>
      <w:r w:rsidR="00CF4853">
        <w:t>in</w:t>
      </w:r>
      <w:r w:rsidR="00CF4853" w:rsidRPr="00234751">
        <w:t xml:space="preserve"> time, including Auckland,</w:t>
      </w:r>
      <w:r w:rsidR="00CF4853">
        <w:t xml:space="preserve"> </w:t>
      </w:r>
      <w:r w:rsidR="00CF4853" w:rsidRPr="00234751">
        <w:t>which represents nearly 30</w:t>
      </w:r>
      <w:r w:rsidR="00CF4853">
        <w:t xml:space="preserve"> per cent</w:t>
      </w:r>
      <w:r w:rsidR="00CF4853" w:rsidRPr="00234751">
        <w:t xml:space="preserve"> of New Zealand’s population. There </w:t>
      </w:r>
      <w:r w:rsidR="00CF4853">
        <w:t>was</w:t>
      </w:r>
      <w:r w:rsidR="00CF4853" w:rsidRPr="00234751">
        <w:t xml:space="preserve"> concern that</w:t>
      </w:r>
      <w:r w:rsidR="00CF4853">
        <w:t xml:space="preserve"> </w:t>
      </w:r>
      <w:r w:rsidR="00CF4853" w:rsidRPr="00234751">
        <w:t xml:space="preserve">the 2013 deadline </w:t>
      </w:r>
      <w:r w:rsidR="00CF4853">
        <w:t>wa</w:t>
      </w:r>
      <w:r w:rsidR="00CF4853" w:rsidRPr="00234751">
        <w:t>s unachievable.</w:t>
      </w:r>
    </w:p>
    <w:p w14:paraId="6F7C12AA" w14:textId="77777777" w:rsidR="00466B61" w:rsidRDefault="00466B61" w:rsidP="00CF4853"/>
    <w:p w14:paraId="05E4EB3D" w14:textId="77777777" w:rsidR="005F0AA9" w:rsidRPr="00234751" w:rsidRDefault="00F03617" w:rsidP="005F0AA9">
      <w:r>
        <w:t>The</w:t>
      </w:r>
      <w:r w:rsidR="005F0AA9">
        <w:t xml:space="preserve"> Regulations for PM</w:t>
      </w:r>
      <w:r w:rsidR="005F0AA9" w:rsidRPr="00466B61">
        <w:rPr>
          <w:vertAlign w:val="subscript"/>
        </w:rPr>
        <w:t>10</w:t>
      </w:r>
      <w:r w:rsidR="005F0AA9">
        <w:t xml:space="preserve"> were amended in 2011 to address these issues. The </w:t>
      </w:r>
      <w:r w:rsidR="005F0AA9" w:rsidRPr="00234751">
        <w:t>main changes</w:t>
      </w:r>
      <w:r w:rsidR="005F0AA9">
        <w:t xml:space="preserve"> are</w:t>
      </w:r>
      <w:r w:rsidR="005F0AA9" w:rsidRPr="00234751">
        <w:t>:</w:t>
      </w:r>
    </w:p>
    <w:p w14:paraId="3A2130CB" w14:textId="77777777" w:rsidR="005F0AA9" w:rsidRPr="00234751" w:rsidRDefault="00E5629D" w:rsidP="00726A4C">
      <w:pPr>
        <w:pStyle w:val="Bullet"/>
        <w:numPr>
          <w:ilvl w:val="0"/>
          <w:numId w:val="17"/>
        </w:numPr>
      </w:pPr>
      <w:r>
        <w:t>extending</w:t>
      </w:r>
      <w:r w:rsidR="005F0AA9" w:rsidRPr="00234751">
        <w:t xml:space="preserve"> the date </w:t>
      </w:r>
      <w:r w:rsidR="005F0AA9">
        <w:t xml:space="preserve">for compliance </w:t>
      </w:r>
      <w:r w:rsidR="005F0AA9" w:rsidRPr="00234751">
        <w:t>for regional councils to meet the ambient PM</w:t>
      </w:r>
      <w:r w:rsidR="005F0AA9" w:rsidRPr="00234751">
        <w:rPr>
          <w:vertAlign w:val="subscript"/>
        </w:rPr>
        <w:t xml:space="preserve">10 </w:t>
      </w:r>
      <w:r w:rsidR="005F0AA9" w:rsidRPr="00234751">
        <w:t>standard</w:t>
      </w:r>
      <w:r w:rsidR="005F0AA9">
        <w:t xml:space="preserve"> of 50 µg.m</w:t>
      </w:r>
      <w:r w:rsidR="005F0AA9" w:rsidRPr="000D2E0D">
        <w:rPr>
          <w:vertAlign w:val="superscript"/>
        </w:rPr>
        <w:t>-3</w:t>
      </w:r>
      <w:r w:rsidR="005F0AA9">
        <w:t xml:space="preserve"> by creating split targets</w:t>
      </w:r>
      <w:r w:rsidR="005F0AA9" w:rsidRPr="00234751">
        <w:t xml:space="preserve">. </w:t>
      </w:r>
      <w:r w:rsidR="005F0AA9" w:rsidRPr="005B4B95">
        <w:t xml:space="preserve">Airsheds with more than 10 exceedances a year must meet </w:t>
      </w:r>
      <w:r w:rsidR="005F0AA9">
        <w:t xml:space="preserve">the standards with </w:t>
      </w:r>
      <w:r w:rsidR="005F0AA9" w:rsidRPr="005B4B95">
        <w:t>three exceedances by 1 September 2016 and one exceedance by 1 September 2020. Airsheds with fewer than 10 exceedances a year must meet</w:t>
      </w:r>
      <w:r w:rsidR="005F0AA9">
        <w:t xml:space="preserve"> the standard with</w:t>
      </w:r>
      <w:r w:rsidR="005F0AA9" w:rsidRPr="005B4B95">
        <w:t xml:space="preserve"> one exceedance by 1 September 2016.</w:t>
      </w:r>
      <w:r w:rsidR="005F0AA9">
        <w:t xml:space="preserve"> (</w:t>
      </w:r>
      <w:r w:rsidR="005F0AA9" w:rsidRPr="00D80C14">
        <w:t>section 4.</w:t>
      </w:r>
      <w:r w:rsidR="00D80C14" w:rsidRPr="00D80C14">
        <w:t>4</w:t>
      </w:r>
      <w:r w:rsidR="005F0AA9">
        <w:t>) All other airsheds must continue to meet the standard with one exceedance (this requirement has been i</w:t>
      </w:r>
      <w:r w:rsidR="00866F64">
        <w:t>n place since 1 September 2005)</w:t>
      </w:r>
    </w:p>
    <w:p w14:paraId="2659A6FA" w14:textId="77777777" w:rsidR="005F0AA9" w:rsidRDefault="005F0AA9" w:rsidP="00726A4C">
      <w:pPr>
        <w:pStyle w:val="Bullet"/>
        <w:numPr>
          <w:ilvl w:val="0"/>
          <w:numId w:val="17"/>
        </w:numPr>
      </w:pPr>
      <w:r>
        <w:t xml:space="preserve">requirement for </w:t>
      </w:r>
      <w:r w:rsidR="000B5E9E">
        <w:t>‘</w:t>
      </w:r>
      <w:r>
        <w:t>meaningful</w:t>
      </w:r>
      <w:r w:rsidR="000B5E9E">
        <w:t>’</w:t>
      </w:r>
      <w:r>
        <w:t xml:space="preserve"> monitoring data for PM</w:t>
      </w:r>
      <w:r w:rsidRPr="00A83E2F">
        <w:rPr>
          <w:vertAlign w:val="subscript"/>
        </w:rPr>
        <w:t>10</w:t>
      </w:r>
      <w:r>
        <w:t xml:space="preserve"> in accordance with best practice (section </w:t>
      </w:r>
      <w:r w:rsidR="00A45601">
        <w:t>4.6.1</w:t>
      </w:r>
      <w:r>
        <w:t>)</w:t>
      </w:r>
    </w:p>
    <w:p w14:paraId="58678662" w14:textId="77777777" w:rsidR="005F0AA9" w:rsidRDefault="005F0AA9" w:rsidP="00726A4C">
      <w:pPr>
        <w:pStyle w:val="Bullet"/>
        <w:numPr>
          <w:ilvl w:val="0"/>
          <w:numId w:val="17"/>
        </w:numPr>
      </w:pPr>
      <w:r w:rsidRPr="00234751">
        <w:t>requir</w:t>
      </w:r>
      <w:r>
        <w:t>ement</w:t>
      </w:r>
      <w:r w:rsidRPr="00234751">
        <w:t xml:space="preserve"> </w:t>
      </w:r>
      <w:r>
        <w:t xml:space="preserve">for mandatory </w:t>
      </w:r>
      <w:r w:rsidR="00857BCC">
        <w:t>‘</w:t>
      </w:r>
      <w:r w:rsidRPr="00234751">
        <w:t>offsets</w:t>
      </w:r>
      <w:r w:rsidR="00857BCC">
        <w:t>’</w:t>
      </w:r>
      <w:r w:rsidR="00A45601">
        <w:t xml:space="preserve"> (section 4.10.</w:t>
      </w:r>
      <w:r w:rsidR="00EC442B">
        <w:t>3</w:t>
      </w:r>
      <w:r w:rsidR="00A45601">
        <w:t>)</w:t>
      </w:r>
      <w:r w:rsidRPr="00234751">
        <w:t xml:space="preserve"> from new industries with </w:t>
      </w:r>
      <w:r>
        <w:t>large</w:t>
      </w:r>
      <w:r w:rsidRPr="00234751">
        <w:t xml:space="preserve"> PM</w:t>
      </w:r>
      <w:r w:rsidRPr="00234751">
        <w:rPr>
          <w:vertAlign w:val="subscript"/>
        </w:rPr>
        <w:t>10</w:t>
      </w:r>
      <w:r w:rsidRPr="00234751">
        <w:t xml:space="preserve"> discharges in</w:t>
      </w:r>
      <w:r>
        <w:t xml:space="preserve"> </w:t>
      </w:r>
      <w:r w:rsidR="00636E8F">
        <w:t>‘</w:t>
      </w:r>
      <w:r w:rsidRPr="00234751">
        <w:t>polluted</w:t>
      </w:r>
      <w:r w:rsidR="00636E8F">
        <w:t>’</w:t>
      </w:r>
      <w:r w:rsidRPr="00234751">
        <w:t xml:space="preserve"> airsheds</w:t>
      </w:r>
      <w:r w:rsidR="00EC442B">
        <w:t xml:space="preserve"> (section 4.10.2</w:t>
      </w:r>
      <w:r w:rsidR="00A45601">
        <w:t>)</w:t>
      </w:r>
      <w:r w:rsidRPr="00234751">
        <w:t xml:space="preserve"> from September 2012, replacing the current restrictions on</w:t>
      </w:r>
      <w:r>
        <w:t xml:space="preserve"> </w:t>
      </w:r>
      <w:r w:rsidRPr="00234751">
        <w:t>industrial consents</w:t>
      </w:r>
    </w:p>
    <w:p w14:paraId="169B34F9" w14:textId="77777777" w:rsidR="005F0AA9" w:rsidRPr="00234751" w:rsidRDefault="005F0AA9" w:rsidP="00726A4C">
      <w:pPr>
        <w:pStyle w:val="Bullet"/>
        <w:numPr>
          <w:ilvl w:val="0"/>
          <w:numId w:val="17"/>
        </w:numPr>
      </w:pPr>
      <w:r>
        <w:t xml:space="preserve">ban on </w:t>
      </w:r>
      <w:r w:rsidR="00E5629D">
        <w:t xml:space="preserve">new solid-fuel burning </w:t>
      </w:r>
      <w:r>
        <w:t xml:space="preserve">open fires in polluted airsheds after 1 September 2012 (section </w:t>
      </w:r>
      <w:r w:rsidRPr="00A45601">
        <w:t>5.3</w:t>
      </w:r>
      <w:r>
        <w:t>)</w:t>
      </w:r>
      <w:r w:rsidR="00AB5A3C">
        <w:t>.</w:t>
      </w:r>
    </w:p>
    <w:p w14:paraId="5B4BDFFD" w14:textId="77777777" w:rsidR="005F0AA9" w:rsidRDefault="005F0AA9" w:rsidP="00466B61"/>
    <w:p w14:paraId="08DCDB35" w14:textId="77777777" w:rsidR="00466B61" w:rsidRDefault="0060123B" w:rsidP="00466B61">
      <w:r>
        <w:t>It is important to note that w</w:t>
      </w:r>
      <w:r w:rsidRPr="00466B61">
        <w:t>hil</w:t>
      </w:r>
      <w:r>
        <w:t>e</w:t>
      </w:r>
      <w:r w:rsidRPr="00466B61">
        <w:t xml:space="preserve"> </w:t>
      </w:r>
      <w:r w:rsidR="00466B61" w:rsidRPr="00466B61">
        <w:t>the compliance timeframe for PM</w:t>
      </w:r>
      <w:r w:rsidR="00466B61" w:rsidRPr="00466B61">
        <w:rPr>
          <w:vertAlign w:val="subscript"/>
        </w:rPr>
        <w:t>10</w:t>
      </w:r>
      <w:r w:rsidR="00466B61" w:rsidRPr="00466B61">
        <w:t xml:space="preserve"> has been amended, the value of the PM</w:t>
      </w:r>
      <w:r w:rsidR="00466B61" w:rsidRPr="00466B61">
        <w:rPr>
          <w:vertAlign w:val="subscript"/>
        </w:rPr>
        <w:t>10</w:t>
      </w:r>
      <w:r w:rsidR="00466B61" w:rsidRPr="00466B61">
        <w:t xml:space="preserve"> standard remains the same. This means that bottom-line standards for public health protection remain unaffected.</w:t>
      </w:r>
      <w:r w:rsidR="00466B61" w:rsidRPr="002A6A85">
        <w:t xml:space="preserve"> </w:t>
      </w:r>
    </w:p>
    <w:p w14:paraId="1BD2421E" w14:textId="77777777" w:rsidR="005B4B95" w:rsidRDefault="005B4B95" w:rsidP="00466B61"/>
    <w:p w14:paraId="6C3F45C6" w14:textId="77777777" w:rsidR="005B4B95" w:rsidRPr="005B4B95" w:rsidRDefault="005B4B95" w:rsidP="00A45601">
      <w:pPr>
        <w:shd w:val="clear" w:color="auto" w:fill="D9D9D9"/>
      </w:pPr>
      <w:r w:rsidRPr="00A548F7">
        <w:t xml:space="preserve">Airsheds that meet their allocated split targets </w:t>
      </w:r>
      <w:r>
        <w:t>within the time allowed will be</w:t>
      </w:r>
      <w:r w:rsidRPr="00A548F7">
        <w:t xml:space="preserve"> deemed to comply with the ambient PM</w:t>
      </w:r>
      <w:r w:rsidRPr="00A548F7">
        <w:rPr>
          <w:vertAlign w:val="subscript"/>
        </w:rPr>
        <w:t>10</w:t>
      </w:r>
      <w:r w:rsidR="00296584">
        <w:t xml:space="preserve"> standard.</w:t>
      </w:r>
      <w:r w:rsidRPr="00A548F7">
        <w:t xml:space="preserve"> However, if possible, </w:t>
      </w:r>
      <w:r w:rsidR="004C4686">
        <w:t>c</w:t>
      </w:r>
      <w:r w:rsidR="00377F45">
        <w:t>ouncil</w:t>
      </w:r>
      <w:r w:rsidR="00377F45" w:rsidRPr="00A548F7">
        <w:t xml:space="preserve">s </w:t>
      </w:r>
      <w:r w:rsidRPr="00A548F7">
        <w:t xml:space="preserve">should aim to reduce the number of exceedances </w:t>
      </w:r>
      <w:r w:rsidR="00377F45">
        <w:t xml:space="preserve">within airsheds </w:t>
      </w:r>
      <w:r w:rsidRPr="00A548F7">
        <w:t xml:space="preserve">earlier (and hence meet their compliance dates earlier as well) as </w:t>
      </w:r>
      <w:r w:rsidR="00377F45">
        <w:t>communities will be looking to them to</w:t>
      </w:r>
      <w:r w:rsidRPr="005B4B95">
        <w:t xml:space="preserve"> reduce the likely health impacts</w:t>
      </w:r>
      <w:r w:rsidR="005C37A1">
        <w:t xml:space="preserve"> arising from poor air quality</w:t>
      </w:r>
      <w:r w:rsidRPr="005B4B95">
        <w:t>.</w:t>
      </w:r>
    </w:p>
    <w:p w14:paraId="5264A4B4" w14:textId="77777777" w:rsidR="00BD33EF" w:rsidRPr="005B4B95" w:rsidRDefault="00BD33EF" w:rsidP="00BD33EF"/>
    <w:p w14:paraId="7A0F7D41" w14:textId="77777777" w:rsidR="00BD33EF" w:rsidRDefault="00BD33EF" w:rsidP="00BD33EF">
      <w:r w:rsidRPr="005B4B95">
        <w:t>It is well known that a number of urban areas do not meet the ambient standard for PM</w:t>
      </w:r>
      <w:r w:rsidRPr="005B4B95">
        <w:rPr>
          <w:vertAlign w:val="subscript"/>
        </w:rPr>
        <w:t>10</w:t>
      </w:r>
      <w:r w:rsidRPr="005B4B95">
        <w:t xml:space="preserve">. </w:t>
      </w:r>
      <w:r w:rsidR="005B4B95" w:rsidRPr="005B4B95">
        <w:t>The Ministry has published a non-regulatory companion document</w:t>
      </w:r>
      <w:r w:rsidR="00A45601">
        <w:t xml:space="preserve"> – </w:t>
      </w:r>
      <w:r w:rsidR="00F03617">
        <w:t>the</w:t>
      </w:r>
      <w:r w:rsidR="005B4B95">
        <w:rPr>
          <w:i/>
        </w:rPr>
        <w:t xml:space="preserve"> </w:t>
      </w:r>
      <w:r w:rsidR="005B4B95" w:rsidRPr="00A45601">
        <w:t>Compliance Strategy</w:t>
      </w:r>
      <w:r w:rsidR="005B4B95">
        <w:rPr>
          <w:i/>
        </w:rPr>
        <w:t xml:space="preserve"> (</w:t>
      </w:r>
      <w:r w:rsidR="005B4B95">
        <w:t>MfE</w:t>
      </w:r>
      <w:r w:rsidR="005B4B95" w:rsidRPr="00D33D11">
        <w:t>, 2011</w:t>
      </w:r>
      <w:r w:rsidR="00A45601">
        <w:t>e)</w:t>
      </w:r>
      <w:r w:rsidR="00FA09B0">
        <w:t>,</w:t>
      </w:r>
      <w:r w:rsidR="00A45601">
        <w:t xml:space="preserve"> </w:t>
      </w:r>
      <w:r w:rsidR="005B4B95">
        <w:t xml:space="preserve">to assist councils </w:t>
      </w:r>
      <w:r w:rsidR="00A45601">
        <w:t>to meet</w:t>
      </w:r>
      <w:r w:rsidR="005B4B95">
        <w:t xml:space="preserve"> the PM</w:t>
      </w:r>
      <w:r w:rsidR="005B4B95" w:rsidRPr="000F2D74">
        <w:rPr>
          <w:vertAlign w:val="subscript"/>
        </w:rPr>
        <w:t xml:space="preserve">10 </w:t>
      </w:r>
      <w:r w:rsidR="00A45601">
        <w:t>standard</w:t>
      </w:r>
      <w:r w:rsidR="005B4B95">
        <w:t>s as quickly</w:t>
      </w:r>
      <w:r w:rsidR="00A45601">
        <w:t xml:space="preserve"> and easily</w:t>
      </w:r>
      <w:r w:rsidR="00F30214">
        <w:t xml:space="preserve"> as possible.</w:t>
      </w:r>
    </w:p>
    <w:p w14:paraId="3F452E16" w14:textId="77777777" w:rsidR="009C474F" w:rsidRPr="006A7F13" w:rsidRDefault="00F26B70" w:rsidP="009C474F">
      <w:pPr>
        <w:pStyle w:val="Heading2"/>
      </w:pPr>
      <w:bookmarkStart w:id="108" w:name="_Toc300856610"/>
      <w:r w:rsidRPr="00E07EC2">
        <w:t>4</w:t>
      </w:r>
      <w:r w:rsidR="009C474F" w:rsidRPr="00E07EC2">
        <w:t>.2</w:t>
      </w:r>
      <w:r w:rsidR="009C474F" w:rsidRPr="00E07EC2">
        <w:tab/>
      </w:r>
      <w:r w:rsidR="002017F2" w:rsidRPr="00E07EC2">
        <w:t xml:space="preserve">Adverse </w:t>
      </w:r>
      <w:r w:rsidR="00516FDF" w:rsidRPr="00E07EC2">
        <w:t>e</w:t>
      </w:r>
      <w:r w:rsidR="00932509" w:rsidRPr="00E07EC2">
        <w:t>ffects</w:t>
      </w:r>
      <w:r w:rsidR="004700DC" w:rsidRPr="00E07EC2">
        <w:t xml:space="preserve"> of PM</w:t>
      </w:r>
      <w:r w:rsidR="004700DC" w:rsidRPr="00E07EC2">
        <w:rPr>
          <w:vertAlign w:val="subscript"/>
        </w:rPr>
        <w:t>10</w:t>
      </w:r>
      <w:r w:rsidR="006A7F13">
        <w:t xml:space="preserve"> (and PM</w:t>
      </w:r>
      <w:r w:rsidR="006A7F13" w:rsidRPr="006A7F13">
        <w:rPr>
          <w:vertAlign w:val="subscript"/>
        </w:rPr>
        <w:t>2.5</w:t>
      </w:r>
      <w:r w:rsidR="006A7F13">
        <w:t>)</w:t>
      </w:r>
      <w:bookmarkEnd w:id="108"/>
    </w:p>
    <w:p w14:paraId="5C05C50D" w14:textId="77777777" w:rsidR="00E07EC2" w:rsidRPr="00857515" w:rsidRDefault="00E07EC2" w:rsidP="00E07EC2">
      <w:pPr>
        <w:pStyle w:val="BodyText"/>
      </w:pPr>
      <w:r w:rsidRPr="00857515">
        <w:t xml:space="preserve">Particulate matter is a collective term used to describe very small solid </w:t>
      </w:r>
      <w:r>
        <w:t>particles and/or</w:t>
      </w:r>
      <w:r w:rsidRPr="00857515">
        <w:t xml:space="preserve"> liquid </w:t>
      </w:r>
      <w:r>
        <w:t>aerosols</w:t>
      </w:r>
      <w:r w:rsidRPr="00857515">
        <w:t xml:space="preserve"> in the a</w:t>
      </w:r>
      <w:r w:rsidR="00296584">
        <w:t>ir, such as dust, smoke or fog.</w:t>
      </w:r>
      <w:r>
        <w:t xml:space="preserve"> </w:t>
      </w:r>
      <w:r w:rsidRPr="00857515">
        <w:t>PM</w:t>
      </w:r>
      <w:r w:rsidRPr="00857515">
        <w:rPr>
          <w:vertAlign w:val="subscript"/>
        </w:rPr>
        <w:t>10</w:t>
      </w:r>
      <w:r w:rsidRPr="00857515">
        <w:t xml:space="preserve"> particle</w:t>
      </w:r>
      <w:r w:rsidR="00A83794">
        <w:t>s</w:t>
      </w:r>
      <w:r w:rsidRPr="00857515">
        <w:t xml:space="preserve"> </w:t>
      </w:r>
      <w:r>
        <w:t>are too small to be seen with the naked eye, being</w:t>
      </w:r>
      <w:r w:rsidRPr="00857515">
        <w:t xml:space="preserve"> less than 10 micrometres in diameter </w:t>
      </w:r>
      <w:r>
        <w:t>(</w:t>
      </w:r>
      <w:r w:rsidRPr="00857515">
        <w:t>one-</w:t>
      </w:r>
      <w:r>
        <w:t>fifth</w:t>
      </w:r>
      <w:r w:rsidRPr="00857515">
        <w:t xml:space="preserve"> of the diameter of </w:t>
      </w:r>
      <w:r>
        <w:t xml:space="preserve">a </w:t>
      </w:r>
      <w:r w:rsidRPr="00857515">
        <w:t>human hair</w:t>
      </w:r>
      <w:r>
        <w:t>)</w:t>
      </w:r>
      <w:r w:rsidRPr="00857515">
        <w:t xml:space="preserve">. </w:t>
      </w:r>
      <w:r>
        <w:t xml:space="preserve"> </w:t>
      </w:r>
      <w:r w:rsidRPr="00857515">
        <w:t>PM</w:t>
      </w:r>
      <w:r w:rsidRPr="00857515">
        <w:rPr>
          <w:vertAlign w:val="subscript"/>
        </w:rPr>
        <w:t>10</w:t>
      </w:r>
      <w:r w:rsidRPr="00857515">
        <w:t xml:space="preserve"> pollution includes </w:t>
      </w:r>
      <w:r>
        <w:t xml:space="preserve">‘coarse’ </w:t>
      </w:r>
      <w:r w:rsidRPr="00857515">
        <w:t>particles (between 2.5 and 10 micrometres) and ‘fine’</w:t>
      </w:r>
      <w:r>
        <w:t xml:space="preserve"> particles</w:t>
      </w:r>
      <w:r w:rsidRPr="00857515">
        <w:t xml:space="preserve"> (less than 2.5 micrometres, also known as PM</w:t>
      </w:r>
      <w:r w:rsidRPr="00857515">
        <w:rPr>
          <w:vertAlign w:val="subscript"/>
        </w:rPr>
        <w:t>2.5</w:t>
      </w:r>
      <w:r w:rsidRPr="00857515">
        <w:t>).</w:t>
      </w:r>
      <w:r w:rsidRPr="001A5180">
        <w:rPr>
          <w:rStyle w:val="FootnoteReference"/>
        </w:rPr>
        <w:t xml:space="preserve"> </w:t>
      </w:r>
      <w:r w:rsidRPr="00857515">
        <w:rPr>
          <w:rStyle w:val="FootnoteReference"/>
        </w:rPr>
        <w:footnoteReference w:id="11"/>
      </w:r>
    </w:p>
    <w:p w14:paraId="6465735D" w14:textId="77777777" w:rsidR="00E07EC2" w:rsidRPr="00857515" w:rsidRDefault="00E07EC2" w:rsidP="00E07EC2">
      <w:pPr>
        <w:pStyle w:val="BodyText"/>
        <w:rPr>
          <w:bCs/>
        </w:rPr>
      </w:pPr>
    </w:p>
    <w:p w14:paraId="2307A95A" w14:textId="77777777" w:rsidR="00E07EC2" w:rsidRPr="00857515" w:rsidRDefault="00E07EC2" w:rsidP="00E07EC2">
      <w:pPr>
        <w:pStyle w:val="BodyText"/>
      </w:pPr>
      <w:r w:rsidRPr="00857515">
        <w:t>PM</w:t>
      </w:r>
      <w:r w:rsidRPr="00857515">
        <w:rPr>
          <w:vertAlign w:val="subscript"/>
        </w:rPr>
        <w:t>10</w:t>
      </w:r>
      <w:r w:rsidRPr="00857515">
        <w:t xml:space="preserve"> comes from sources such as burning coal, oil, wood and light fuel oil in domestic fires, transportation and industrial processes. Natural sources of particles include sea salt, dust,</w:t>
      </w:r>
      <w:r w:rsidR="00296584">
        <w:t xml:space="preserve"> pollens and volcanic activity.</w:t>
      </w:r>
      <w:r>
        <w:t xml:space="preserve"> </w:t>
      </w:r>
      <w:r w:rsidRPr="00857515">
        <w:t>In most places in New Zealand, levels of PM</w:t>
      </w:r>
      <w:r w:rsidRPr="00857515">
        <w:rPr>
          <w:vertAlign w:val="subscript"/>
        </w:rPr>
        <w:t>10</w:t>
      </w:r>
      <w:r w:rsidRPr="00857515">
        <w:t xml:space="preserve"> in the air are at</w:t>
      </w:r>
      <w:r>
        <w:t xml:space="preserve"> their highest in winter months</w:t>
      </w:r>
      <w:r w:rsidRPr="00857515">
        <w:t xml:space="preserve"> due to </w:t>
      </w:r>
      <w:r>
        <w:t>the prevalence</w:t>
      </w:r>
      <w:r w:rsidRPr="00857515">
        <w:t xml:space="preserve"> of domestic fires.</w:t>
      </w:r>
    </w:p>
    <w:p w14:paraId="77F8B11E" w14:textId="77777777" w:rsidR="00E07EC2" w:rsidRPr="00857515" w:rsidRDefault="00E07EC2" w:rsidP="00E07EC2">
      <w:pPr>
        <w:pStyle w:val="BodyText"/>
      </w:pPr>
    </w:p>
    <w:p w14:paraId="1AAFBA6C" w14:textId="77777777" w:rsidR="00E07EC2" w:rsidRPr="00857515" w:rsidRDefault="00E07EC2" w:rsidP="00E07EC2">
      <w:pPr>
        <w:pStyle w:val="BodyText"/>
      </w:pPr>
      <w:r w:rsidRPr="00857515">
        <w:t>A summary of the health effects of PM</w:t>
      </w:r>
      <w:r w:rsidRPr="00857515">
        <w:rPr>
          <w:vertAlign w:val="subscript"/>
        </w:rPr>
        <w:t>10</w:t>
      </w:r>
      <w:r w:rsidRPr="00857515">
        <w:t xml:space="preserve"> is given below</w:t>
      </w:r>
      <w:r w:rsidR="00FA09B0">
        <w:t>. F</w:t>
      </w:r>
      <w:r w:rsidRPr="00857515">
        <w:t xml:space="preserve">or a more detailed discussion refer to the </w:t>
      </w:r>
      <w:r w:rsidRPr="00A57F07">
        <w:t>Compliance Strategy</w:t>
      </w:r>
      <w:r w:rsidR="00F03617" w:rsidRPr="00F03617">
        <w:t xml:space="preserve"> </w:t>
      </w:r>
      <w:r w:rsidR="00F926BC">
        <w:t xml:space="preserve">(MfE, 2011e) </w:t>
      </w:r>
      <w:r w:rsidR="00F03617" w:rsidRPr="00A57F07">
        <w:t>and</w:t>
      </w:r>
      <w:r w:rsidR="006A7F13" w:rsidRPr="00A57F07">
        <w:rPr>
          <w:i/>
        </w:rPr>
        <w:t xml:space="preserve"> </w:t>
      </w:r>
      <w:r w:rsidR="006A7F13" w:rsidRPr="00A57F07">
        <w:t>the PM</w:t>
      </w:r>
      <w:r w:rsidR="006A7F13" w:rsidRPr="00A57F07">
        <w:rPr>
          <w:vertAlign w:val="subscript"/>
        </w:rPr>
        <w:t>10</w:t>
      </w:r>
      <w:r w:rsidR="006A7F13" w:rsidRPr="00A57F07">
        <w:t xml:space="preserve"> Health Fact Sheet</w:t>
      </w:r>
      <w:r w:rsidR="006A7F13">
        <w:rPr>
          <w:i/>
        </w:rPr>
        <w:t xml:space="preserve"> </w:t>
      </w:r>
      <w:r w:rsidR="006A7F13" w:rsidRPr="006A7F13">
        <w:t>(MfE, 2011</w:t>
      </w:r>
      <w:r w:rsidR="00F926BC">
        <w:t>d</w:t>
      </w:r>
      <w:r w:rsidR="006A7F13" w:rsidRPr="00F03617">
        <w:t>)</w:t>
      </w:r>
      <w:r w:rsidR="00F03617">
        <w:t xml:space="preserve">. </w:t>
      </w:r>
    </w:p>
    <w:p w14:paraId="628F71B6" w14:textId="77777777" w:rsidR="00E07EC2" w:rsidRPr="00857515" w:rsidRDefault="00E07EC2" w:rsidP="00E07EC2"/>
    <w:p w14:paraId="340A40F7" w14:textId="77777777" w:rsidR="00E07EC2" w:rsidRPr="00857515" w:rsidRDefault="00E07EC2" w:rsidP="00E07EC2">
      <w:r w:rsidRPr="00857515">
        <w:t xml:space="preserve">There is a substantial body of evidence that breathing particulate matter is harmful to human health. </w:t>
      </w:r>
      <w:r>
        <w:t xml:space="preserve"> </w:t>
      </w:r>
      <w:r w:rsidRPr="00331AE2">
        <w:t>Generally, larger (coarse) particulate matter (between 2.5 and 10 μm) deposits in the upper airways whereas smaller (fine) particulate matter (&lt; 2.5 μm, PM</w:t>
      </w:r>
      <w:r w:rsidRPr="00630D64">
        <w:rPr>
          <w:vertAlign w:val="subscript"/>
        </w:rPr>
        <w:t>2.5</w:t>
      </w:r>
      <w:r w:rsidR="00F926BC">
        <w:t>) lodge</w:t>
      </w:r>
      <w:r w:rsidRPr="00331AE2">
        <w:t xml:space="preserve"> in the very </w:t>
      </w:r>
      <w:r w:rsidR="00296584">
        <w:t>small airways deep in the lung.</w:t>
      </w:r>
      <w:r>
        <w:t xml:space="preserve"> </w:t>
      </w:r>
      <w:r w:rsidRPr="00331AE2">
        <w:t>Inhaled very small (ultrafine, &lt; 0.1 μm</w:t>
      </w:r>
      <w:r w:rsidR="006A7F13">
        <w:t>, PM</w:t>
      </w:r>
      <w:r w:rsidR="006A7F13" w:rsidRPr="006A7F13">
        <w:rPr>
          <w:vertAlign w:val="subscript"/>
        </w:rPr>
        <w:t>&lt;0.1</w:t>
      </w:r>
      <w:r w:rsidRPr="00331AE2">
        <w:t>) particulate matter may enter the blood circulation.</w:t>
      </w:r>
      <w:r>
        <w:t xml:space="preserve"> </w:t>
      </w:r>
      <w:r w:rsidRPr="00331AE2">
        <w:t>Fine particulate matter is more hazardous than coarse particulate matter in terms of mortality and cardiovascular and respiratory outcomes.</w:t>
      </w:r>
      <w:r w:rsidRPr="00857515">
        <w:rPr>
          <w:vertAlign w:val="superscript"/>
        </w:rPr>
        <w:footnoteReference w:id="12"/>
      </w:r>
    </w:p>
    <w:p w14:paraId="086B0226" w14:textId="77777777" w:rsidR="00E07EC2" w:rsidRPr="00857515" w:rsidRDefault="00E07EC2" w:rsidP="00E07EC2"/>
    <w:p w14:paraId="0C3E2B0C" w14:textId="77777777" w:rsidR="00E07EC2" w:rsidRDefault="00E07EC2" w:rsidP="00E07EC2">
      <w:r w:rsidRPr="0014342F">
        <w:t>The health effects of particulate matter are predominantly respiratory and cardiovascular ranging from functional changes (eg</w:t>
      </w:r>
      <w:r w:rsidR="00F926BC">
        <w:t>,</w:t>
      </w:r>
      <w:r w:rsidRPr="0014342F">
        <w:t xml:space="preserve"> reduced lung function) to symptoms, impaired activities (eg</w:t>
      </w:r>
      <w:r w:rsidR="00F926BC">
        <w:t>,</w:t>
      </w:r>
      <w:r w:rsidRPr="0014342F">
        <w:t xml:space="preserve"> school or work absenteeism), doctors’ or emergency room visits through to hospital admissions, reduced life expectancy and death.</w:t>
      </w:r>
      <w:r>
        <w:t xml:space="preserve"> M</w:t>
      </w:r>
      <w:r w:rsidRPr="00857515">
        <w:t>ore recent evidence include</w:t>
      </w:r>
      <w:r>
        <w:t>s</w:t>
      </w:r>
      <w:r w:rsidRPr="00857515">
        <w:t xml:space="preserve"> pregnancy-related outcomes such as low birth weight and increased infant mortality. </w:t>
      </w:r>
      <w:r>
        <w:t xml:space="preserve"> </w:t>
      </w:r>
    </w:p>
    <w:p w14:paraId="48062A86" w14:textId="77777777" w:rsidR="00E07EC2" w:rsidRDefault="00E07EC2" w:rsidP="00E07EC2"/>
    <w:p w14:paraId="2F9A353E" w14:textId="77777777" w:rsidR="00E07EC2" w:rsidRPr="00857515" w:rsidRDefault="00E07EC2" w:rsidP="00E07EC2">
      <w:r w:rsidRPr="00857515">
        <w:t>Adverse health impacts, including premature death, are not confined to one part of the population</w:t>
      </w:r>
      <w:r w:rsidR="00FD0F5B">
        <w:t>. H</w:t>
      </w:r>
      <w:r w:rsidRPr="00857515">
        <w:t>owever, the proportion of the population affected by less severe outcomes (e.g. symptoms, reduced lung function) is much larger than that affected by more severe outcomes such as hospital admissions and death.</w:t>
      </w:r>
      <w:r w:rsidR="00296584">
        <w:t xml:space="preserve"> </w:t>
      </w:r>
      <w:r w:rsidRPr="00857515">
        <w:t>Several groups hav</w:t>
      </w:r>
      <w:r>
        <w:t>e increased susceptibility to PM</w:t>
      </w:r>
      <w:r w:rsidRPr="0014342F">
        <w:rPr>
          <w:vertAlign w:val="subscript"/>
        </w:rPr>
        <w:t>10</w:t>
      </w:r>
      <w:r w:rsidRPr="00857515">
        <w:t xml:space="preserve"> including the elderly, individuals with pre-existing heart or lung disease, children, especially the very young and unborn babies (because of the effects on lung function development) and asthmatics and people with respiratory conditions or with diabetes.</w:t>
      </w:r>
    </w:p>
    <w:p w14:paraId="49F947D7" w14:textId="77777777" w:rsidR="00E07EC2" w:rsidRPr="00857515" w:rsidRDefault="00E07EC2" w:rsidP="00E07EC2">
      <w:pPr>
        <w:pStyle w:val="BodyText"/>
      </w:pPr>
    </w:p>
    <w:p w14:paraId="7B45E568" w14:textId="77777777" w:rsidR="00E07EC2" w:rsidRPr="00857515" w:rsidRDefault="00E07EC2" w:rsidP="00E07EC2">
      <w:pPr>
        <w:pStyle w:val="BodyText"/>
        <w:rPr>
          <w:lang w:val="en-AU"/>
        </w:rPr>
      </w:pPr>
      <w:r w:rsidRPr="00857515">
        <w:rPr>
          <w:lang w:val="en-AU"/>
        </w:rPr>
        <w:t xml:space="preserve">The studies have shown that in addition to the acute effects of rises in </w:t>
      </w:r>
      <w:r>
        <w:rPr>
          <w:lang w:val="en-AU"/>
        </w:rPr>
        <w:t>particulate matter</w:t>
      </w:r>
      <w:r w:rsidRPr="00857515">
        <w:rPr>
          <w:lang w:val="en-AU"/>
        </w:rPr>
        <w:t xml:space="preserve"> (ie, effects in the hours and days following an increase in </w:t>
      </w:r>
      <w:r>
        <w:rPr>
          <w:lang w:val="en-AU"/>
        </w:rPr>
        <w:t>particulate matter</w:t>
      </w:r>
      <w:r w:rsidRPr="00857515">
        <w:rPr>
          <w:lang w:val="en-AU"/>
        </w:rPr>
        <w:t xml:space="preserve">), which have been recognised since the middle of last century, there is now a large body of evidence on the chronic effects of </w:t>
      </w:r>
      <w:r>
        <w:rPr>
          <w:lang w:val="en-AU"/>
        </w:rPr>
        <w:t>particular matter</w:t>
      </w:r>
      <w:r w:rsidR="00705A03">
        <w:rPr>
          <w:lang w:val="en-AU"/>
        </w:rPr>
        <w:t xml:space="preserve">. </w:t>
      </w:r>
      <w:r w:rsidRPr="00857515">
        <w:rPr>
          <w:lang w:val="en-AU"/>
        </w:rPr>
        <w:t xml:space="preserve">Importantly, the studies do not support the hypothesis that </w:t>
      </w:r>
      <w:r>
        <w:rPr>
          <w:lang w:val="en-AU"/>
        </w:rPr>
        <w:t>particulate matter</w:t>
      </w:r>
      <w:r w:rsidRPr="00857515">
        <w:rPr>
          <w:lang w:val="en-AU"/>
        </w:rPr>
        <w:t xml:space="preserve"> pollution causes premature death by “harvesting” the very frail who would </w:t>
      </w:r>
      <w:r w:rsidR="00705A03">
        <w:rPr>
          <w:lang w:val="en-AU"/>
        </w:rPr>
        <w:t>have died in a few days anyway.</w:t>
      </w:r>
      <w:r>
        <w:rPr>
          <w:lang w:val="en-AU"/>
        </w:rPr>
        <w:t xml:space="preserve"> </w:t>
      </w:r>
      <w:r w:rsidRPr="00857515">
        <w:rPr>
          <w:lang w:val="en-AU"/>
        </w:rPr>
        <w:t xml:space="preserve">Rather than finding excess deaths during and immediately after days of high </w:t>
      </w:r>
      <w:r>
        <w:rPr>
          <w:lang w:val="en-AU"/>
        </w:rPr>
        <w:t>particulate matter</w:t>
      </w:r>
      <w:r w:rsidRPr="00857515">
        <w:rPr>
          <w:vertAlign w:val="subscript"/>
          <w:lang w:val="en-AU"/>
        </w:rPr>
        <w:t xml:space="preserve"> </w:t>
      </w:r>
      <w:r w:rsidRPr="00857515">
        <w:rPr>
          <w:lang w:val="en-AU"/>
        </w:rPr>
        <w:t xml:space="preserve">pollution, followed by a short-term compensatory reduction in deaths, they found that </w:t>
      </w:r>
      <w:r>
        <w:rPr>
          <w:lang w:val="en-AU"/>
        </w:rPr>
        <w:t>particulate matter</w:t>
      </w:r>
      <w:r w:rsidRPr="00857515">
        <w:rPr>
          <w:vertAlign w:val="subscript"/>
          <w:lang w:val="en-AU"/>
        </w:rPr>
        <w:t xml:space="preserve"> </w:t>
      </w:r>
      <w:r w:rsidRPr="00857515">
        <w:rPr>
          <w:lang w:val="en-AU"/>
        </w:rPr>
        <w:t xml:space="preserve">mortality associations were stronger at longer time </w:t>
      </w:r>
      <w:r w:rsidR="00FA09B0">
        <w:rPr>
          <w:lang w:val="en-AU"/>
        </w:rPr>
        <w:t>interva</w:t>
      </w:r>
      <w:r w:rsidR="00FA09B0" w:rsidRPr="00857515">
        <w:rPr>
          <w:lang w:val="en-AU"/>
        </w:rPr>
        <w:t>ls</w:t>
      </w:r>
      <w:r w:rsidRPr="00857515">
        <w:rPr>
          <w:lang w:val="en-AU"/>
        </w:rPr>
        <w:t>.</w:t>
      </w:r>
    </w:p>
    <w:p w14:paraId="437ED2F9" w14:textId="77777777" w:rsidR="00E07EC2" w:rsidRPr="00857515" w:rsidRDefault="00E07EC2" w:rsidP="00E07EC2">
      <w:pPr>
        <w:pStyle w:val="BodyText"/>
      </w:pPr>
    </w:p>
    <w:p w14:paraId="73706E99" w14:textId="77777777" w:rsidR="00E07EC2" w:rsidRPr="00857515" w:rsidRDefault="00F03617" w:rsidP="00E07EC2">
      <w:pPr>
        <w:pStyle w:val="BodyText"/>
      </w:pPr>
      <w:r>
        <w:t>The</w:t>
      </w:r>
      <w:r w:rsidR="00E07EC2" w:rsidRPr="00857515">
        <w:t xml:space="preserve"> 2007 </w:t>
      </w:r>
      <w:r>
        <w:t>HAPINZ (Health and Air Pollution in New Zealand)</w:t>
      </w:r>
      <w:r w:rsidRPr="00857515">
        <w:t xml:space="preserve"> </w:t>
      </w:r>
      <w:r w:rsidR="00E07EC2" w:rsidRPr="00857515">
        <w:t xml:space="preserve">national study estimated that about 1100 New Zealanders die prematurely from air pollution in urban areas each year, resulting in total economic costs of $1.14 billion per annum (Fisher et al, </w:t>
      </w:r>
      <w:r w:rsidR="00E07EC2" w:rsidRPr="00F926BC">
        <w:t>2007</w:t>
      </w:r>
      <w:r w:rsidR="00E07EC2" w:rsidRPr="00857515">
        <w:t>). A more recent update indicates that this figure may be even higher, with around 1640 premature deaths and an overall health burden of $1.62 billion (</w:t>
      </w:r>
      <w:r w:rsidR="00E07EC2" w:rsidRPr="00F926BC">
        <w:t>Kuschel &amp; Mahon, 2010</w:t>
      </w:r>
      <w:r w:rsidR="00E07EC2" w:rsidRPr="00857515">
        <w:t>).</w:t>
      </w:r>
      <w:r>
        <w:t xml:space="preserve"> At the time of writing </w:t>
      </w:r>
      <w:r w:rsidR="00F926BC">
        <w:t xml:space="preserve">(2011) </w:t>
      </w:r>
      <w:r>
        <w:t>an update to the full HAPINZ report is being produced. This report is due in late 2011 and may be of interest to readers.</w:t>
      </w:r>
    </w:p>
    <w:p w14:paraId="3B4FE31C" w14:textId="77777777" w:rsidR="00E07EC2" w:rsidRPr="00857515" w:rsidRDefault="00E07EC2" w:rsidP="00E07EC2">
      <w:pPr>
        <w:pStyle w:val="BodyText"/>
      </w:pPr>
    </w:p>
    <w:p w14:paraId="02C88902" w14:textId="77777777" w:rsidR="00E07EC2" w:rsidRPr="00857515" w:rsidRDefault="00E07EC2" w:rsidP="00E07EC2">
      <w:r w:rsidRPr="00857515">
        <w:t xml:space="preserve">In most New Zealand cities and towns, </w:t>
      </w:r>
      <w:r>
        <w:t xml:space="preserve">daily </w:t>
      </w:r>
      <w:r w:rsidRPr="00857515">
        <w:t>PM</w:t>
      </w:r>
      <w:r w:rsidRPr="00857515">
        <w:rPr>
          <w:vertAlign w:val="subscript"/>
        </w:rPr>
        <w:t>10</w:t>
      </w:r>
      <w:r w:rsidRPr="00857515">
        <w:t xml:space="preserve"> levels are usually about 25-35 µg/m</w:t>
      </w:r>
      <w:r w:rsidRPr="00857515">
        <w:rPr>
          <w:vertAlign w:val="superscript"/>
        </w:rPr>
        <w:t>3</w:t>
      </w:r>
      <w:r>
        <w:t xml:space="preserve"> which </w:t>
      </w:r>
      <w:r w:rsidRPr="00857515">
        <w:t xml:space="preserve">is </w:t>
      </w:r>
      <w:r>
        <w:t xml:space="preserve">well </w:t>
      </w:r>
      <w:r w:rsidRPr="00857515">
        <w:t>below the ambient standard for PM</w:t>
      </w:r>
      <w:r w:rsidRPr="00857515">
        <w:rPr>
          <w:vertAlign w:val="subscript"/>
        </w:rPr>
        <w:t>10</w:t>
      </w:r>
      <w:r>
        <w:t xml:space="preserve"> of 50 µg/m</w:t>
      </w:r>
      <w:r w:rsidRPr="0014342F">
        <w:rPr>
          <w:vertAlign w:val="superscript"/>
        </w:rPr>
        <w:t>3</w:t>
      </w:r>
      <w:r>
        <w:t xml:space="preserve">. </w:t>
      </w:r>
      <w:r w:rsidRPr="00857515">
        <w:t xml:space="preserve">However, some cities and towns have </w:t>
      </w:r>
      <w:r>
        <w:t>relatively high levels of PM</w:t>
      </w:r>
      <w:r w:rsidRPr="0014342F">
        <w:rPr>
          <w:vertAlign w:val="subscript"/>
        </w:rPr>
        <w:t>10</w:t>
      </w:r>
      <w:r w:rsidRPr="00857515">
        <w:t xml:space="preserve">, especially in winter with recorded levels of up to </w:t>
      </w:r>
      <w:r w:rsidR="00F67D99">
        <w:t>2</w:t>
      </w:r>
      <w:r w:rsidRPr="00857515">
        <w:t>00 µg/m</w:t>
      </w:r>
      <w:r w:rsidRPr="00857515">
        <w:rPr>
          <w:vertAlign w:val="superscript"/>
        </w:rPr>
        <w:t>3</w:t>
      </w:r>
      <w:r>
        <w:t xml:space="preserve"> as a </w:t>
      </w:r>
      <w:r w:rsidRPr="00857515">
        <w:t xml:space="preserve">24-hour average. </w:t>
      </w:r>
      <w:r>
        <w:t xml:space="preserve"> </w:t>
      </w:r>
      <w:r w:rsidRPr="00C723AF">
        <w:t>In rural areas, daily levels of PM</w:t>
      </w:r>
      <w:r w:rsidRPr="00C723AF">
        <w:rPr>
          <w:vertAlign w:val="subscript"/>
        </w:rPr>
        <w:t>10</w:t>
      </w:r>
      <w:r w:rsidRPr="00C723AF">
        <w:t xml:space="preserve"> are usually less than 15 µg/m</w:t>
      </w:r>
      <w:r w:rsidRPr="00C723AF">
        <w:rPr>
          <w:vertAlign w:val="superscript"/>
        </w:rPr>
        <w:t>3</w:t>
      </w:r>
      <w:r w:rsidRPr="00C723AF">
        <w:t>.</w:t>
      </w:r>
    </w:p>
    <w:p w14:paraId="623CD16A" w14:textId="77777777" w:rsidR="00E07EC2" w:rsidRDefault="00E07EC2" w:rsidP="00E07EC2"/>
    <w:p w14:paraId="523AB87C" w14:textId="77777777" w:rsidR="00E07EC2" w:rsidRDefault="00E07EC2" w:rsidP="00E07EC2">
      <w:r w:rsidRPr="00857515">
        <w:t>There is no ‘safe’ threshold for PM</w:t>
      </w:r>
      <w:r w:rsidRPr="00857515">
        <w:rPr>
          <w:vertAlign w:val="subscript"/>
        </w:rPr>
        <w:t>10</w:t>
      </w:r>
      <w:r w:rsidRPr="00857515">
        <w:t xml:space="preserve">. </w:t>
      </w:r>
      <w:r>
        <w:t>Adverse health effects are observed</w:t>
      </w:r>
      <w:r w:rsidR="00D0228B">
        <w:t xml:space="preserve"> at</w:t>
      </w:r>
      <w:r>
        <w:t xml:space="preserve"> all measured levels.</w:t>
      </w:r>
    </w:p>
    <w:p w14:paraId="31C449E2" w14:textId="77777777" w:rsidR="00E07EC2" w:rsidRPr="00857515" w:rsidRDefault="00E07EC2" w:rsidP="00E07EC2"/>
    <w:p w14:paraId="52533EF6" w14:textId="77777777" w:rsidR="00E07EC2" w:rsidRDefault="00E07EC2" w:rsidP="00E07EC2">
      <w:r>
        <w:t>PM</w:t>
      </w:r>
      <w:r w:rsidRPr="00242710">
        <w:rPr>
          <w:vertAlign w:val="subscript"/>
        </w:rPr>
        <w:t>10</w:t>
      </w:r>
      <w:r w:rsidRPr="00857515">
        <w:t xml:space="preserve"> pollution can affect whole urban areas, especially during winter smog conditions, and smaller local areas such as around dusty activities or industrial discharges.</w:t>
      </w:r>
    </w:p>
    <w:p w14:paraId="5EA357BB" w14:textId="77777777" w:rsidR="00170A39" w:rsidRDefault="00170A39" w:rsidP="00E07EC2"/>
    <w:p w14:paraId="3B697E25" w14:textId="77777777" w:rsidR="009C474F" w:rsidRDefault="00F26B70" w:rsidP="00F26B70">
      <w:pPr>
        <w:pStyle w:val="Heading2"/>
      </w:pPr>
      <w:bookmarkStart w:id="109" w:name="_Toc300856611"/>
      <w:r>
        <w:t>4.3</w:t>
      </w:r>
      <w:r>
        <w:tab/>
      </w:r>
      <w:r w:rsidR="00562760">
        <w:t>What is t</w:t>
      </w:r>
      <w:r>
        <w:t>he ambient PM</w:t>
      </w:r>
      <w:r w:rsidRPr="00F26B70">
        <w:rPr>
          <w:vertAlign w:val="subscript"/>
        </w:rPr>
        <w:t>10</w:t>
      </w:r>
      <w:r>
        <w:t xml:space="preserve"> standard</w:t>
      </w:r>
      <w:r w:rsidR="00562760">
        <w:t>?</w:t>
      </w:r>
      <w:bookmarkEnd w:id="109"/>
    </w:p>
    <w:p w14:paraId="591929C8" w14:textId="77777777" w:rsidR="006930D0" w:rsidRDefault="00562760" w:rsidP="006930D0">
      <w:r>
        <w:t>Regulation 13 and Schedule</w:t>
      </w:r>
      <w:r w:rsidR="001004AB">
        <w:t xml:space="preserve"> 1</w:t>
      </w:r>
      <w:r>
        <w:t xml:space="preserve"> of the Regulations specify the ambient air quality standards (the amb</w:t>
      </w:r>
      <w:r w:rsidR="00705A03">
        <w:t>ient standards).</w:t>
      </w:r>
      <w:r>
        <w:t xml:space="preserve"> These, including the ambient standard for PM</w:t>
      </w:r>
      <w:r w:rsidRPr="00562760">
        <w:rPr>
          <w:vertAlign w:val="subscript"/>
        </w:rPr>
        <w:t>10</w:t>
      </w:r>
      <w:r w:rsidRPr="00562760">
        <w:t>,</w:t>
      </w:r>
      <w:r>
        <w:t xml:space="preserve"> are discussed in detail in section </w:t>
      </w:r>
      <w:r w:rsidR="00F67D99" w:rsidRPr="00F67D99">
        <w:t>3.3</w:t>
      </w:r>
      <w:r>
        <w:t xml:space="preserve">. </w:t>
      </w:r>
    </w:p>
    <w:p w14:paraId="3564BD6A" w14:textId="77777777" w:rsidR="00E20DB5" w:rsidRDefault="00E20DB5" w:rsidP="00875E36"/>
    <w:p w14:paraId="74C36A97" w14:textId="77777777" w:rsidR="00875E36" w:rsidRDefault="00562760" w:rsidP="00562760">
      <w:r>
        <w:t>F</w:t>
      </w:r>
      <w:r w:rsidR="00875E36">
        <w:t>or PM</w:t>
      </w:r>
      <w:r w:rsidR="00875E36" w:rsidRPr="00875E36">
        <w:rPr>
          <w:vertAlign w:val="subscript"/>
        </w:rPr>
        <w:t>10</w:t>
      </w:r>
      <w:r w:rsidR="00875E36">
        <w:t xml:space="preserve"> </w:t>
      </w:r>
      <w:r w:rsidR="00E20DB5">
        <w:t xml:space="preserve">the </w:t>
      </w:r>
      <w:r w:rsidR="00671120">
        <w:t>Regulations</w:t>
      </w:r>
      <w:r w:rsidR="00E20DB5">
        <w:t xml:space="preserve"> </w:t>
      </w:r>
      <w:r w:rsidR="00875E36">
        <w:t>set an ambient air quality</w:t>
      </w:r>
      <w:r w:rsidR="00E20DB5">
        <w:t xml:space="preserve"> concentration limit </w:t>
      </w:r>
      <w:r w:rsidR="00E20DB5" w:rsidRPr="00333131">
        <w:t>of</w:t>
      </w:r>
      <w:r w:rsidRPr="00333131">
        <w:t xml:space="preserve"> </w:t>
      </w:r>
      <w:r w:rsidR="00E20DB5" w:rsidRPr="00333131">
        <w:t xml:space="preserve">50 </w:t>
      </w:r>
      <w:r w:rsidR="00E20DB5" w:rsidRPr="00333131">
        <w:rPr>
          <w:rFonts w:ascii="Symbol" w:hAnsi="Symbol"/>
        </w:rPr>
        <w:t></w:t>
      </w:r>
      <w:r w:rsidR="00E20DB5" w:rsidRPr="00333131">
        <w:t>g.m</w:t>
      </w:r>
      <w:r w:rsidR="00E20DB5" w:rsidRPr="00333131">
        <w:rPr>
          <w:vertAlign w:val="superscript"/>
        </w:rPr>
        <w:t>-3</w:t>
      </w:r>
      <w:r w:rsidRPr="00333131">
        <w:t xml:space="preserve"> as a 24-hour average with a permissible exceedance of no more than one</w:t>
      </w:r>
      <w:r w:rsidR="00E20DB5" w:rsidRPr="00333131">
        <w:t xml:space="preserve"> day of the year </w:t>
      </w:r>
      <w:r w:rsidRPr="00333131">
        <w:t>(ie, one 24-hour period in 12-months)</w:t>
      </w:r>
      <w:r w:rsidR="00E20DB5" w:rsidRPr="00562760">
        <w:t>.</w:t>
      </w:r>
    </w:p>
    <w:p w14:paraId="07DD0FF4" w14:textId="77777777" w:rsidR="00562760" w:rsidRDefault="00562760" w:rsidP="00562760"/>
    <w:p w14:paraId="46B9C919" w14:textId="77777777" w:rsidR="00562760" w:rsidRPr="00562760" w:rsidRDefault="00562760" w:rsidP="00562760">
      <w:r>
        <w:t xml:space="preserve">To summarise </w:t>
      </w:r>
      <w:r w:rsidRPr="00562760">
        <w:t>the ambient PM</w:t>
      </w:r>
      <w:r w:rsidRPr="00562760">
        <w:rPr>
          <w:vertAlign w:val="subscript"/>
        </w:rPr>
        <w:t>10</w:t>
      </w:r>
      <w:r w:rsidRPr="00562760">
        <w:t xml:space="preserve"> standard is that </w:t>
      </w:r>
      <w:r>
        <w:t>the</w:t>
      </w:r>
      <w:r w:rsidRPr="00562760">
        <w:t>:</w:t>
      </w:r>
    </w:p>
    <w:p w14:paraId="6064AC88" w14:textId="77777777" w:rsidR="00562760" w:rsidRPr="00562760" w:rsidRDefault="00562760" w:rsidP="00562760"/>
    <w:p w14:paraId="113BBF31" w14:textId="77777777" w:rsidR="00562760" w:rsidRPr="00F67D99" w:rsidRDefault="00562760" w:rsidP="002F2F17">
      <w:pPr>
        <w:shd w:val="clear" w:color="auto" w:fill="D9D9D9"/>
        <w:ind w:left="567"/>
      </w:pPr>
      <w:r w:rsidRPr="00F67D99">
        <w:t>PM</w:t>
      </w:r>
      <w:r w:rsidRPr="00F67D99">
        <w:rPr>
          <w:vertAlign w:val="subscript"/>
        </w:rPr>
        <w:t>10</w:t>
      </w:r>
      <w:r w:rsidRPr="00F67D99">
        <w:t xml:space="preserve"> concentration of 50 </w:t>
      </w:r>
      <w:r w:rsidRPr="00F67D99">
        <w:rPr>
          <w:rFonts w:ascii="Symbol" w:hAnsi="Symbol"/>
        </w:rPr>
        <w:t></w:t>
      </w:r>
      <w:r w:rsidRPr="00F67D99">
        <w:t>g.m</w:t>
      </w:r>
      <w:r w:rsidRPr="00F67D99">
        <w:rPr>
          <w:vertAlign w:val="superscript"/>
        </w:rPr>
        <w:t>-3</w:t>
      </w:r>
      <w:r w:rsidRPr="00F67D99">
        <w:t xml:space="preserve"> (24-hour average) will not be exceeded for more than </w:t>
      </w:r>
      <w:r w:rsidR="00B22C46" w:rsidRPr="00F67D99">
        <w:t>one</w:t>
      </w:r>
      <w:r w:rsidRPr="00F67D99">
        <w:t xml:space="preserve"> 24-hour period in a 12-month period.</w:t>
      </w:r>
    </w:p>
    <w:p w14:paraId="3C226FDA" w14:textId="77777777" w:rsidR="00E20DB5" w:rsidRDefault="00E20DB5" w:rsidP="00875E36"/>
    <w:p w14:paraId="1029C8C1" w14:textId="77777777" w:rsidR="00E20DB5" w:rsidRDefault="00E20DB5" w:rsidP="00875E36">
      <w:r>
        <w:t>The PM</w:t>
      </w:r>
      <w:r w:rsidRPr="00121ACE">
        <w:rPr>
          <w:vertAlign w:val="subscript"/>
        </w:rPr>
        <w:t>10</w:t>
      </w:r>
      <w:r>
        <w:t xml:space="preserve"> ambient standard came into force on 1 September 2005.</w:t>
      </w:r>
    </w:p>
    <w:p w14:paraId="2E073D53" w14:textId="77777777" w:rsidR="006869D2" w:rsidRDefault="006869D2" w:rsidP="00875E36"/>
    <w:p w14:paraId="66C86F3E" w14:textId="77777777" w:rsidR="006869D2" w:rsidRDefault="006869D2" w:rsidP="00875E36">
      <w:r>
        <w:t xml:space="preserve">Section </w:t>
      </w:r>
      <w:r w:rsidRPr="00F67D99">
        <w:t>3.3.2</w:t>
      </w:r>
      <w:r>
        <w:t xml:space="preserve"> discuss</w:t>
      </w:r>
      <w:r w:rsidR="00190207">
        <w:t>es</w:t>
      </w:r>
      <w:r>
        <w:t xml:space="preserve"> how the ambient PM</w:t>
      </w:r>
      <w:r w:rsidRPr="006869D2">
        <w:rPr>
          <w:vertAlign w:val="subscript"/>
        </w:rPr>
        <w:t>10</w:t>
      </w:r>
      <w:r>
        <w:t xml:space="preserve"> </w:t>
      </w:r>
      <w:r w:rsidR="00B67AEA">
        <w:t>standard in the Regulations co-exists</w:t>
      </w:r>
      <w:r>
        <w:t xml:space="preserve"> with </w:t>
      </w:r>
      <w:r w:rsidRPr="00190207">
        <w:t>the</w:t>
      </w:r>
      <w:r w:rsidRPr="006869D2">
        <w:rPr>
          <w:i/>
        </w:rPr>
        <w:t xml:space="preserve"> </w:t>
      </w:r>
      <w:r w:rsidRPr="00F67D99">
        <w:t>Ambient Air Quality Guidelines</w:t>
      </w:r>
      <w:r w:rsidRPr="006869D2">
        <w:rPr>
          <w:i/>
        </w:rPr>
        <w:t xml:space="preserve"> </w:t>
      </w:r>
      <w:r w:rsidRPr="00F67D99">
        <w:t>(</w:t>
      </w:r>
      <w:r w:rsidR="00F67D99" w:rsidRPr="00F67D99">
        <w:t>MfE, 2002</w:t>
      </w:r>
      <w:r w:rsidR="00E51FBD">
        <w:t>a</w:t>
      </w:r>
      <w:r>
        <w:t xml:space="preserve">) </w:t>
      </w:r>
      <w:r w:rsidR="00F67D99">
        <w:t xml:space="preserve">for </w:t>
      </w:r>
      <w:r w:rsidR="00190207">
        <w:t>PM</w:t>
      </w:r>
      <w:r w:rsidR="00190207" w:rsidRPr="00190207">
        <w:rPr>
          <w:vertAlign w:val="subscript"/>
        </w:rPr>
        <w:t>10</w:t>
      </w:r>
      <w:r w:rsidR="00190207">
        <w:t xml:space="preserve"> and PM</w:t>
      </w:r>
      <w:r w:rsidR="00190207" w:rsidRPr="00333131">
        <w:rPr>
          <w:vertAlign w:val="subscript"/>
        </w:rPr>
        <w:t>2</w:t>
      </w:r>
      <w:r w:rsidR="00190207" w:rsidRPr="00190207">
        <w:rPr>
          <w:vertAlign w:val="subscript"/>
        </w:rPr>
        <w:t>.5</w:t>
      </w:r>
      <w:r w:rsidR="00705A03">
        <w:t xml:space="preserve">. </w:t>
      </w:r>
      <w:r w:rsidR="00190207">
        <w:t>Secti</w:t>
      </w:r>
      <w:r w:rsidR="00190207" w:rsidRPr="00F67D99">
        <w:t>on 3.3.3</w:t>
      </w:r>
      <w:r w:rsidR="00190207">
        <w:t xml:space="preserve"> then explains how regional requirements, other documents and a potential review of the national environmental standards for air quality are affected by the ambient PM</w:t>
      </w:r>
      <w:r w:rsidR="00190207" w:rsidRPr="00190207">
        <w:rPr>
          <w:vertAlign w:val="subscript"/>
        </w:rPr>
        <w:t>10</w:t>
      </w:r>
      <w:r w:rsidR="00190207">
        <w:t xml:space="preserve"> standard. </w:t>
      </w:r>
    </w:p>
    <w:p w14:paraId="3260926A" w14:textId="77777777" w:rsidR="00190207" w:rsidRDefault="00190207" w:rsidP="00875E36"/>
    <w:p w14:paraId="3DDDADC5" w14:textId="77777777" w:rsidR="00190207" w:rsidRDefault="00190207" w:rsidP="00875E36">
      <w:r>
        <w:t>It must ultimately be recognised that there is no safe threshold for PM</w:t>
      </w:r>
      <w:r w:rsidRPr="008352CD">
        <w:rPr>
          <w:vertAlign w:val="subscript"/>
        </w:rPr>
        <w:t>10</w:t>
      </w:r>
      <w:r>
        <w:t xml:space="preserve"> and councils should continue to work towards minimising long-term health effects beyond the minimum requirement of the current Regulation</w:t>
      </w:r>
      <w:r w:rsidR="008352CD">
        <w:t>s.</w:t>
      </w:r>
    </w:p>
    <w:p w14:paraId="7C60406B" w14:textId="77777777" w:rsidR="007F1F37" w:rsidRDefault="007F1F37" w:rsidP="007F1F37">
      <w:pPr>
        <w:pStyle w:val="Heading5"/>
      </w:pPr>
      <w:r>
        <w:t>Amendments</w:t>
      </w:r>
    </w:p>
    <w:p w14:paraId="1394519E" w14:textId="77777777" w:rsidR="00562760" w:rsidRPr="00B22C46" w:rsidRDefault="00B22C46" w:rsidP="00502B92">
      <w:r w:rsidRPr="00F67D99">
        <w:t xml:space="preserve">In </w:t>
      </w:r>
      <w:r w:rsidR="00D87D86" w:rsidRPr="00F67D99">
        <w:t>June</w:t>
      </w:r>
      <w:r w:rsidRPr="00F67D99">
        <w:t xml:space="preserve"> 2011</w:t>
      </w:r>
      <w:r w:rsidRPr="00B22C46">
        <w:t xml:space="preserve"> Regulation 13 and Schedule</w:t>
      </w:r>
      <w:r w:rsidR="00333131">
        <w:t xml:space="preserve"> 1</w:t>
      </w:r>
      <w:r w:rsidRPr="00B22C46">
        <w:t xml:space="preserve"> were amended to clarify perm</w:t>
      </w:r>
      <w:r w:rsidR="00170A39">
        <w:t>issible exceedances.</w:t>
      </w:r>
    </w:p>
    <w:p w14:paraId="3C0BE0E8" w14:textId="77777777" w:rsidR="00121ACE" w:rsidRDefault="00190207" w:rsidP="00190207">
      <w:pPr>
        <w:pStyle w:val="Heading2"/>
      </w:pPr>
      <w:bookmarkStart w:id="110" w:name="_Toc300856612"/>
      <w:r>
        <w:t>4.4</w:t>
      </w:r>
      <w:r>
        <w:tab/>
      </w:r>
      <w:r w:rsidR="00121ACE">
        <w:t xml:space="preserve">Split targets for meeting the </w:t>
      </w:r>
      <w:r w:rsidR="00B22C46">
        <w:t xml:space="preserve">ambient </w:t>
      </w:r>
      <w:r w:rsidR="00121ACE">
        <w:t>PM</w:t>
      </w:r>
      <w:r w:rsidR="00121ACE" w:rsidRPr="00EC1F63">
        <w:rPr>
          <w:vertAlign w:val="subscript"/>
        </w:rPr>
        <w:t>10</w:t>
      </w:r>
      <w:r w:rsidR="00121ACE">
        <w:t xml:space="preserve"> standard</w:t>
      </w:r>
      <w:bookmarkEnd w:id="110"/>
    </w:p>
    <w:p w14:paraId="2EBFFB33" w14:textId="77777777" w:rsidR="00B22C46" w:rsidRDefault="007918C0" w:rsidP="007918C0">
      <w:r w:rsidRPr="007918C0">
        <w:t xml:space="preserve">The 2011 amendments to the </w:t>
      </w:r>
      <w:r w:rsidR="00671120" w:rsidRPr="007918C0">
        <w:t>Regulations</w:t>
      </w:r>
      <w:r w:rsidR="00333131">
        <w:t xml:space="preserve"> have changed the timeframes for compliance with </w:t>
      </w:r>
      <w:r w:rsidRPr="007918C0">
        <w:t>the ambient PM</w:t>
      </w:r>
      <w:r w:rsidRPr="007918C0">
        <w:rPr>
          <w:vertAlign w:val="subscript"/>
        </w:rPr>
        <w:t>10</w:t>
      </w:r>
      <w:r w:rsidR="00705A03">
        <w:t xml:space="preserve"> standard.</w:t>
      </w:r>
    </w:p>
    <w:p w14:paraId="1614A1FB" w14:textId="77777777" w:rsidR="00B22C46" w:rsidRDefault="00B22C46" w:rsidP="007918C0"/>
    <w:p w14:paraId="3096D47B" w14:textId="77777777" w:rsidR="00B22C46" w:rsidRDefault="007918C0" w:rsidP="00B22C46">
      <w:pPr>
        <w:pStyle w:val="BodyText"/>
      </w:pPr>
      <w:r w:rsidRPr="007918C0">
        <w:t xml:space="preserve">The amended </w:t>
      </w:r>
      <w:r w:rsidR="00671120" w:rsidRPr="007918C0">
        <w:t>Regulations</w:t>
      </w:r>
      <w:r w:rsidRPr="007918C0">
        <w:t xml:space="preserve"> have added </w:t>
      </w:r>
      <w:r w:rsidR="004F1036" w:rsidRPr="007918C0">
        <w:t xml:space="preserve">Regulation </w:t>
      </w:r>
      <w:r w:rsidRPr="007918C0">
        <w:t>16</w:t>
      </w:r>
      <w:r>
        <w:t xml:space="preserve">B which </w:t>
      </w:r>
      <w:r w:rsidR="00333131">
        <w:t>introduces extended timeframes</w:t>
      </w:r>
      <w:r w:rsidR="00B22C46">
        <w:t xml:space="preserve"> (the ‘</w:t>
      </w:r>
      <w:r w:rsidR="004F1036">
        <w:t>split targets</w:t>
      </w:r>
      <w:r w:rsidR="00B22C46">
        <w:t>’)</w:t>
      </w:r>
      <w:r w:rsidRPr="007918C0">
        <w:t xml:space="preserve"> for PM</w:t>
      </w:r>
      <w:r w:rsidRPr="007918C0">
        <w:rPr>
          <w:vertAlign w:val="subscript"/>
        </w:rPr>
        <w:t>10</w:t>
      </w:r>
      <w:r>
        <w:t xml:space="preserve"> depending on how </w:t>
      </w:r>
      <w:r w:rsidR="00A548F7">
        <w:t>many exceedances</w:t>
      </w:r>
      <w:r>
        <w:t xml:space="preserve"> an airshed </w:t>
      </w:r>
      <w:r w:rsidR="00A548F7">
        <w:t>has</w:t>
      </w:r>
      <w:r w:rsidR="00333131">
        <w:t xml:space="preserve"> at 1 September 2011</w:t>
      </w:r>
      <w:r w:rsidR="00705A03">
        <w:t xml:space="preserve">. </w:t>
      </w:r>
      <w:r w:rsidR="00B22C46" w:rsidRPr="00B22C46">
        <w:t xml:space="preserve">Whilst </w:t>
      </w:r>
      <w:r w:rsidR="00333131">
        <w:t>new target dates for</w:t>
      </w:r>
      <w:r w:rsidR="00A548F7">
        <w:t xml:space="preserve"> PM</w:t>
      </w:r>
      <w:r w:rsidR="00A548F7" w:rsidRPr="00A548F7">
        <w:rPr>
          <w:vertAlign w:val="subscript"/>
        </w:rPr>
        <w:t>10</w:t>
      </w:r>
      <w:r w:rsidR="00A548F7">
        <w:t xml:space="preserve"> </w:t>
      </w:r>
      <w:r w:rsidR="00B22C46" w:rsidRPr="00B22C46">
        <w:t xml:space="preserve">have been </w:t>
      </w:r>
      <w:r w:rsidR="00333131">
        <w:t>introduced</w:t>
      </w:r>
      <w:r w:rsidR="00B22C46" w:rsidRPr="00B22C46">
        <w:t>, importantly, the value of the PM</w:t>
      </w:r>
      <w:r w:rsidR="00B22C46" w:rsidRPr="00B22C46">
        <w:rPr>
          <w:vertAlign w:val="subscript"/>
        </w:rPr>
        <w:t>10</w:t>
      </w:r>
      <w:r w:rsidR="00B22C46" w:rsidRPr="00B22C46">
        <w:t xml:space="preserve"> standard remains the same. This means that bottom-line standards for public health protection remain unaffected by the amendments.</w:t>
      </w:r>
    </w:p>
    <w:p w14:paraId="2562324D" w14:textId="77777777" w:rsidR="00223F09" w:rsidRDefault="00223F09" w:rsidP="00223F09">
      <w:pPr>
        <w:pStyle w:val="Bullet"/>
        <w:tabs>
          <w:tab w:val="clear" w:pos="397"/>
        </w:tabs>
        <w:spacing w:before="0"/>
        <w:ind w:left="0" w:firstLine="0"/>
      </w:pPr>
    </w:p>
    <w:p w14:paraId="43306F9E" w14:textId="77777777" w:rsidR="00223F09" w:rsidRDefault="00223F09" w:rsidP="00223F09">
      <w:pPr>
        <w:pStyle w:val="Bullet"/>
        <w:tabs>
          <w:tab w:val="clear" w:pos="397"/>
        </w:tabs>
        <w:spacing w:before="0"/>
        <w:ind w:left="0" w:firstLine="0"/>
      </w:pPr>
      <w:r>
        <w:t xml:space="preserve">The split targets </w:t>
      </w:r>
      <w:r w:rsidR="00EC3A46">
        <w:t>were</w:t>
      </w:r>
      <w:r>
        <w:t xml:space="preserve"> introduced</w:t>
      </w:r>
      <w:r w:rsidR="00E55446">
        <w:t xml:space="preserve"> into the revised Regulations</w:t>
      </w:r>
      <w:r>
        <w:t xml:space="preserve"> to moderate the target date for compliance and require an ‘equivalence of effort’ from all parties charged with implementation.  The split targets</w:t>
      </w:r>
      <w:r w:rsidR="00EC3A46">
        <w:t xml:space="preserve"> therefore draw</w:t>
      </w:r>
      <w:r>
        <w:t xml:space="preserve"> a careful balance between the </w:t>
      </w:r>
      <w:r w:rsidR="009701F1">
        <w:t>level</w:t>
      </w:r>
      <w:r>
        <w:t xml:space="preserve"> of health protection the standard affords against the need to reduce compliance costs and the very real issue of feasibility. </w:t>
      </w:r>
    </w:p>
    <w:p w14:paraId="3436CA5B" w14:textId="77777777" w:rsidR="00223F09" w:rsidRDefault="00223F09" w:rsidP="00223F09">
      <w:pPr>
        <w:pStyle w:val="BodyText"/>
        <w:rPr>
          <w:highlight w:val="yellow"/>
        </w:rPr>
      </w:pPr>
    </w:p>
    <w:p w14:paraId="34FDC340" w14:textId="77777777" w:rsidR="00121ACE" w:rsidRPr="007918C0" w:rsidRDefault="007918C0" w:rsidP="007918C0">
      <w:r w:rsidRPr="007918C0">
        <w:t>Regulation 16B states:</w:t>
      </w:r>
    </w:p>
    <w:p w14:paraId="06383EF4" w14:textId="77777777" w:rsidR="007918C0" w:rsidRPr="007918C0" w:rsidRDefault="007918C0" w:rsidP="007918C0"/>
    <w:p w14:paraId="36D3BBCE" w14:textId="77777777" w:rsidR="00121ACE" w:rsidRPr="00B24E45" w:rsidRDefault="00121ACE" w:rsidP="008352C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b/>
          <w:i/>
        </w:rPr>
      </w:pPr>
      <w:r w:rsidRPr="00B24E45">
        <w:rPr>
          <w:rFonts w:ascii="Times New Roman" w:hAnsi="Times New Roman" w:cs="Times New Roman"/>
          <w:b/>
          <w:i/>
        </w:rPr>
        <w:t>16B</w:t>
      </w:r>
      <w:r w:rsidRPr="00B24E45">
        <w:rPr>
          <w:rFonts w:ascii="Times New Roman" w:hAnsi="Times New Roman" w:cs="Times New Roman"/>
          <w:b/>
          <w:i/>
        </w:rPr>
        <w:tab/>
        <w:t>Allowances for meeting PM</w:t>
      </w:r>
      <w:r w:rsidRPr="00B24E45">
        <w:rPr>
          <w:rFonts w:ascii="Times New Roman" w:hAnsi="Times New Roman" w:cs="Times New Roman"/>
          <w:b/>
          <w:i/>
          <w:vertAlign w:val="subscript"/>
        </w:rPr>
        <w:t>10</w:t>
      </w:r>
      <w:r w:rsidRPr="00B24E45">
        <w:rPr>
          <w:rFonts w:ascii="Times New Roman" w:hAnsi="Times New Roman" w:cs="Times New Roman"/>
          <w:b/>
          <w:i/>
        </w:rPr>
        <w:t xml:space="preserve"> standard</w:t>
      </w:r>
    </w:p>
    <w:p w14:paraId="73D8AB45" w14:textId="77777777" w:rsidR="00121ACE" w:rsidRPr="00B24E45" w:rsidRDefault="00121ACE" w:rsidP="008352C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(1)</w:t>
      </w:r>
      <w:r w:rsidRPr="00B24E45">
        <w:rPr>
          <w:rFonts w:ascii="Times New Roman" w:hAnsi="Times New Roman" w:cs="Times New Roman"/>
          <w:i/>
        </w:rPr>
        <w:tab/>
        <w:t>The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 strictl</w:t>
      </w:r>
      <w:r w:rsidR="00F23751">
        <w:rPr>
          <w:rFonts w:ascii="Times New Roman" w:hAnsi="Times New Roman" w:cs="Times New Roman"/>
          <w:i/>
        </w:rPr>
        <w:t>y applies to an airshed (so that</w:t>
      </w:r>
      <w:r w:rsidRPr="00B24E45">
        <w:rPr>
          <w:rFonts w:ascii="Times New Roman" w:hAnsi="Times New Roman" w:cs="Times New Roman"/>
          <w:i/>
        </w:rPr>
        <w:t xml:space="preserve"> 1 exceedance is allowed in a 12-month period), unless subclause (3) applies to the airshed and allows more exceedances.</w:t>
      </w:r>
    </w:p>
    <w:p w14:paraId="5A2F6350"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(2)</w:t>
      </w:r>
      <w:r w:rsidRPr="00B24E45">
        <w:rPr>
          <w:rFonts w:ascii="Times New Roman" w:hAnsi="Times New Roman" w:cs="Times New Roman"/>
          <w:i/>
        </w:rPr>
        <w:tab/>
        <w:t>Subclause (3) applies to an airshed on and from the first day on or after 1 September 2011 on which the airshed has meaningful PM</w:t>
      </w:r>
      <w:r w:rsidRPr="00B24E45">
        <w:rPr>
          <w:rFonts w:ascii="Times New Roman" w:hAnsi="Times New Roman" w:cs="Times New Roman"/>
          <w:i/>
          <w:vertAlign w:val="subscript"/>
        </w:rPr>
        <w:t>10</w:t>
      </w:r>
      <w:r w:rsidRPr="00B24E45">
        <w:rPr>
          <w:rFonts w:ascii="Times New Roman" w:hAnsi="Times New Roman" w:cs="Times New Roman"/>
          <w:i/>
        </w:rPr>
        <w:t xml:space="preserve"> data for at least a 12-month period in the immediately prior 5-year period (the </w:t>
      </w:r>
      <w:r w:rsidRPr="00B24E45">
        <w:rPr>
          <w:rFonts w:ascii="Times New Roman" w:hAnsi="Times New Roman" w:cs="Times New Roman"/>
          <w:b/>
          <w:i/>
        </w:rPr>
        <w:t>start date</w:t>
      </w:r>
      <w:r w:rsidRPr="00B24E45">
        <w:rPr>
          <w:rFonts w:ascii="Times New Roman" w:hAnsi="Times New Roman" w:cs="Times New Roman"/>
          <w:i/>
        </w:rPr>
        <w:t>).</w:t>
      </w:r>
    </w:p>
    <w:p w14:paraId="6701C79B"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(3)</w:t>
      </w:r>
      <w:r w:rsidRPr="00B24E45">
        <w:rPr>
          <w:rFonts w:ascii="Times New Roman" w:hAnsi="Times New Roman" w:cs="Times New Roman"/>
          <w:i/>
        </w:rPr>
        <w:tab/>
        <w:t>In an airshed with the average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per year specified in the first column of the table in this subclause, the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 is not breached, or is to be treated as if it were not breached, during the period specified in the second column despite the occurrence of the number of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specified in the third column.</w:t>
      </w:r>
    </w:p>
    <w:p w14:paraId="4A537374" w14:textId="77777777" w:rsidR="00121ACE" w:rsidRPr="00B24E45" w:rsidRDefault="00121ACE" w:rsidP="00121ACE">
      <w:pPr>
        <w:pStyle w:val="HTMLPreformatted"/>
        <w:tabs>
          <w:tab w:val="clear" w:pos="916"/>
          <w:tab w:val="clear" w:pos="7328"/>
          <w:tab w:val="clear" w:pos="8244"/>
          <w:tab w:val="clear" w:pos="9160"/>
          <w:tab w:val="clear" w:pos="10076"/>
          <w:tab w:val="left" w:pos="567"/>
        </w:tabs>
        <w:ind w:left="567" w:hanging="567"/>
        <w:rPr>
          <w:rFonts w:ascii="Times New Roman" w:hAnsi="Times New Roman" w:cs="Times New Roman"/>
          <w:i/>
        </w:rPr>
      </w:pPr>
      <w:r w:rsidRPr="00B24E45">
        <w:rPr>
          <w:rFonts w:ascii="Times New Roman" w:hAnsi="Times New Roman" w:cs="Times New Roman"/>
          <w:i/>
        </w:rPr>
        <w:tab/>
      </w:r>
    </w:p>
    <w:tbl>
      <w:tblPr>
        <w:tblW w:w="0" w:type="auto"/>
        <w:tblInd w:w="1243" w:type="dxa"/>
        <w:tblLook w:val="04A0" w:firstRow="1" w:lastRow="0" w:firstColumn="1" w:lastColumn="0" w:noHBand="0" w:noVBand="1"/>
      </w:tblPr>
      <w:tblGrid>
        <w:gridCol w:w="1995"/>
        <w:gridCol w:w="2557"/>
        <w:gridCol w:w="2709"/>
      </w:tblGrid>
      <w:tr w:rsidR="00121ACE" w:rsidRPr="00B24E45" w14:paraId="65B143B8" w14:textId="77777777" w:rsidTr="0024650C">
        <w:tc>
          <w:tcPr>
            <w:tcW w:w="2041" w:type="dxa"/>
            <w:shd w:val="clear" w:color="auto" w:fill="auto"/>
          </w:tcPr>
          <w:p w14:paraId="7E81036D"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b/>
                <w:i/>
              </w:rPr>
            </w:pPr>
            <w:r w:rsidRPr="0024650C">
              <w:rPr>
                <w:rFonts w:ascii="Times New Roman" w:hAnsi="Times New Roman" w:cs="Times New Roman"/>
                <w:b/>
                <w:i/>
              </w:rPr>
              <w:t>Average exceedances per year (before start date)</w:t>
            </w:r>
          </w:p>
        </w:tc>
        <w:tc>
          <w:tcPr>
            <w:tcW w:w="2637" w:type="dxa"/>
            <w:shd w:val="clear" w:color="auto" w:fill="auto"/>
          </w:tcPr>
          <w:p w14:paraId="366D6815"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b/>
                <w:i/>
              </w:rPr>
            </w:pPr>
            <w:r w:rsidRPr="0024650C">
              <w:rPr>
                <w:rFonts w:ascii="Times New Roman" w:hAnsi="Times New Roman" w:cs="Times New Roman"/>
                <w:b/>
                <w:i/>
              </w:rPr>
              <w:t>Period in which exceedances allowed (on and from start date)</w:t>
            </w:r>
          </w:p>
        </w:tc>
        <w:tc>
          <w:tcPr>
            <w:tcW w:w="2799" w:type="dxa"/>
            <w:shd w:val="clear" w:color="auto" w:fill="auto"/>
          </w:tcPr>
          <w:p w14:paraId="1E3EAE4B"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b/>
                <w:i/>
              </w:rPr>
            </w:pPr>
            <w:r w:rsidRPr="0024650C">
              <w:rPr>
                <w:rFonts w:ascii="Times New Roman" w:hAnsi="Times New Roman" w:cs="Times New Roman"/>
                <w:b/>
                <w:i/>
              </w:rPr>
              <w:t>Number of exceedances allowed</w:t>
            </w:r>
          </w:p>
        </w:tc>
      </w:tr>
      <w:tr w:rsidR="00121ACE" w:rsidRPr="00B24E45" w14:paraId="7D4EEE88" w14:textId="77777777" w:rsidTr="0024650C">
        <w:tc>
          <w:tcPr>
            <w:tcW w:w="2041" w:type="dxa"/>
            <w:shd w:val="clear" w:color="auto" w:fill="auto"/>
          </w:tcPr>
          <w:p w14:paraId="5C7FC6D4"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or fewer</w:t>
            </w:r>
          </w:p>
        </w:tc>
        <w:tc>
          <w:tcPr>
            <w:tcW w:w="2637" w:type="dxa"/>
            <w:shd w:val="clear" w:color="auto" w:fill="auto"/>
          </w:tcPr>
          <w:p w14:paraId="2CFB9CD1"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Always</w:t>
            </w:r>
          </w:p>
        </w:tc>
        <w:tc>
          <w:tcPr>
            <w:tcW w:w="2799" w:type="dxa"/>
            <w:shd w:val="clear" w:color="auto" w:fill="auto"/>
          </w:tcPr>
          <w:p w14:paraId="4BBBC3AF" w14:textId="77777777" w:rsidR="00121ACE" w:rsidRPr="0024650C" w:rsidRDefault="00121ACE" w:rsidP="0024650C">
            <w:pPr>
              <w:pStyle w:val="HTMLPreformatted"/>
              <w:keepNext/>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or fewer in a 12-month period</w:t>
            </w:r>
          </w:p>
        </w:tc>
      </w:tr>
      <w:tr w:rsidR="00121ACE" w:rsidRPr="00B24E45" w14:paraId="7B27046B" w14:textId="77777777" w:rsidTr="0024650C">
        <w:tc>
          <w:tcPr>
            <w:tcW w:w="2041" w:type="dxa"/>
            <w:shd w:val="clear" w:color="auto" w:fill="auto"/>
          </w:tcPr>
          <w:p w14:paraId="5821CF11"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More than 1, but fewer than 10</w:t>
            </w:r>
          </w:p>
        </w:tc>
        <w:tc>
          <w:tcPr>
            <w:tcW w:w="2637" w:type="dxa"/>
            <w:shd w:val="clear" w:color="auto" w:fill="auto"/>
          </w:tcPr>
          <w:p w14:paraId="24119C2A"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September 2011 to 31 August 2016</w:t>
            </w:r>
          </w:p>
        </w:tc>
        <w:tc>
          <w:tcPr>
            <w:tcW w:w="2799" w:type="dxa"/>
            <w:shd w:val="clear" w:color="auto" w:fill="auto"/>
          </w:tcPr>
          <w:p w14:paraId="52A0BAB1"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Unlimited</w:t>
            </w:r>
          </w:p>
        </w:tc>
      </w:tr>
      <w:tr w:rsidR="00121ACE" w:rsidRPr="00B24E45" w14:paraId="3AE693E8" w14:textId="77777777" w:rsidTr="0024650C">
        <w:tc>
          <w:tcPr>
            <w:tcW w:w="2041" w:type="dxa"/>
            <w:shd w:val="clear" w:color="auto" w:fill="auto"/>
          </w:tcPr>
          <w:p w14:paraId="22E18132"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p>
        </w:tc>
        <w:tc>
          <w:tcPr>
            <w:tcW w:w="2637" w:type="dxa"/>
            <w:shd w:val="clear" w:color="auto" w:fill="auto"/>
          </w:tcPr>
          <w:p w14:paraId="40262C9D"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September 2016 onwards</w:t>
            </w:r>
          </w:p>
        </w:tc>
        <w:tc>
          <w:tcPr>
            <w:tcW w:w="2799" w:type="dxa"/>
            <w:shd w:val="clear" w:color="auto" w:fill="auto"/>
          </w:tcPr>
          <w:p w14:paraId="138A4786"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or fewer in a 12-month period</w:t>
            </w:r>
          </w:p>
        </w:tc>
      </w:tr>
      <w:tr w:rsidR="00121ACE" w:rsidRPr="00B24E45" w14:paraId="770FF40A" w14:textId="77777777" w:rsidTr="0024650C">
        <w:tc>
          <w:tcPr>
            <w:tcW w:w="2041" w:type="dxa"/>
            <w:shd w:val="clear" w:color="auto" w:fill="auto"/>
          </w:tcPr>
          <w:p w14:paraId="3AC4F5E9"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10 or more</w:t>
            </w:r>
          </w:p>
        </w:tc>
        <w:tc>
          <w:tcPr>
            <w:tcW w:w="2637" w:type="dxa"/>
            <w:shd w:val="clear" w:color="auto" w:fill="auto"/>
          </w:tcPr>
          <w:p w14:paraId="311AC230"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September 2011 to 31 August 2016</w:t>
            </w:r>
          </w:p>
        </w:tc>
        <w:tc>
          <w:tcPr>
            <w:tcW w:w="2799" w:type="dxa"/>
            <w:shd w:val="clear" w:color="auto" w:fill="auto"/>
          </w:tcPr>
          <w:p w14:paraId="6A987D68"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Unlimited</w:t>
            </w:r>
          </w:p>
        </w:tc>
      </w:tr>
      <w:tr w:rsidR="00121ACE" w:rsidRPr="00B24E45" w14:paraId="79C00A8E" w14:textId="77777777" w:rsidTr="0024650C">
        <w:tc>
          <w:tcPr>
            <w:tcW w:w="2041" w:type="dxa"/>
            <w:shd w:val="clear" w:color="auto" w:fill="auto"/>
          </w:tcPr>
          <w:p w14:paraId="3A122E1A"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p>
        </w:tc>
        <w:tc>
          <w:tcPr>
            <w:tcW w:w="2637" w:type="dxa"/>
            <w:shd w:val="clear" w:color="auto" w:fill="auto"/>
          </w:tcPr>
          <w:p w14:paraId="667F68B2"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September 2016 to 31 August 2020</w:t>
            </w:r>
          </w:p>
        </w:tc>
        <w:tc>
          <w:tcPr>
            <w:tcW w:w="2799" w:type="dxa"/>
            <w:shd w:val="clear" w:color="auto" w:fill="auto"/>
          </w:tcPr>
          <w:p w14:paraId="40E058EB"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3 or fewer in a 12-month period</w:t>
            </w:r>
          </w:p>
        </w:tc>
      </w:tr>
      <w:tr w:rsidR="00121ACE" w:rsidRPr="00B24E45" w14:paraId="12DFB26E" w14:textId="77777777" w:rsidTr="0024650C">
        <w:tc>
          <w:tcPr>
            <w:tcW w:w="2041" w:type="dxa"/>
            <w:shd w:val="clear" w:color="auto" w:fill="auto"/>
          </w:tcPr>
          <w:p w14:paraId="5761EBF6"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p>
        </w:tc>
        <w:tc>
          <w:tcPr>
            <w:tcW w:w="2637" w:type="dxa"/>
            <w:shd w:val="clear" w:color="auto" w:fill="auto"/>
          </w:tcPr>
          <w:p w14:paraId="62A6184D"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September 2020 onwards</w:t>
            </w:r>
          </w:p>
        </w:tc>
        <w:tc>
          <w:tcPr>
            <w:tcW w:w="2799" w:type="dxa"/>
            <w:shd w:val="clear" w:color="auto" w:fill="auto"/>
          </w:tcPr>
          <w:p w14:paraId="18FF3D4F" w14:textId="77777777" w:rsidR="00121ACE" w:rsidRPr="0024650C" w:rsidRDefault="00121ACE" w:rsidP="0024650C">
            <w:pPr>
              <w:pStyle w:val="HTMLPreformatted"/>
              <w:tabs>
                <w:tab w:val="clear" w:pos="916"/>
                <w:tab w:val="clear" w:pos="7328"/>
                <w:tab w:val="clear" w:pos="8244"/>
                <w:tab w:val="clear" w:pos="9160"/>
                <w:tab w:val="clear" w:pos="10076"/>
                <w:tab w:val="left" w:pos="567"/>
              </w:tabs>
              <w:rPr>
                <w:rFonts w:ascii="Times New Roman" w:hAnsi="Times New Roman" w:cs="Times New Roman"/>
                <w:i/>
              </w:rPr>
            </w:pPr>
            <w:r w:rsidRPr="0024650C">
              <w:rPr>
                <w:rFonts w:ascii="Times New Roman" w:hAnsi="Times New Roman" w:cs="Times New Roman"/>
                <w:i/>
              </w:rPr>
              <w:t>1 or fewer in a 12-month period</w:t>
            </w:r>
          </w:p>
        </w:tc>
      </w:tr>
    </w:tbl>
    <w:p w14:paraId="2ACCD850" w14:textId="77777777" w:rsidR="00121ACE" w:rsidRPr="00B24E45" w:rsidRDefault="00121ACE" w:rsidP="00121ACE">
      <w:pPr>
        <w:pStyle w:val="HTMLPreformatted"/>
        <w:tabs>
          <w:tab w:val="clear" w:pos="916"/>
          <w:tab w:val="clear" w:pos="7328"/>
          <w:tab w:val="clear" w:pos="8244"/>
          <w:tab w:val="clear" w:pos="9160"/>
          <w:tab w:val="clear" w:pos="10076"/>
          <w:tab w:val="left" w:pos="567"/>
        </w:tabs>
        <w:ind w:left="567" w:hanging="567"/>
        <w:rPr>
          <w:rFonts w:ascii="Times New Roman" w:hAnsi="Times New Roman" w:cs="Times New Roman"/>
          <w:i/>
        </w:rPr>
      </w:pPr>
    </w:p>
    <w:p w14:paraId="0F93514D"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(4)</w:t>
      </w:r>
      <w:r w:rsidRPr="00B24E45">
        <w:rPr>
          <w:rFonts w:ascii="Times New Roman" w:hAnsi="Times New Roman" w:cs="Times New Roman"/>
          <w:i/>
        </w:rPr>
        <w:tab/>
        <w:t>The average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per year for an airshed under subclause (3) must be calculated under regulation 16D for the 5-year period ending immediately before the airshed’s start date.</w:t>
      </w:r>
    </w:p>
    <w:p w14:paraId="21A2C174"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(5)</w:t>
      </w:r>
      <w:r w:rsidRPr="00B24E45">
        <w:rPr>
          <w:rFonts w:ascii="Times New Roman" w:hAnsi="Times New Roman" w:cs="Times New Roman"/>
          <w:i/>
        </w:rPr>
        <w:tab/>
        <w:t>Despite subclause (3), any breach of the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 is still a breach for the purposes of the following regulations:</w:t>
      </w:r>
    </w:p>
    <w:p w14:paraId="7BE447BE"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(a)</w:t>
      </w:r>
      <w:r w:rsidRPr="00B24E45">
        <w:rPr>
          <w:rFonts w:ascii="Times New Roman" w:hAnsi="Times New Roman" w:cs="Times New Roman"/>
          <w:i/>
        </w:rPr>
        <w:tab/>
        <w:t>regulation 15 (regional council must monitor air quality if standard breached):</w:t>
      </w:r>
    </w:p>
    <w:p w14:paraId="7FA14499"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(b)</w:t>
      </w:r>
      <w:r w:rsidRPr="00B24E45">
        <w:rPr>
          <w:rFonts w:ascii="Times New Roman" w:hAnsi="Times New Roman" w:cs="Times New Roman"/>
          <w:i/>
        </w:rPr>
        <w:tab/>
        <w:t>regulation 16 (regional council must give public notice if standard breached):</w:t>
      </w:r>
    </w:p>
    <w:p w14:paraId="68D19618"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(c)</w:t>
      </w:r>
      <w:r w:rsidRPr="00B24E45">
        <w:rPr>
          <w:rFonts w:ascii="Times New Roman" w:hAnsi="Times New Roman" w:cs="Times New Roman"/>
          <w:i/>
        </w:rPr>
        <w:tab/>
        <w:t>regulation 17(4)(b) (airshed stops being polluted airshed if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 not breached for 5 years):</w:t>
      </w:r>
    </w:p>
    <w:p w14:paraId="4B7801F1"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(d)</w:t>
      </w:r>
      <w:r w:rsidRPr="00B24E45">
        <w:rPr>
          <w:rFonts w:ascii="Times New Roman" w:hAnsi="Times New Roman" w:cs="Times New Roman"/>
          <w:i/>
        </w:rPr>
        <w:tab/>
        <w:t>regulation 24A (discharge from certain open fires prohibited).</w:t>
      </w:r>
    </w:p>
    <w:p w14:paraId="55EF519E"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(6)</w:t>
      </w:r>
      <w:r w:rsidRPr="00B24E45">
        <w:rPr>
          <w:rFonts w:ascii="Times New Roman" w:hAnsi="Times New Roman" w:cs="Times New Roman"/>
          <w:i/>
        </w:rPr>
        <w:tab/>
        <w:t>If an airshed is established by notice in the Gazette, the data (if any) that best applies to the new airshed from the 1 or more airsheds from which the new airshed derived must be treated as if it were the new airshed’s data to determine,---</w:t>
      </w:r>
    </w:p>
    <w:p w14:paraId="591AF6C9"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(a)</w:t>
      </w:r>
      <w:r w:rsidRPr="00B24E45">
        <w:rPr>
          <w:rFonts w:ascii="Times New Roman" w:hAnsi="Times New Roman" w:cs="Times New Roman"/>
          <w:i/>
        </w:rPr>
        <w:tab/>
        <w:t>under subclause (2), whether subclause (3) immediately applies or later applies to the airshed; and</w:t>
      </w:r>
    </w:p>
    <w:p w14:paraId="7A7A556F"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(b)</w:t>
      </w:r>
      <w:r w:rsidRPr="00B24E45">
        <w:rPr>
          <w:rFonts w:ascii="Times New Roman" w:hAnsi="Times New Roman" w:cs="Times New Roman"/>
          <w:i/>
        </w:rPr>
        <w:tab/>
        <w:t>under subclauses (3) and (4), how the table in subclause (3) applies to the airshed (if subclause (3) applies).</w:t>
      </w:r>
    </w:p>
    <w:p w14:paraId="422C6A0D"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(7)</w:t>
      </w:r>
      <w:r w:rsidRPr="00B24E45">
        <w:rPr>
          <w:rFonts w:ascii="Times New Roman" w:hAnsi="Times New Roman" w:cs="Times New Roman"/>
          <w:i/>
        </w:rPr>
        <w:tab/>
        <w:t>To avoid doubt,---</w:t>
      </w:r>
    </w:p>
    <w:p w14:paraId="3CED4FC3"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(a)</w:t>
      </w:r>
      <w:r w:rsidRPr="00B24E45">
        <w:rPr>
          <w:rFonts w:ascii="Times New Roman" w:hAnsi="Times New Roman" w:cs="Times New Roman"/>
          <w:i/>
        </w:rPr>
        <w:tab/>
        <w:t>subclause (3) does not affect the calculation under regulation 16D of an airshed’s average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per year; and</w:t>
      </w:r>
    </w:p>
    <w:p w14:paraId="7719B9E9"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 xml:space="preserve">(b) </w:t>
      </w:r>
      <w:r w:rsidRPr="00B24E45">
        <w:rPr>
          <w:rFonts w:ascii="Times New Roman" w:hAnsi="Times New Roman" w:cs="Times New Roman"/>
          <w:i/>
        </w:rPr>
        <w:tab/>
        <w:t>a reference in the third column of the table in subclause (3) to 1 or fewer exceedances being allowed in a 12-month period simply reflects the strict application of the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w:t>
      </w:r>
    </w:p>
    <w:p w14:paraId="30FE2A30"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(8)</w:t>
      </w:r>
      <w:r w:rsidRPr="00B24E45">
        <w:rPr>
          <w:rFonts w:ascii="Times New Roman" w:hAnsi="Times New Roman" w:cs="Times New Roman"/>
          <w:i/>
        </w:rPr>
        <w:tab/>
        <w:t>This regulation expires on 1 September 2020.</w:t>
      </w:r>
    </w:p>
    <w:p w14:paraId="21A547BC" w14:textId="77777777" w:rsidR="00121ACE" w:rsidRPr="00B24E45" w:rsidRDefault="00121ACE" w:rsidP="00121ACE">
      <w:pPr>
        <w:pStyle w:val="HTMLPreformatted"/>
        <w:tabs>
          <w:tab w:val="clear" w:pos="916"/>
          <w:tab w:val="clear" w:pos="7328"/>
          <w:tab w:val="clear" w:pos="8244"/>
          <w:tab w:val="clear" w:pos="9160"/>
          <w:tab w:val="clear" w:pos="10076"/>
          <w:tab w:val="left" w:pos="567"/>
        </w:tabs>
        <w:ind w:left="567" w:hanging="567"/>
        <w:rPr>
          <w:rFonts w:ascii="Times New Roman" w:hAnsi="Times New Roman" w:cs="Times New Roman"/>
          <w:i/>
        </w:rPr>
      </w:pPr>
    </w:p>
    <w:p w14:paraId="5CBDB809" w14:textId="77777777" w:rsidR="00121ACE" w:rsidRPr="00B24E45" w:rsidRDefault="00121ACE" w:rsidP="00121ACE">
      <w:pPr>
        <w:pStyle w:val="HTMLPreformatted"/>
        <w:pBdr>
          <w:top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r w:rsidRPr="00B24E45">
        <w:rPr>
          <w:rFonts w:ascii="Times New Roman" w:hAnsi="Times New Roman" w:cs="Times New Roman"/>
          <w:i/>
        </w:rPr>
        <w:t>Example</w:t>
      </w:r>
    </w:p>
    <w:p w14:paraId="754A08B5"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p>
    <w:p w14:paraId="343D06FC"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r w:rsidRPr="00B24E45">
        <w:rPr>
          <w:rFonts w:ascii="Times New Roman" w:hAnsi="Times New Roman" w:cs="Times New Roman"/>
          <w:i/>
        </w:rPr>
        <w:t>On 1 September 2011, an airshed has meaningful PM</w:t>
      </w:r>
      <w:r w:rsidRPr="00B24E45">
        <w:rPr>
          <w:rFonts w:ascii="Times New Roman" w:hAnsi="Times New Roman" w:cs="Times New Roman"/>
          <w:i/>
          <w:vertAlign w:val="subscript"/>
        </w:rPr>
        <w:t>10</w:t>
      </w:r>
      <w:r w:rsidRPr="00B24E45">
        <w:rPr>
          <w:rFonts w:ascii="Times New Roman" w:hAnsi="Times New Roman" w:cs="Times New Roman"/>
          <w:i/>
        </w:rPr>
        <w:t xml:space="preserve"> data for four 12-month periods in the immediately prior 5-year period (ending on 31 August 2011).  There were 42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in the airshed in those four 12-month periods.</w:t>
      </w:r>
    </w:p>
    <w:p w14:paraId="2441B582"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r w:rsidRPr="00B24E45">
        <w:rPr>
          <w:rFonts w:ascii="Times New Roman" w:hAnsi="Times New Roman" w:cs="Times New Roman"/>
          <w:i/>
        </w:rPr>
        <w:t>The airshed’s average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per year is (for the purpose of subclause (3))---</w:t>
      </w:r>
    </w:p>
    <w:p w14:paraId="07DD0C67" w14:textId="349578D9" w:rsidR="00121ACE" w:rsidRPr="0043717E" w:rsidRDefault="0043717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m:oMathPara>
        <m:oMath>
          <m:r>
            <w:rPr>
              <w:rFonts w:ascii="Cambria Math" w:hAnsi="Cambria Math"/>
            </w:rPr>
            <m:t>10.5=</m:t>
          </m:r>
          <m:f>
            <m:fPr>
              <m:ctrlPr>
                <w:rPr>
                  <w:rFonts w:ascii="Cambria Math" w:hAnsi="Cambria Math"/>
                  <w:i/>
                </w:rPr>
              </m:ctrlPr>
            </m:fPr>
            <m:num>
              <m:r>
                <w:rPr>
                  <w:rFonts w:ascii="Cambria Math" w:hAnsi="Cambria Math"/>
                </w:rPr>
                <m:t>42</m:t>
              </m:r>
            </m:num>
            <m:den>
              <m:r>
                <w:rPr>
                  <w:rFonts w:ascii="Cambria Math" w:hAnsi="Cambria Math"/>
                </w:rPr>
                <m:t>4</m:t>
              </m:r>
            </m:den>
          </m:f>
        </m:oMath>
      </m:oMathPara>
    </w:p>
    <w:p w14:paraId="46318C88" w14:textId="77777777" w:rsidR="00121ACE" w:rsidRPr="00B24E45" w:rsidRDefault="00121ACE" w:rsidP="001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r w:rsidRPr="00B24E45">
        <w:rPr>
          <w:rFonts w:ascii="Times New Roman" w:hAnsi="Times New Roman" w:cs="Times New Roman"/>
          <w:i/>
        </w:rPr>
        <w:t>The airshed is therefore (for certain purposes)---</w:t>
      </w:r>
    </w:p>
    <w:p w14:paraId="75E91153" w14:textId="77777777" w:rsidR="00121ACE" w:rsidRPr="00B24E45" w:rsidRDefault="00121ACE" w:rsidP="00152DF6">
      <w:pPr>
        <w:pStyle w:val="HTMLPreformatted"/>
        <w:numPr>
          <w:ilvl w:val="0"/>
          <w:numId w:val="2"/>
        </w:numPr>
        <w:tabs>
          <w:tab w:val="clear" w:pos="78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68" w:hanging="567"/>
        <w:rPr>
          <w:rFonts w:ascii="Times New Roman" w:hAnsi="Times New Roman" w:cs="Times New Roman"/>
          <w:i/>
        </w:rPr>
      </w:pPr>
      <w:r w:rsidRPr="00B24E45">
        <w:rPr>
          <w:rFonts w:ascii="Times New Roman" w:hAnsi="Times New Roman" w:cs="Times New Roman"/>
          <w:i/>
        </w:rPr>
        <w:t>allowed unlimited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from 1 September 2011 to 31 August 2016:</w:t>
      </w:r>
    </w:p>
    <w:p w14:paraId="094A87C7" w14:textId="77777777" w:rsidR="00121ACE" w:rsidRPr="00B24E45" w:rsidRDefault="00121ACE" w:rsidP="00152DF6">
      <w:pPr>
        <w:pStyle w:val="HTMLPreformatted"/>
        <w:numPr>
          <w:ilvl w:val="0"/>
          <w:numId w:val="2"/>
        </w:numPr>
        <w:tabs>
          <w:tab w:val="clear" w:pos="78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68" w:hanging="567"/>
        <w:rPr>
          <w:rFonts w:ascii="Times New Roman" w:hAnsi="Times New Roman" w:cs="Times New Roman"/>
          <w:i/>
        </w:rPr>
      </w:pPr>
      <w:r w:rsidRPr="00B24E45">
        <w:rPr>
          <w:rFonts w:ascii="Times New Roman" w:hAnsi="Times New Roman" w:cs="Times New Roman"/>
          <w:i/>
        </w:rPr>
        <w:t>allowed 3 exceedances of PM</w:t>
      </w:r>
      <w:r w:rsidRPr="00B24E45">
        <w:rPr>
          <w:rFonts w:ascii="Times New Roman" w:hAnsi="Times New Roman" w:cs="Times New Roman"/>
          <w:i/>
          <w:vertAlign w:val="subscript"/>
        </w:rPr>
        <w:t>10</w:t>
      </w:r>
      <w:r w:rsidRPr="00B24E45">
        <w:rPr>
          <w:rFonts w:ascii="Times New Roman" w:hAnsi="Times New Roman" w:cs="Times New Roman"/>
          <w:i/>
        </w:rPr>
        <w:t xml:space="preserve"> in a 12-month period from 1 September 2016 to 31 August 2020.</w:t>
      </w:r>
    </w:p>
    <w:p w14:paraId="0B47A30E" w14:textId="77777777" w:rsidR="00121ACE" w:rsidRPr="00B24E45" w:rsidRDefault="00121ACE" w:rsidP="00121ACE">
      <w:pPr>
        <w:pStyle w:val="HTMLPreformatted"/>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Pr>
          <w:rFonts w:ascii="Times New Roman" w:hAnsi="Times New Roman" w:cs="Times New Roman"/>
          <w:i/>
        </w:rPr>
      </w:pPr>
      <w:r w:rsidRPr="00B24E45">
        <w:rPr>
          <w:rFonts w:ascii="Times New Roman" w:hAnsi="Times New Roman" w:cs="Times New Roman"/>
          <w:i/>
        </w:rPr>
        <w:t>The PM</w:t>
      </w:r>
      <w:r w:rsidRPr="00B24E45">
        <w:rPr>
          <w:rFonts w:ascii="Times New Roman" w:hAnsi="Times New Roman" w:cs="Times New Roman"/>
          <w:i/>
          <w:vertAlign w:val="subscript"/>
        </w:rPr>
        <w:t>10</w:t>
      </w:r>
      <w:r w:rsidRPr="00B24E45">
        <w:rPr>
          <w:rFonts w:ascii="Times New Roman" w:hAnsi="Times New Roman" w:cs="Times New Roman"/>
          <w:i/>
        </w:rPr>
        <w:t xml:space="preserve"> standard strictly applies again on 1 September 2020 (allowing 1 exceedance of PM</w:t>
      </w:r>
      <w:r w:rsidRPr="00B24E45">
        <w:rPr>
          <w:rFonts w:ascii="Times New Roman" w:hAnsi="Times New Roman" w:cs="Times New Roman"/>
          <w:i/>
          <w:vertAlign w:val="subscript"/>
        </w:rPr>
        <w:t>10</w:t>
      </w:r>
      <w:r w:rsidRPr="00B24E45">
        <w:rPr>
          <w:rFonts w:ascii="Times New Roman" w:hAnsi="Times New Roman" w:cs="Times New Roman"/>
          <w:i/>
        </w:rPr>
        <w:t xml:space="preserve"> in a 12-month period).</w:t>
      </w:r>
    </w:p>
    <w:p w14:paraId="564707AF" w14:textId="77777777" w:rsidR="00B22C46" w:rsidRDefault="00B22C46" w:rsidP="00B22C46">
      <w:pPr>
        <w:pStyle w:val="Heading5"/>
        <w:keepNext/>
      </w:pPr>
      <w:r>
        <w:t>Amendments</w:t>
      </w:r>
    </w:p>
    <w:p w14:paraId="7DFE95DE" w14:textId="77777777" w:rsidR="00B22C46" w:rsidRDefault="00B22C46" w:rsidP="00B22C46">
      <w:pPr>
        <w:keepNext/>
      </w:pPr>
      <w:r w:rsidRPr="00B22C46">
        <w:t xml:space="preserve">In </w:t>
      </w:r>
      <w:r w:rsidR="00D87D86">
        <w:t>June</w:t>
      </w:r>
      <w:r w:rsidRPr="00B22C46">
        <w:t xml:space="preserve"> 2011 Regulation 1</w:t>
      </w:r>
      <w:r w:rsidR="00333131">
        <w:t>6B</w:t>
      </w:r>
      <w:r>
        <w:t xml:space="preserve"> was introduced into the national environme</w:t>
      </w:r>
      <w:r w:rsidR="00705A03">
        <w:t>ntal standards for air quality.</w:t>
      </w:r>
      <w:r>
        <w:t xml:space="preserve"> </w:t>
      </w:r>
      <w:r w:rsidR="00705A03">
        <w:t>Before</w:t>
      </w:r>
      <w:r>
        <w:t xml:space="preserve"> this the ambient PM</w:t>
      </w:r>
      <w:r w:rsidRPr="00B22C46">
        <w:rPr>
          <w:vertAlign w:val="subscript"/>
        </w:rPr>
        <w:t>10</w:t>
      </w:r>
      <w:r>
        <w:t xml:space="preserve"> standard </w:t>
      </w:r>
      <w:r w:rsidR="00333131">
        <w:t xml:space="preserve">strictly applied from </w:t>
      </w:r>
      <w:r>
        <w:t>1 September 20</w:t>
      </w:r>
      <w:r w:rsidR="00333131">
        <w:t>04 with severe consequences for industry after 2013</w:t>
      </w:r>
      <w:r>
        <w:t xml:space="preserve">. </w:t>
      </w:r>
    </w:p>
    <w:p w14:paraId="2AC868ED" w14:textId="77777777" w:rsidR="001773EE" w:rsidRDefault="00190207" w:rsidP="00190207">
      <w:pPr>
        <w:pStyle w:val="Heading3"/>
      </w:pPr>
      <w:r>
        <w:t>4.4</w:t>
      </w:r>
      <w:r w:rsidR="001773EE">
        <w:t>.1</w:t>
      </w:r>
      <w:r w:rsidR="001773EE">
        <w:tab/>
        <w:t>What are the split targets for PM</w:t>
      </w:r>
      <w:r w:rsidR="001773EE" w:rsidRPr="001773EE">
        <w:rPr>
          <w:vertAlign w:val="subscript"/>
        </w:rPr>
        <w:t>10</w:t>
      </w:r>
      <w:r w:rsidR="001773EE">
        <w:t>?</w:t>
      </w:r>
    </w:p>
    <w:p w14:paraId="656E0890" w14:textId="77777777" w:rsidR="00F670A3" w:rsidRDefault="001773EE" w:rsidP="00F670A3">
      <w:pPr>
        <w:keepNext/>
      </w:pPr>
      <w:r>
        <w:t xml:space="preserve">The split targets created by Regulation 16B(3) are given below in </w:t>
      </w:r>
      <w:r w:rsidR="002F2F17" w:rsidRPr="002F2F17">
        <w:t>table 5</w:t>
      </w:r>
      <w:r>
        <w:t>.</w:t>
      </w:r>
      <w:r w:rsidR="00F670A3">
        <w:t xml:space="preserve"> In order for an airshed to </w:t>
      </w:r>
      <w:r w:rsidR="00333131">
        <w:t xml:space="preserve">qualify for </w:t>
      </w:r>
      <w:r w:rsidR="00F670A3">
        <w:t>split targets an airshed must have as a minimum:</w:t>
      </w:r>
    </w:p>
    <w:p w14:paraId="494B6C8E" w14:textId="77777777" w:rsidR="00F670A3" w:rsidRDefault="00F670A3" w:rsidP="00F670A3"/>
    <w:p w14:paraId="6D90612B" w14:textId="77777777" w:rsidR="00F670A3" w:rsidRPr="002F2F17" w:rsidRDefault="00F670A3" w:rsidP="002F2F17">
      <w:pPr>
        <w:shd w:val="clear" w:color="auto" w:fill="D9D9D9"/>
        <w:ind w:left="567"/>
      </w:pPr>
      <w:r w:rsidRPr="002F2F17">
        <w:t>at least one 12-month period of meaningful PM</w:t>
      </w:r>
      <w:r w:rsidRPr="002F2F17">
        <w:rPr>
          <w:vertAlign w:val="subscript"/>
        </w:rPr>
        <w:t>10</w:t>
      </w:r>
      <w:r w:rsidRPr="002F2F17">
        <w:t xml:space="preserve"> monitoring data in the previous five years.</w:t>
      </w:r>
    </w:p>
    <w:p w14:paraId="56ECA9CD" w14:textId="77777777" w:rsidR="00F670A3" w:rsidRDefault="00F670A3" w:rsidP="009701F1"/>
    <w:p w14:paraId="503B0EFD" w14:textId="77777777" w:rsidR="00F670A3" w:rsidRDefault="00D0228B" w:rsidP="009701F1">
      <w:r>
        <w:t>A 12-month period of meaningful PM</w:t>
      </w:r>
      <w:r w:rsidRPr="00D0228B">
        <w:rPr>
          <w:vertAlign w:val="subscript"/>
        </w:rPr>
        <w:t>10</w:t>
      </w:r>
      <w:r>
        <w:t xml:space="preserve"> monitoring data does not have to be for a calendar year or from 1 September to 31 August; simply a continuous 12 month period of data which fulfils the requirements for meaningful data. </w:t>
      </w:r>
      <w:r w:rsidR="00F670A3">
        <w:t>Meaningful data is discussed in</w:t>
      </w:r>
      <w:r>
        <w:t xml:space="preserve"> greater detail in</w:t>
      </w:r>
      <w:r w:rsidR="00F670A3">
        <w:t xml:space="preserve"> section </w:t>
      </w:r>
      <w:r w:rsidR="00E46C9B">
        <w:t>4.6.1</w:t>
      </w:r>
      <w:r w:rsidR="00F670A3">
        <w:t>.</w:t>
      </w:r>
    </w:p>
    <w:p w14:paraId="04BAE0DF" w14:textId="77777777" w:rsidR="009701F1" w:rsidRDefault="009701F1" w:rsidP="009701F1"/>
    <w:p w14:paraId="10518024" w14:textId="77777777" w:rsidR="009701F1" w:rsidRPr="00A548F7" w:rsidRDefault="009701F1" w:rsidP="009701F1">
      <w:r w:rsidRPr="00A548F7">
        <w:t>Airsheds that meet their allocated split targets (either 1 September 2011, 1 September 2016 or 1 September 2020) within the time allowed are deemed to comply with the ambient PM</w:t>
      </w:r>
      <w:r w:rsidRPr="00A548F7">
        <w:rPr>
          <w:vertAlign w:val="subscript"/>
        </w:rPr>
        <w:t>10</w:t>
      </w:r>
      <w:r w:rsidR="00705A03">
        <w:t xml:space="preserve"> standard. </w:t>
      </w:r>
      <w:r w:rsidRPr="00A548F7">
        <w:t>However, if possible, airsheds should aim to reduce their number of exceedances earlier (and hence meet their compliance dates earlier as well) as this will reduce the likely health impacts</w:t>
      </w:r>
      <w:r>
        <w:t xml:space="preserve"> of PM</w:t>
      </w:r>
      <w:r w:rsidRPr="00A9428D">
        <w:rPr>
          <w:vertAlign w:val="subscript"/>
        </w:rPr>
        <w:t>10</w:t>
      </w:r>
      <w:r>
        <w:t xml:space="preserve"> </w:t>
      </w:r>
      <w:r w:rsidRPr="00A548F7">
        <w:t>within the airshed.</w:t>
      </w:r>
    </w:p>
    <w:p w14:paraId="21AD903D" w14:textId="77777777" w:rsidR="001773EE" w:rsidRPr="006930D0" w:rsidRDefault="001773EE" w:rsidP="00407749">
      <w:pPr>
        <w:pStyle w:val="Tableheading"/>
      </w:pPr>
      <w:bookmarkStart w:id="111" w:name="_Toc377645811"/>
      <w:r w:rsidRPr="006930D0">
        <w:t xml:space="preserve">Table </w:t>
      </w:r>
      <w:r w:rsidR="00AF1F14">
        <w:t>5</w:t>
      </w:r>
      <w:r w:rsidRPr="00E46C9B">
        <w:t>:</w:t>
      </w:r>
      <w:r w:rsidRPr="006930D0">
        <w:tab/>
        <w:t xml:space="preserve">Split </w:t>
      </w:r>
      <w:r w:rsidR="00A548F7">
        <w:t>targets</w:t>
      </w:r>
      <w:r w:rsidRPr="006930D0">
        <w:t xml:space="preserve"> for PM</w:t>
      </w:r>
      <w:r w:rsidRPr="002E7C74">
        <w:rPr>
          <w:vertAlign w:val="subscript"/>
        </w:rPr>
        <w:t>10</w:t>
      </w:r>
      <w:bookmarkEnd w:id="111"/>
    </w:p>
    <w:tbl>
      <w:tblPr>
        <w:tblW w:w="0" w:type="auto"/>
        <w:tblInd w:w="108" w:type="dxa"/>
        <w:tblBorders>
          <w:top w:val="single" w:sz="8" w:space="0" w:color="auto"/>
          <w:bottom w:val="single" w:sz="8" w:space="0" w:color="auto"/>
        </w:tblBorders>
        <w:tblLayout w:type="fixed"/>
        <w:tblLook w:val="01E0" w:firstRow="1" w:lastRow="1" w:firstColumn="1" w:lastColumn="1" w:noHBand="0" w:noVBand="0"/>
      </w:tblPr>
      <w:tblGrid>
        <w:gridCol w:w="2694"/>
        <w:gridCol w:w="3118"/>
        <w:gridCol w:w="2693"/>
      </w:tblGrid>
      <w:tr w:rsidR="001773EE" w:rsidRPr="00182FF8" w14:paraId="40719AAB" w14:textId="77777777" w:rsidTr="00333131">
        <w:trPr>
          <w:cantSplit/>
        </w:trPr>
        <w:tc>
          <w:tcPr>
            <w:tcW w:w="2694" w:type="dxa"/>
            <w:tcBorders>
              <w:top w:val="single" w:sz="8" w:space="0" w:color="auto"/>
              <w:bottom w:val="single" w:sz="8" w:space="0" w:color="auto"/>
            </w:tcBorders>
          </w:tcPr>
          <w:p w14:paraId="1A833F9E" w14:textId="77777777" w:rsidR="001773EE" w:rsidRPr="00182FF8" w:rsidRDefault="00333131" w:rsidP="00333131">
            <w:pPr>
              <w:pStyle w:val="TableText"/>
              <w:keepNext/>
              <w:jc w:val="center"/>
              <w:rPr>
                <w:b/>
              </w:rPr>
            </w:pPr>
            <w:r>
              <w:rPr>
                <w:b/>
              </w:rPr>
              <w:t>Average exceedances per year*</w:t>
            </w:r>
          </w:p>
        </w:tc>
        <w:tc>
          <w:tcPr>
            <w:tcW w:w="3118" w:type="dxa"/>
            <w:tcBorders>
              <w:top w:val="single" w:sz="8" w:space="0" w:color="auto"/>
              <w:bottom w:val="single" w:sz="8" w:space="0" w:color="auto"/>
            </w:tcBorders>
          </w:tcPr>
          <w:p w14:paraId="382C4081" w14:textId="77777777" w:rsidR="001773EE" w:rsidRPr="00182FF8" w:rsidRDefault="00333131" w:rsidP="00891AA0">
            <w:pPr>
              <w:pStyle w:val="TableText"/>
              <w:keepNext/>
              <w:jc w:val="center"/>
              <w:rPr>
                <w:b/>
              </w:rPr>
            </w:pPr>
            <w:r>
              <w:rPr>
                <w:b/>
              </w:rPr>
              <w:t xml:space="preserve">New </w:t>
            </w:r>
            <w:r w:rsidR="00891AA0">
              <w:rPr>
                <w:b/>
              </w:rPr>
              <w:t>c</w:t>
            </w:r>
            <w:r>
              <w:rPr>
                <w:b/>
              </w:rPr>
              <w:t xml:space="preserve">ompliance </w:t>
            </w:r>
            <w:r w:rsidR="00891AA0">
              <w:rPr>
                <w:b/>
              </w:rPr>
              <w:t>t</w:t>
            </w:r>
            <w:r>
              <w:rPr>
                <w:b/>
              </w:rPr>
              <w:t>imeframe</w:t>
            </w:r>
          </w:p>
        </w:tc>
        <w:tc>
          <w:tcPr>
            <w:tcW w:w="2693" w:type="dxa"/>
            <w:tcBorders>
              <w:top w:val="single" w:sz="8" w:space="0" w:color="auto"/>
              <w:bottom w:val="single" w:sz="8" w:space="0" w:color="auto"/>
            </w:tcBorders>
          </w:tcPr>
          <w:p w14:paraId="14B35FDF" w14:textId="77777777" w:rsidR="001773EE" w:rsidRPr="00182FF8" w:rsidRDefault="001773EE" w:rsidP="001773EE">
            <w:pPr>
              <w:pStyle w:val="TableText"/>
              <w:keepNext/>
              <w:jc w:val="center"/>
              <w:rPr>
                <w:b/>
              </w:rPr>
            </w:pPr>
            <w:r w:rsidRPr="00182FF8">
              <w:rPr>
                <w:b/>
              </w:rPr>
              <w:t>Allowable exceed</w:t>
            </w:r>
            <w:r>
              <w:rPr>
                <w:b/>
              </w:rPr>
              <w:t>a</w:t>
            </w:r>
            <w:r w:rsidRPr="00182FF8">
              <w:rPr>
                <w:b/>
              </w:rPr>
              <w:t>nces per year</w:t>
            </w:r>
          </w:p>
        </w:tc>
      </w:tr>
      <w:tr w:rsidR="001773EE" w14:paraId="4005E22C" w14:textId="77777777" w:rsidTr="00333131">
        <w:trPr>
          <w:cantSplit/>
        </w:trPr>
        <w:tc>
          <w:tcPr>
            <w:tcW w:w="2694" w:type="dxa"/>
            <w:tcBorders>
              <w:top w:val="single" w:sz="8" w:space="0" w:color="auto"/>
            </w:tcBorders>
          </w:tcPr>
          <w:p w14:paraId="614775D9" w14:textId="77777777" w:rsidR="001773EE" w:rsidRDefault="001773EE" w:rsidP="001773EE">
            <w:pPr>
              <w:pStyle w:val="TableText"/>
              <w:keepNext/>
              <w:jc w:val="center"/>
            </w:pPr>
            <w:r>
              <w:rPr>
                <w:rFonts w:cs="Arial"/>
              </w:rPr>
              <w:t>≤</w:t>
            </w:r>
            <w:r>
              <w:t xml:space="preserve"> 1</w:t>
            </w:r>
          </w:p>
        </w:tc>
        <w:tc>
          <w:tcPr>
            <w:tcW w:w="3118" w:type="dxa"/>
            <w:tcBorders>
              <w:top w:val="single" w:sz="8" w:space="0" w:color="auto"/>
            </w:tcBorders>
          </w:tcPr>
          <w:p w14:paraId="0D80FCF9" w14:textId="77777777" w:rsidR="001773EE" w:rsidRDefault="001773EE" w:rsidP="001773EE">
            <w:pPr>
              <w:pStyle w:val="TableText"/>
              <w:keepNext/>
            </w:pPr>
            <w:r>
              <w:t>Always</w:t>
            </w:r>
          </w:p>
        </w:tc>
        <w:tc>
          <w:tcPr>
            <w:tcW w:w="2693" w:type="dxa"/>
            <w:tcBorders>
              <w:top w:val="single" w:sz="8" w:space="0" w:color="auto"/>
            </w:tcBorders>
          </w:tcPr>
          <w:p w14:paraId="28758897" w14:textId="77777777" w:rsidR="001773EE" w:rsidRDefault="001773EE" w:rsidP="001773EE">
            <w:pPr>
              <w:pStyle w:val="TableText"/>
              <w:keepNext/>
              <w:jc w:val="center"/>
            </w:pPr>
            <w:r>
              <w:t>1</w:t>
            </w:r>
          </w:p>
        </w:tc>
      </w:tr>
      <w:tr w:rsidR="001773EE" w14:paraId="74321C6F" w14:textId="77777777" w:rsidTr="00333131">
        <w:trPr>
          <w:cantSplit/>
        </w:trPr>
        <w:tc>
          <w:tcPr>
            <w:tcW w:w="2694" w:type="dxa"/>
          </w:tcPr>
          <w:p w14:paraId="3CC2793E" w14:textId="77777777" w:rsidR="001773EE" w:rsidRDefault="001773EE" w:rsidP="001773EE">
            <w:pPr>
              <w:pStyle w:val="TableText"/>
              <w:keepNext/>
              <w:jc w:val="center"/>
            </w:pPr>
            <w:r>
              <w:t>1 &lt; exceedances &lt; 10</w:t>
            </w:r>
          </w:p>
        </w:tc>
        <w:tc>
          <w:tcPr>
            <w:tcW w:w="3118" w:type="dxa"/>
          </w:tcPr>
          <w:p w14:paraId="0BB20F67" w14:textId="77777777" w:rsidR="001773EE" w:rsidRDefault="001773EE" w:rsidP="001773EE">
            <w:pPr>
              <w:pStyle w:val="TableText"/>
              <w:keepNext/>
            </w:pPr>
            <w:r>
              <w:t>1 September 2011 – 31 August 2016</w:t>
            </w:r>
          </w:p>
        </w:tc>
        <w:tc>
          <w:tcPr>
            <w:tcW w:w="2693" w:type="dxa"/>
          </w:tcPr>
          <w:p w14:paraId="490587A8" w14:textId="77777777" w:rsidR="001773EE" w:rsidRDefault="001773EE" w:rsidP="001773EE">
            <w:pPr>
              <w:pStyle w:val="TableText"/>
              <w:keepNext/>
              <w:jc w:val="center"/>
            </w:pPr>
            <w:r>
              <w:t>Unlimited</w:t>
            </w:r>
          </w:p>
        </w:tc>
      </w:tr>
      <w:tr w:rsidR="001773EE" w14:paraId="4AA2A7D3" w14:textId="77777777" w:rsidTr="00333131">
        <w:trPr>
          <w:cantSplit/>
        </w:trPr>
        <w:tc>
          <w:tcPr>
            <w:tcW w:w="2694" w:type="dxa"/>
          </w:tcPr>
          <w:p w14:paraId="4179B773" w14:textId="77777777" w:rsidR="001773EE" w:rsidRDefault="001773EE" w:rsidP="001773EE">
            <w:pPr>
              <w:pStyle w:val="TableText"/>
              <w:keepNext/>
              <w:jc w:val="center"/>
            </w:pPr>
          </w:p>
        </w:tc>
        <w:tc>
          <w:tcPr>
            <w:tcW w:w="3118" w:type="dxa"/>
          </w:tcPr>
          <w:p w14:paraId="757F8A9F" w14:textId="77777777" w:rsidR="001773EE" w:rsidRDefault="001773EE" w:rsidP="001773EE">
            <w:pPr>
              <w:pStyle w:val="TableText"/>
              <w:keepNext/>
            </w:pPr>
            <w:r>
              <w:t>1 September 2016 onwards</w:t>
            </w:r>
          </w:p>
        </w:tc>
        <w:tc>
          <w:tcPr>
            <w:tcW w:w="2693" w:type="dxa"/>
          </w:tcPr>
          <w:p w14:paraId="38F5D96B" w14:textId="77777777" w:rsidR="001773EE" w:rsidRDefault="001773EE" w:rsidP="001773EE">
            <w:pPr>
              <w:pStyle w:val="TableText"/>
              <w:keepNext/>
              <w:jc w:val="center"/>
            </w:pPr>
            <w:r>
              <w:t>1</w:t>
            </w:r>
          </w:p>
        </w:tc>
      </w:tr>
      <w:tr w:rsidR="001773EE" w14:paraId="6BA42A0E" w14:textId="77777777" w:rsidTr="00333131">
        <w:trPr>
          <w:cantSplit/>
        </w:trPr>
        <w:tc>
          <w:tcPr>
            <w:tcW w:w="2694" w:type="dxa"/>
          </w:tcPr>
          <w:p w14:paraId="5D0D2E34" w14:textId="77777777" w:rsidR="001773EE" w:rsidRDefault="001773EE" w:rsidP="001773EE">
            <w:pPr>
              <w:pStyle w:val="TableText"/>
              <w:keepNext/>
              <w:jc w:val="center"/>
            </w:pPr>
            <w:r>
              <w:rPr>
                <w:rFonts w:cs="Arial"/>
              </w:rPr>
              <w:t>≥</w:t>
            </w:r>
            <w:r>
              <w:t xml:space="preserve"> 10</w:t>
            </w:r>
          </w:p>
        </w:tc>
        <w:tc>
          <w:tcPr>
            <w:tcW w:w="3118" w:type="dxa"/>
          </w:tcPr>
          <w:p w14:paraId="5DB277F3" w14:textId="77777777" w:rsidR="001773EE" w:rsidRDefault="001773EE" w:rsidP="001773EE">
            <w:pPr>
              <w:pStyle w:val="TableText"/>
              <w:keepNext/>
            </w:pPr>
            <w:r>
              <w:t>1 September 2011 – 31 August 2016</w:t>
            </w:r>
          </w:p>
        </w:tc>
        <w:tc>
          <w:tcPr>
            <w:tcW w:w="2693" w:type="dxa"/>
          </w:tcPr>
          <w:p w14:paraId="22B0972C" w14:textId="77777777" w:rsidR="001773EE" w:rsidRDefault="001773EE" w:rsidP="001773EE">
            <w:pPr>
              <w:pStyle w:val="TableText"/>
              <w:keepNext/>
              <w:jc w:val="center"/>
            </w:pPr>
            <w:r>
              <w:t>Unlimited</w:t>
            </w:r>
          </w:p>
        </w:tc>
      </w:tr>
      <w:tr w:rsidR="001773EE" w14:paraId="41466487" w14:textId="77777777" w:rsidTr="00333131">
        <w:trPr>
          <w:cantSplit/>
        </w:trPr>
        <w:tc>
          <w:tcPr>
            <w:tcW w:w="2694" w:type="dxa"/>
          </w:tcPr>
          <w:p w14:paraId="13EE4856" w14:textId="77777777" w:rsidR="001773EE" w:rsidRDefault="001773EE" w:rsidP="001773EE">
            <w:pPr>
              <w:pStyle w:val="TableText"/>
              <w:keepNext/>
              <w:jc w:val="center"/>
            </w:pPr>
          </w:p>
        </w:tc>
        <w:tc>
          <w:tcPr>
            <w:tcW w:w="3118" w:type="dxa"/>
          </w:tcPr>
          <w:p w14:paraId="3759B86D" w14:textId="77777777" w:rsidR="001773EE" w:rsidRDefault="001773EE" w:rsidP="001773EE">
            <w:pPr>
              <w:pStyle w:val="TableText"/>
              <w:keepNext/>
            </w:pPr>
            <w:r>
              <w:t>1 September 2016 – 31 August 2020</w:t>
            </w:r>
          </w:p>
        </w:tc>
        <w:tc>
          <w:tcPr>
            <w:tcW w:w="2693" w:type="dxa"/>
          </w:tcPr>
          <w:p w14:paraId="0804F562" w14:textId="77777777" w:rsidR="001773EE" w:rsidRDefault="001773EE" w:rsidP="001773EE">
            <w:pPr>
              <w:pStyle w:val="TableText"/>
              <w:keepNext/>
              <w:jc w:val="center"/>
            </w:pPr>
            <w:r>
              <w:t>3</w:t>
            </w:r>
          </w:p>
        </w:tc>
      </w:tr>
      <w:tr w:rsidR="001773EE" w14:paraId="51551B3D" w14:textId="77777777" w:rsidTr="00333131">
        <w:trPr>
          <w:cantSplit/>
        </w:trPr>
        <w:tc>
          <w:tcPr>
            <w:tcW w:w="2694" w:type="dxa"/>
          </w:tcPr>
          <w:p w14:paraId="448B6429" w14:textId="77777777" w:rsidR="001773EE" w:rsidRDefault="001773EE" w:rsidP="001773EE">
            <w:pPr>
              <w:pStyle w:val="TableText"/>
              <w:keepNext/>
              <w:jc w:val="center"/>
            </w:pPr>
          </w:p>
        </w:tc>
        <w:tc>
          <w:tcPr>
            <w:tcW w:w="3118" w:type="dxa"/>
          </w:tcPr>
          <w:p w14:paraId="328E5FEC" w14:textId="77777777" w:rsidR="001773EE" w:rsidRDefault="001773EE" w:rsidP="001773EE">
            <w:pPr>
              <w:pStyle w:val="TableText"/>
              <w:keepNext/>
            </w:pPr>
            <w:r>
              <w:t>1 September 2020 onwards</w:t>
            </w:r>
          </w:p>
        </w:tc>
        <w:tc>
          <w:tcPr>
            <w:tcW w:w="2693" w:type="dxa"/>
          </w:tcPr>
          <w:p w14:paraId="1B02B136" w14:textId="77777777" w:rsidR="001773EE" w:rsidRDefault="001773EE" w:rsidP="001773EE">
            <w:pPr>
              <w:pStyle w:val="TableText"/>
              <w:keepNext/>
              <w:jc w:val="center"/>
            </w:pPr>
            <w:r>
              <w:t>1</w:t>
            </w:r>
          </w:p>
        </w:tc>
      </w:tr>
    </w:tbl>
    <w:p w14:paraId="4902DCF5" w14:textId="77777777" w:rsidR="00A548F7" w:rsidRPr="00333131" w:rsidRDefault="00333131" w:rsidP="00A548F7">
      <w:pPr>
        <w:ind w:left="360"/>
        <w:rPr>
          <w:sz w:val="18"/>
          <w:szCs w:val="18"/>
        </w:rPr>
      </w:pPr>
      <w:r w:rsidRPr="00333131">
        <w:rPr>
          <w:sz w:val="18"/>
          <w:szCs w:val="18"/>
        </w:rPr>
        <w:t>* As, and from, 1 September 2011 using meaningful data (discussed further below)</w:t>
      </w:r>
    </w:p>
    <w:p w14:paraId="0DE38F21" w14:textId="77777777" w:rsidR="00B22C46" w:rsidRDefault="004F1036" w:rsidP="00190207">
      <w:pPr>
        <w:pStyle w:val="Heading3"/>
      </w:pPr>
      <w:r>
        <w:t>4.</w:t>
      </w:r>
      <w:r w:rsidR="00190207">
        <w:t>4</w:t>
      </w:r>
      <w:r>
        <w:t>.</w:t>
      </w:r>
      <w:r w:rsidR="00190207">
        <w:t>2</w:t>
      </w:r>
      <w:r>
        <w:tab/>
        <w:t>When do the split targets start?</w:t>
      </w:r>
    </w:p>
    <w:p w14:paraId="6DF69C95" w14:textId="77777777" w:rsidR="001773EE" w:rsidRDefault="004F1036" w:rsidP="001773EE">
      <w:r>
        <w:t xml:space="preserve">Regulation 16B(2) states that the split targets start from </w:t>
      </w:r>
      <w:r w:rsidR="006839B8" w:rsidRPr="004F1036">
        <w:rPr>
          <w:b/>
        </w:rPr>
        <w:t>1 September 2011</w:t>
      </w:r>
      <w:r w:rsidRPr="004F1036">
        <w:t>.</w:t>
      </w:r>
      <w:r w:rsidR="00705A03">
        <w:t xml:space="preserve"> </w:t>
      </w:r>
      <w:r w:rsidR="001773EE" w:rsidRPr="001773EE">
        <w:t>If</w:t>
      </w:r>
      <w:r w:rsidR="001773EE">
        <w:t xml:space="preserve"> an airshed does not have a continuous 12-month period of meaningful data in the preceding 5 years for an airshed prior to 1 September 2011 (ie, between 1 September 2006 and 31 August 2011) then that airshed cannot use split targets until such time as it does.</w:t>
      </w:r>
    </w:p>
    <w:p w14:paraId="28E1F7CB" w14:textId="77777777" w:rsidR="001773EE" w:rsidRDefault="001773EE" w:rsidP="001773EE"/>
    <w:p w14:paraId="7FEBDD5E" w14:textId="77777777" w:rsidR="00F670A3" w:rsidRDefault="00F670A3" w:rsidP="001773EE">
      <w:r>
        <w:t xml:space="preserve">If an airshed does not have meaningful data then the split targets </w:t>
      </w:r>
      <w:r w:rsidRPr="00F670A3">
        <w:rPr>
          <w:b/>
        </w:rPr>
        <w:t>cannot be used</w:t>
      </w:r>
      <w:r>
        <w:t xml:space="preserve"> and the airshed must have immediate compliance with only </w:t>
      </w:r>
      <w:r w:rsidRPr="00F670A3">
        <w:rPr>
          <w:b/>
        </w:rPr>
        <w:t>one</w:t>
      </w:r>
      <w:r>
        <w:t xml:space="preserve"> exceedance from 1 September 2011.</w:t>
      </w:r>
    </w:p>
    <w:p w14:paraId="169848F3" w14:textId="77777777" w:rsidR="00F670A3" w:rsidRDefault="00F670A3" w:rsidP="001773EE"/>
    <w:p w14:paraId="6B335809" w14:textId="77777777" w:rsidR="00F670A3" w:rsidRDefault="00EC3A46" w:rsidP="001773EE">
      <w:r>
        <w:t>The intent of Regulation 16B(2) is to ensure that the split targets are only allocated where there is sufficient data to ‘prove’ that compliance could not be met earlier. This is because the split targets extend the attainment dates and hence prolong adverse health effects in airsheds with extended timeframes.</w:t>
      </w:r>
    </w:p>
    <w:p w14:paraId="2BC52F3B" w14:textId="77777777" w:rsidR="00F670A3" w:rsidRDefault="00F670A3" w:rsidP="001773EE"/>
    <w:p w14:paraId="46B1BBE1" w14:textId="77777777" w:rsidR="001773EE" w:rsidRDefault="001773EE" w:rsidP="001773EE">
      <w:r>
        <w:t>If an airshed achieves a rolling 12-month period of meaningful PM</w:t>
      </w:r>
      <w:r w:rsidRPr="006869D2">
        <w:rPr>
          <w:vertAlign w:val="subscript"/>
        </w:rPr>
        <w:t>10</w:t>
      </w:r>
      <w:r>
        <w:t xml:space="preserve"> data </w:t>
      </w:r>
      <w:r w:rsidRPr="00F670A3">
        <w:rPr>
          <w:b/>
        </w:rPr>
        <w:t>after</w:t>
      </w:r>
      <w:r>
        <w:t xml:space="preserve"> 1 September 2011 (eg, from 20 July 2011 to 19 July 2012, from 2 February 2014 to 1 February 2015, or from 13 April 2017 to 12 April 2018)</w:t>
      </w:r>
      <w:r w:rsidR="00F670A3">
        <w:t xml:space="preserve"> then the split targets can be utilised from that date.</w:t>
      </w:r>
      <w:r w:rsidR="00F84FDC">
        <w:t xml:space="preserve"> The airshed will be then assigned a number of permissible exceedances depending on the date the meaningful data is obtained by and the average number of exceedances that occurred during the rolling 12-month period.</w:t>
      </w:r>
    </w:p>
    <w:p w14:paraId="2B819196" w14:textId="77777777" w:rsidR="003C0274" w:rsidRDefault="003C0274" w:rsidP="003C0274"/>
    <w:p w14:paraId="24BB0215" w14:textId="77777777" w:rsidR="003C0274" w:rsidRDefault="003C0274" w:rsidP="003C0274">
      <w:r w:rsidRPr="001773EE">
        <w:t>In order for councils to be sure that an airshed is in the right category of split targets</w:t>
      </w:r>
      <w:r w:rsidR="00E46C9B">
        <w:t>,</w:t>
      </w:r>
      <w:r w:rsidRPr="001773EE">
        <w:t xml:space="preserve"> it would be preferable to have a full 5 years of meaningful data</w:t>
      </w:r>
      <w:r w:rsidR="00A9428D">
        <w:t xml:space="preserve">. </w:t>
      </w:r>
      <w:r w:rsidR="00E46C9B">
        <w:t>However, t</w:t>
      </w:r>
      <w:r w:rsidR="00A9428D">
        <w:t>his is</w:t>
      </w:r>
      <w:r w:rsidRPr="001773EE">
        <w:t xml:space="preserve"> not a necessity. </w:t>
      </w:r>
    </w:p>
    <w:p w14:paraId="354BAA42" w14:textId="77777777" w:rsidR="0034334D" w:rsidRDefault="0034334D" w:rsidP="003C0274"/>
    <w:p w14:paraId="32CF7C85" w14:textId="77777777" w:rsidR="00F846B7" w:rsidRPr="00A74F05" w:rsidRDefault="00F846B7" w:rsidP="00DE50F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4</w:t>
      </w:r>
      <w:r w:rsidRPr="00A74F05">
        <w:rPr>
          <w:rStyle w:val="SubtleEmphasis"/>
          <w:b/>
          <w:color w:val="auto"/>
          <w:sz w:val="20"/>
        </w:rPr>
        <w:t>.</w:t>
      </w:r>
      <w:r>
        <w:rPr>
          <w:rStyle w:val="SubtleEmphasis"/>
          <w:b/>
          <w:color w:val="auto"/>
          <w:sz w:val="20"/>
        </w:rPr>
        <w:t>1</w:t>
      </w:r>
    </w:p>
    <w:p w14:paraId="5CE8CC49" w14:textId="77777777" w:rsidR="00F846B7" w:rsidRPr="005C42C5" w:rsidRDefault="00F846B7" w:rsidP="00F846B7">
      <w:pPr>
        <w:keepNext/>
        <w:pBdr>
          <w:top w:val="single" w:sz="4" w:space="1" w:color="auto"/>
          <w:left w:val="single" w:sz="4" w:space="4" w:color="auto"/>
          <w:bottom w:val="single" w:sz="4" w:space="1" w:color="auto"/>
          <w:right w:val="single" w:sz="4" w:space="4" w:color="auto"/>
        </w:pBdr>
        <w:rPr>
          <w:rStyle w:val="SubtleEmphasis"/>
          <w:color w:val="auto"/>
          <w:sz w:val="20"/>
        </w:rPr>
      </w:pPr>
      <w:r w:rsidRPr="005C42C5">
        <w:rPr>
          <w:rStyle w:val="SubtleEmphasis"/>
          <w:color w:val="auto"/>
          <w:sz w:val="20"/>
        </w:rPr>
        <w:t xml:space="preserve">As at 1 September 2014, the </w:t>
      </w:r>
      <w:r w:rsidR="00CD3DD0">
        <w:rPr>
          <w:rStyle w:val="SubtleEmphasis"/>
          <w:color w:val="auto"/>
          <w:sz w:val="20"/>
        </w:rPr>
        <w:t>Pūriri</w:t>
      </w:r>
      <w:r w:rsidR="00CD3DD0" w:rsidRPr="005C42C5">
        <w:rPr>
          <w:rStyle w:val="SubtleEmphasis"/>
          <w:color w:val="auto"/>
          <w:sz w:val="20"/>
        </w:rPr>
        <w:t xml:space="preserve"> </w:t>
      </w:r>
      <w:r w:rsidRPr="005C42C5">
        <w:rPr>
          <w:rStyle w:val="SubtleEmphasis"/>
          <w:color w:val="auto"/>
          <w:sz w:val="20"/>
        </w:rPr>
        <w:t>Unitary Authority has meaningful PM</w:t>
      </w:r>
      <w:r w:rsidRPr="005C42C5">
        <w:rPr>
          <w:rStyle w:val="SubtleEmphasis"/>
          <w:color w:val="auto"/>
          <w:sz w:val="20"/>
          <w:vertAlign w:val="subscript"/>
        </w:rPr>
        <w:t>10</w:t>
      </w:r>
      <w:r w:rsidRPr="005C42C5">
        <w:rPr>
          <w:rStyle w:val="SubtleEmphasis"/>
          <w:color w:val="auto"/>
          <w:sz w:val="20"/>
        </w:rPr>
        <w:t xml:space="preserve"> data for the </w:t>
      </w:r>
      <w:r w:rsidR="00917B41">
        <w:rPr>
          <w:rStyle w:val="SubtleEmphasis"/>
          <w:color w:val="auto"/>
          <w:sz w:val="20"/>
        </w:rPr>
        <w:t>Albatross</w:t>
      </w:r>
      <w:r w:rsidR="00917B41" w:rsidRPr="005C42C5">
        <w:rPr>
          <w:rStyle w:val="SubtleEmphasis"/>
          <w:color w:val="auto"/>
          <w:sz w:val="20"/>
        </w:rPr>
        <w:t xml:space="preserve"> </w:t>
      </w:r>
      <w:r w:rsidRPr="005C42C5">
        <w:rPr>
          <w:rStyle w:val="SubtleEmphasis"/>
          <w:color w:val="auto"/>
          <w:sz w:val="20"/>
        </w:rPr>
        <w:t>Airshed</w:t>
      </w:r>
      <w:r>
        <w:rPr>
          <w:rStyle w:val="SubtleEmphasis"/>
          <w:color w:val="auto"/>
          <w:sz w:val="20"/>
        </w:rPr>
        <w:t xml:space="preserve"> only</w:t>
      </w:r>
      <w:r w:rsidRPr="005C42C5">
        <w:rPr>
          <w:rStyle w:val="SubtleEmphasis"/>
          <w:color w:val="auto"/>
          <w:sz w:val="20"/>
        </w:rPr>
        <w:t xml:space="preserve"> for the 12-month period of 1 July 2013 to 30 June 2014. During this 12-month period</w:t>
      </w:r>
      <w:r>
        <w:rPr>
          <w:rStyle w:val="SubtleEmphasis"/>
          <w:color w:val="auto"/>
          <w:sz w:val="20"/>
        </w:rPr>
        <w:t>,</w:t>
      </w:r>
      <w:r w:rsidRPr="005C42C5">
        <w:rPr>
          <w:rStyle w:val="SubtleEmphasis"/>
          <w:color w:val="auto"/>
          <w:sz w:val="20"/>
        </w:rPr>
        <w:t xml:space="preserve"> there were 6 exceedances of the ambient PM</w:t>
      </w:r>
      <w:r w:rsidRPr="005C42C5">
        <w:rPr>
          <w:rStyle w:val="SubtleEmphasis"/>
          <w:color w:val="auto"/>
          <w:sz w:val="20"/>
          <w:vertAlign w:val="subscript"/>
        </w:rPr>
        <w:t>10</w:t>
      </w:r>
      <w:r w:rsidRPr="005C42C5">
        <w:rPr>
          <w:rStyle w:val="SubtleEmphasis"/>
          <w:color w:val="auto"/>
          <w:sz w:val="20"/>
        </w:rPr>
        <w:t xml:space="preserve"> standard. Therefore:</w:t>
      </w:r>
    </w:p>
    <w:p w14:paraId="69F201C8" w14:textId="77777777" w:rsidR="00F846B7" w:rsidRPr="00A74F05" w:rsidRDefault="00F846B7" w:rsidP="00F846B7">
      <w:pPr>
        <w:pBdr>
          <w:top w:val="single" w:sz="4" w:space="1" w:color="auto"/>
          <w:left w:val="single" w:sz="4" w:space="4" w:color="auto"/>
          <w:bottom w:val="single" w:sz="4" w:space="1" w:color="auto"/>
          <w:right w:val="single" w:sz="4" w:space="4" w:color="auto"/>
        </w:pBdr>
        <w:rPr>
          <w:rStyle w:val="SubtleEmphasis"/>
          <w:color w:val="auto"/>
          <w:sz w:val="20"/>
        </w:rPr>
      </w:pPr>
    </w:p>
    <w:p w14:paraId="043B39C4" w14:textId="77777777" w:rsidR="00F846B7" w:rsidRPr="0072605B"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 xml:space="preserve">following the method outlined in section </w:t>
      </w:r>
      <w:r w:rsidRPr="00F846B7">
        <w:rPr>
          <w:i/>
          <w:sz w:val="20"/>
        </w:rPr>
        <w:t>4.7,</w:t>
      </w:r>
      <w:r>
        <w:rPr>
          <w:i/>
          <w:sz w:val="20"/>
        </w:rPr>
        <w:t xml:space="preserve"> the </w:t>
      </w:r>
      <w:r w:rsidR="00917B41">
        <w:rPr>
          <w:i/>
          <w:sz w:val="20"/>
        </w:rPr>
        <w:t xml:space="preserve">Albatross </w:t>
      </w:r>
      <w:r>
        <w:rPr>
          <w:i/>
          <w:sz w:val="20"/>
        </w:rPr>
        <w:t>Airshed’s average exceedances of PM</w:t>
      </w:r>
      <w:r w:rsidRPr="005C42C5">
        <w:rPr>
          <w:i/>
          <w:sz w:val="20"/>
          <w:vertAlign w:val="subscript"/>
        </w:rPr>
        <w:t>10</w:t>
      </w:r>
      <w:r>
        <w:rPr>
          <w:i/>
          <w:sz w:val="20"/>
        </w:rPr>
        <w:t xml:space="preserve"> per year is six (6 exceedances ÷ 1 year of data)</w:t>
      </w:r>
    </w:p>
    <w:p w14:paraId="6F23BB17"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 xml:space="preserve">between 1 September 2011 and 1 September 2014, the Regulations required the </w:t>
      </w:r>
      <w:r w:rsidR="00917B41">
        <w:rPr>
          <w:i/>
          <w:sz w:val="20"/>
        </w:rPr>
        <w:t xml:space="preserve">Albatross </w:t>
      </w:r>
      <w:r>
        <w:rPr>
          <w:i/>
          <w:sz w:val="20"/>
        </w:rPr>
        <w:t>Airshed to meet 1 exceedance of the PM</w:t>
      </w:r>
      <w:r w:rsidRPr="005C42C5">
        <w:rPr>
          <w:i/>
          <w:sz w:val="20"/>
          <w:vertAlign w:val="subscript"/>
        </w:rPr>
        <w:t>10</w:t>
      </w:r>
      <w:r>
        <w:rPr>
          <w:i/>
          <w:sz w:val="20"/>
        </w:rPr>
        <w:t xml:space="preserve"> standard</w:t>
      </w:r>
    </w:p>
    <w:p w14:paraId="48CD459C"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 xml:space="preserve">from 1 September 2014 until 31 August </w:t>
      </w:r>
      <w:r w:rsidRPr="00190AB4">
        <w:rPr>
          <w:i/>
          <w:sz w:val="20"/>
        </w:rPr>
        <w:t>201</w:t>
      </w:r>
      <w:r w:rsidR="00475002" w:rsidRPr="00190AB4">
        <w:rPr>
          <w:i/>
          <w:sz w:val="20"/>
        </w:rPr>
        <w:t>6</w:t>
      </w:r>
      <w:r w:rsidRPr="00190AB4">
        <w:rPr>
          <w:i/>
          <w:sz w:val="20"/>
        </w:rPr>
        <w:t>,</w:t>
      </w:r>
      <w:r>
        <w:rPr>
          <w:i/>
          <w:sz w:val="20"/>
        </w:rPr>
        <w:t xml:space="preserve"> having now satisfied the requirements for split targets, the </w:t>
      </w:r>
      <w:r w:rsidR="00917B41">
        <w:rPr>
          <w:i/>
          <w:sz w:val="20"/>
        </w:rPr>
        <w:t xml:space="preserve">Albatross </w:t>
      </w:r>
      <w:r>
        <w:rPr>
          <w:i/>
          <w:sz w:val="20"/>
        </w:rPr>
        <w:t>Airshed is allowed unlimited exceedances of the ambient PM</w:t>
      </w:r>
      <w:r w:rsidRPr="00707FFC">
        <w:rPr>
          <w:i/>
          <w:sz w:val="20"/>
          <w:vertAlign w:val="subscript"/>
        </w:rPr>
        <w:t>10</w:t>
      </w:r>
      <w:r>
        <w:rPr>
          <w:i/>
          <w:sz w:val="20"/>
        </w:rPr>
        <w:t xml:space="preserve"> standard</w:t>
      </w:r>
    </w:p>
    <w:p w14:paraId="05F44D03"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 xml:space="preserve">from 1 September 2016, the </w:t>
      </w:r>
      <w:r w:rsidR="00917B41">
        <w:rPr>
          <w:i/>
          <w:sz w:val="20"/>
        </w:rPr>
        <w:t xml:space="preserve">Albatross </w:t>
      </w:r>
      <w:r>
        <w:rPr>
          <w:i/>
          <w:sz w:val="20"/>
        </w:rPr>
        <w:t>Airshed must then have no more than one exceedance of PM</w:t>
      </w:r>
      <w:r w:rsidRPr="00707FFC">
        <w:rPr>
          <w:i/>
          <w:sz w:val="20"/>
          <w:vertAlign w:val="subscript"/>
        </w:rPr>
        <w:t>10</w:t>
      </w:r>
      <w:r>
        <w:rPr>
          <w:i/>
          <w:sz w:val="20"/>
        </w:rPr>
        <w:t xml:space="preserve"> in a 12-month period</w:t>
      </w:r>
      <w:r w:rsidRPr="0072605B">
        <w:rPr>
          <w:i/>
          <w:sz w:val="20"/>
        </w:rPr>
        <w:t>.</w:t>
      </w:r>
    </w:p>
    <w:p w14:paraId="083B2FAE" w14:textId="77777777" w:rsidR="006869D2" w:rsidRPr="00190207" w:rsidRDefault="00190207" w:rsidP="00191312">
      <w:pPr>
        <w:pStyle w:val="Heading3"/>
      </w:pPr>
      <w:r w:rsidRPr="00190207">
        <w:t>4.4.3</w:t>
      </w:r>
      <w:r w:rsidRPr="00190207">
        <w:tab/>
        <w:t>How are the split target allowable exceedances calculated?</w:t>
      </w:r>
    </w:p>
    <w:p w14:paraId="61A0D38A" w14:textId="77777777" w:rsidR="003C0274" w:rsidRDefault="008352CD" w:rsidP="00191312">
      <w:pPr>
        <w:keepNext/>
      </w:pPr>
      <w:r>
        <w:t xml:space="preserve">Regulation 16D specifies how the </w:t>
      </w:r>
      <w:r w:rsidR="003C0274">
        <w:t xml:space="preserve">average </w:t>
      </w:r>
      <w:r>
        <w:t>allowable exceedances of PM</w:t>
      </w:r>
      <w:r w:rsidRPr="008352CD">
        <w:rPr>
          <w:vertAlign w:val="subscript"/>
        </w:rPr>
        <w:t>10</w:t>
      </w:r>
      <w:r>
        <w:t xml:space="preserve"> </w:t>
      </w:r>
      <w:r w:rsidR="003C0274">
        <w:t xml:space="preserve">for setting split targets under Regulation 16B </w:t>
      </w:r>
      <w:r>
        <w:t>are calculated.</w:t>
      </w:r>
      <w:r w:rsidR="00705A03">
        <w:t xml:space="preserve"> </w:t>
      </w:r>
      <w:r w:rsidR="003C0274">
        <w:t>This process is discussed in section 4.</w:t>
      </w:r>
      <w:r w:rsidR="003C0274" w:rsidRPr="00E46C9B">
        <w:t>7</w:t>
      </w:r>
      <w:r w:rsidR="00191312">
        <w:t>. Regulation 16B also gives</w:t>
      </w:r>
      <w:r w:rsidR="003C0274">
        <w:t xml:space="preserve"> an example </w:t>
      </w:r>
      <w:r w:rsidR="00191312">
        <w:t>of</w:t>
      </w:r>
      <w:r w:rsidR="003C0274">
        <w:t xml:space="preserve"> how to determine which category of split targets </w:t>
      </w:r>
      <w:r w:rsidR="00191312">
        <w:t>applies to an airshed</w:t>
      </w:r>
      <w:r w:rsidR="003C0274">
        <w:t xml:space="preserve"> (see section 4.</w:t>
      </w:r>
      <w:r w:rsidR="003C0274" w:rsidRPr="00E46C9B">
        <w:t>4</w:t>
      </w:r>
      <w:r w:rsidR="003C0274">
        <w:t>).</w:t>
      </w:r>
      <w:r w:rsidR="003C0274" w:rsidRPr="001773EE">
        <w:t xml:space="preserve"> </w:t>
      </w:r>
    </w:p>
    <w:p w14:paraId="71E05136" w14:textId="77777777" w:rsidR="00670DE9" w:rsidRDefault="00670DE9" w:rsidP="00670DE9">
      <w:pPr>
        <w:pStyle w:val="Heading3"/>
      </w:pPr>
      <w:r>
        <w:t>4.4.4</w:t>
      </w:r>
      <w:r>
        <w:tab/>
        <w:t>When do the split targets finish?</w:t>
      </w:r>
    </w:p>
    <w:p w14:paraId="45987D07" w14:textId="77777777" w:rsidR="00670DE9" w:rsidRDefault="00670DE9" w:rsidP="00670DE9">
      <w:r w:rsidRPr="003F3388">
        <w:t>Regulation</w:t>
      </w:r>
      <w:r w:rsidR="009B39C0" w:rsidRPr="003F3388">
        <w:t xml:space="preserve"> 16B</w:t>
      </w:r>
      <w:r w:rsidRPr="003F3388">
        <w:t>(8) states that Regulation 16</w:t>
      </w:r>
      <w:r w:rsidR="009B39C0" w:rsidRPr="003F3388">
        <w:t xml:space="preserve">B (ie, the split targets) </w:t>
      </w:r>
      <w:r w:rsidR="009B39C0" w:rsidRPr="003F3388">
        <w:rPr>
          <w:b/>
        </w:rPr>
        <w:t>finishes</w:t>
      </w:r>
      <w:r w:rsidRPr="003F3388">
        <w:rPr>
          <w:b/>
        </w:rPr>
        <w:t xml:space="preserve"> on 1 September 2020</w:t>
      </w:r>
      <w:r w:rsidR="00F30214">
        <w:t xml:space="preserve">. </w:t>
      </w:r>
      <w:r w:rsidRPr="003F3388">
        <w:t>At this time</w:t>
      </w:r>
      <w:r w:rsidR="003F3388" w:rsidRPr="003F3388">
        <w:t>,</w:t>
      </w:r>
      <w:r w:rsidRPr="003F3388">
        <w:t xml:space="preserve"> every airshed </w:t>
      </w:r>
      <w:r w:rsidRPr="003F3388">
        <w:rPr>
          <w:b/>
        </w:rPr>
        <w:t xml:space="preserve">must meet no more than </w:t>
      </w:r>
      <w:r w:rsidR="003F3388" w:rsidRPr="003F3388">
        <w:rPr>
          <w:b/>
        </w:rPr>
        <w:t>one</w:t>
      </w:r>
      <w:r w:rsidRPr="003F3388">
        <w:rPr>
          <w:b/>
        </w:rPr>
        <w:t xml:space="preserve"> exceedance</w:t>
      </w:r>
      <w:r w:rsidR="0034334D">
        <w:rPr>
          <w:b/>
        </w:rPr>
        <w:t xml:space="preserve"> per year</w:t>
      </w:r>
      <w:r w:rsidR="003F3388" w:rsidRPr="003F3388">
        <w:rPr>
          <w:b/>
        </w:rPr>
        <w:t>.</w:t>
      </w:r>
    </w:p>
    <w:p w14:paraId="06014B7D" w14:textId="77777777" w:rsidR="001E0D1C" w:rsidRDefault="001E0D1C" w:rsidP="001E0D1C">
      <w:pPr>
        <w:pStyle w:val="Heading3"/>
      </w:pPr>
      <w:r>
        <w:t>4.4.5</w:t>
      </w:r>
      <w:r>
        <w:tab/>
        <w:t>When do the split targets not apply?</w:t>
      </w:r>
    </w:p>
    <w:p w14:paraId="7AB9BAFF" w14:textId="77777777" w:rsidR="004930CB" w:rsidRDefault="004930CB" w:rsidP="004930CB">
      <w:r>
        <w:t xml:space="preserve">Regulation 16B(5) states that despite the split targets, which allow the number of permissible exceedances to be more than one, </w:t>
      </w:r>
      <w:r w:rsidRPr="00DC1ECF">
        <w:rPr>
          <w:b/>
        </w:rPr>
        <w:t xml:space="preserve">any </w:t>
      </w:r>
      <w:r w:rsidRPr="004A348C">
        <w:rPr>
          <w:b/>
        </w:rPr>
        <w:t xml:space="preserve">breach </w:t>
      </w:r>
      <w:r w:rsidRPr="00807A83">
        <w:t>of the PM</w:t>
      </w:r>
      <w:r w:rsidRPr="00807A83">
        <w:rPr>
          <w:vertAlign w:val="subscript"/>
        </w:rPr>
        <w:t>10</w:t>
      </w:r>
      <w:r w:rsidRPr="00807A83">
        <w:t xml:space="preserve"> standard</w:t>
      </w:r>
      <w:r>
        <w:t xml:space="preserve"> (ie, more than one exceedance of the threshold concentration of 50 µg/m</w:t>
      </w:r>
      <w:r w:rsidRPr="00807A83">
        <w:rPr>
          <w:vertAlign w:val="superscript"/>
        </w:rPr>
        <w:t>3</w:t>
      </w:r>
      <w:r>
        <w:t xml:space="preserve">, as a 24-hour average, in any 12-month rolling period) </w:t>
      </w:r>
      <w:r w:rsidRPr="004A348C">
        <w:rPr>
          <w:b/>
        </w:rPr>
        <w:t xml:space="preserve">is still a breach </w:t>
      </w:r>
      <w:r w:rsidRPr="00807A83">
        <w:t>for the purposes of the following:</w:t>
      </w:r>
    </w:p>
    <w:p w14:paraId="4247B881" w14:textId="77777777" w:rsidR="004930CB" w:rsidRPr="00190AB4" w:rsidRDefault="004930CB" w:rsidP="004930CB">
      <w:pPr>
        <w:pStyle w:val="Bullet"/>
        <w:numPr>
          <w:ilvl w:val="0"/>
          <w:numId w:val="13"/>
        </w:numPr>
      </w:pPr>
      <w:r w:rsidRPr="00190AB4">
        <w:t>Regulation 15 - regional council must monitor air quality if standard breached</w:t>
      </w:r>
    </w:p>
    <w:p w14:paraId="547E0E0B" w14:textId="77777777" w:rsidR="004930CB" w:rsidRPr="00190AB4" w:rsidRDefault="004930CB" w:rsidP="00B1521B">
      <w:pPr>
        <w:pStyle w:val="Bullet"/>
        <w:numPr>
          <w:ilvl w:val="1"/>
          <w:numId w:val="13"/>
        </w:numPr>
        <w:ind w:left="851" w:hanging="425"/>
      </w:pPr>
      <w:r w:rsidRPr="00190AB4">
        <w:t>a regional council must still monitor PM</w:t>
      </w:r>
      <w:r w:rsidRPr="00190AB4">
        <w:rPr>
          <w:vertAlign w:val="subscript"/>
        </w:rPr>
        <w:t>10</w:t>
      </w:r>
      <w:r w:rsidRPr="00190AB4">
        <w:t xml:space="preserve"> in an airshed if PM</w:t>
      </w:r>
      <w:r w:rsidRPr="00190AB4">
        <w:rPr>
          <w:vertAlign w:val="subscript"/>
        </w:rPr>
        <w:t>10</w:t>
      </w:r>
      <w:r w:rsidRPr="00190AB4">
        <w:t xml:space="preserve"> is likely to exceed the </w:t>
      </w:r>
      <w:r w:rsidR="00B1521B" w:rsidRPr="00190AB4">
        <w:t>PM</w:t>
      </w:r>
      <w:r w:rsidR="00B1521B" w:rsidRPr="00190AB4">
        <w:rPr>
          <w:vertAlign w:val="subscript"/>
        </w:rPr>
        <w:t>10</w:t>
      </w:r>
      <w:r w:rsidR="00B1521B" w:rsidRPr="00190AB4">
        <w:t xml:space="preserve"> standard</w:t>
      </w:r>
      <w:r w:rsidRPr="00190AB4">
        <w:t>, more than once in any 12-month rolling period</w:t>
      </w:r>
    </w:p>
    <w:p w14:paraId="02EDAC65" w14:textId="77777777" w:rsidR="004930CB" w:rsidRPr="00190AB4" w:rsidRDefault="004930CB" w:rsidP="004930CB">
      <w:pPr>
        <w:pStyle w:val="Bullet"/>
        <w:numPr>
          <w:ilvl w:val="0"/>
          <w:numId w:val="13"/>
        </w:numPr>
      </w:pPr>
      <w:r w:rsidRPr="00190AB4">
        <w:t>Regulation 16 - regional council must give public notice if standard breached</w:t>
      </w:r>
    </w:p>
    <w:p w14:paraId="72FB3D7C" w14:textId="77777777" w:rsidR="004930CB" w:rsidRPr="00190AB4" w:rsidRDefault="004930CB" w:rsidP="009E6C46">
      <w:pPr>
        <w:pStyle w:val="Bullet"/>
        <w:numPr>
          <w:ilvl w:val="1"/>
          <w:numId w:val="13"/>
        </w:numPr>
        <w:ind w:left="851" w:hanging="425"/>
      </w:pPr>
      <w:r w:rsidRPr="00190AB4">
        <w:t xml:space="preserve">a regional council must still publicly notify </w:t>
      </w:r>
      <w:r w:rsidR="00B1521B" w:rsidRPr="00190AB4">
        <w:t>the second and all further exceedances of</w:t>
      </w:r>
      <w:r w:rsidRPr="00190AB4">
        <w:t xml:space="preserve"> the PM</w:t>
      </w:r>
      <w:r w:rsidRPr="00190AB4">
        <w:rPr>
          <w:vertAlign w:val="subscript"/>
        </w:rPr>
        <w:t>10</w:t>
      </w:r>
      <w:r w:rsidRPr="00190AB4">
        <w:t xml:space="preserve"> standard</w:t>
      </w:r>
      <w:r w:rsidR="00B1521B" w:rsidRPr="00190AB4">
        <w:t xml:space="preserve"> within the airshed in each rolling 12-month period</w:t>
      </w:r>
    </w:p>
    <w:p w14:paraId="2B72B0FE" w14:textId="77777777" w:rsidR="004930CB" w:rsidRPr="00190AB4" w:rsidRDefault="004930CB" w:rsidP="004930CB">
      <w:pPr>
        <w:pStyle w:val="Bullet"/>
        <w:numPr>
          <w:ilvl w:val="0"/>
          <w:numId w:val="13"/>
        </w:numPr>
      </w:pPr>
      <w:r w:rsidRPr="00190AB4">
        <w:t>Regulation 17(4)(b) - airshed stops being polluted airshed if PM</w:t>
      </w:r>
      <w:r w:rsidRPr="00190AB4">
        <w:rPr>
          <w:vertAlign w:val="subscript"/>
        </w:rPr>
        <w:t>10</w:t>
      </w:r>
      <w:r w:rsidRPr="00190AB4">
        <w:t xml:space="preserve"> standard not breached for 5 years</w:t>
      </w:r>
    </w:p>
    <w:p w14:paraId="69FCBCE3" w14:textId="77777777" w:rsidR="004930CB" w:rsidRPr="00190AB4" w:rsidRDefault="004930CB" w:rsidP="009E6C46">
      <w:pPr>
        <w:pStyle w:val="Bullet"/>
        <w:numPr>
          <w:ilvl w:val="1"/>
          <w:numId w:val="13"/>
        </w:numPr>
        <w:ind w:left="851" w:hanging="425"/>
      </w:pPr>
      <w:r w:rsidRPr="00190AB4">
        <w:t xml:space="preserve">a regional council </w:t>
      </w:r>
      <w:r w:rsidR="00B1521B" w:rsidRPr="00190AB4">
        <w:t>must</w:t>
      </w:r>
      <w:r w:rsidRPr="00190AB4">
        <w:t xml:space="preserve"> </w:t>
      </w:r>
      <w:r w:rsidR="00B1521B" w:rsidRPr="00190AB4">
        <w:t>still have 5 years with</w:t>
      </w:r>
      <w:r w:rsidRPr="00190AB4">
        <w:t xml:space="preserve"> </w:t>
      </w:r>
      <w:r w:rsidR="00B1521B" w:rsidRPr="00190AB4">
        <w:t xml:space="preserve">no </w:t>
      </w:r>
      <w:r w:rsidRPr="00190AB4">
        <w:t xml:space="preserve">more than one exceedance of the </w:t>
      </w:r>
      <w:r w:rsidR="00B1521B" w:rsidRPr="00190AB4">
        <w:t>PM</w:t>
      </w:r>
      <w:r w:rsidR="00B1521B" w:rsidRPr="00190AB4">
        <w:rPr>
          <w:vertAlign w:val="subscript"/>
        </w:rPr>
        <w:t>10</w:t>
      </w:r>
      <w:r w:rsidR="00B1521B" w:rsidRPr="00190AB4">
        <w:t xml:space="preserve"> standard</w:t>
      </w:r>
      <w:r w:rsidRPr="00190AB4">
        <w:t xml:space="preserve"> in any rolling 12-month period</w:t>
      </w:r>
      <w:r w:rsidR="00B1521B" w:rsidRPr="00190AB4">
        <w:t xml:space="preserve"> during that 5 years </w:t>
      </w:r>
      <w:r w:rsidRPr="00190AB4">
        <w:t>to stop being a polluted airshed (and stop requiring mandatory offsets)</w:t>
      </w:r>
    </w:p>
    <w:p w14:paraId="1FE74EA5" w14:textId="77777777" w:rsidR="004930CB" w:rsidRPr="00190AB4" w:rsidRDefault="004930CB" w:rsidP="004930CB">
      <w:pPr>
        <w:pStyle w:val="Bullet"/>
        <w:numPr>
          <w:ilvl w:val="0"/>
          <w:numId w:val="13"/>
        </w:numPr>
      </w:pPr>
      <w:r w:rsidRPr="00190AB4">
        <w:t>Regulation 24A - discharge from certain open fires prohibited</w:t>
      </w:r>
    </w:p>
    <w:p w14:paraId="07C0E54A" w14:textId="77777777" w:rsidR="004930CB" w:rsidRPr="00190AB4" w:rsidRDefault="004930CB" w:rsidP="009E6C46">
      <w:pPr>
        <w:pStyle w:val="Bullet"/>
        <w:numPr>
          <w:ilvl w:val="1"/>
          <w:numId w:val="13"/>
        </w:numPr>
        <w:ind w:left="851" w:hanging="425"/>
      </w:pPr>
      <w:r w:rsidRPr="00190AB4">
        <w:t xml:space="preserve">a regional council must still notify a ban on new solid-fuel burning open fires within six months of the first breach (i.e. second exceedance) of the </w:t>
      </w:r>
      <w:r w:rsidR="00B1521B" w:rsidRPr="00190AB4">
        <w:t>PM</w:t>
      </w:r>
      <w:r w:rsidR="00B1521B" w:rsidRPr="00190AB4">
        <w:rPr>
          <w:vertAlign w:val="subscript"/>
        </w:rPr>
        <w:t>10</w:t>
      </w:r>
      <w:r w:rsidR="00B1521B" w:rsidRPr="00190AB4">
        <w:t xml:space="preserve"> standard</w:t>
      </w:r>
      <w:r w:rsidRPr="00190AB4">
        <w:t xml:space="preserve"> that occurs after 1 September 2011.</w:t>
      </w:r>
    </w:p>
    <w:p w14:paraId="0E28F717" w14:textId="77777777" w:rsidR="004930CB" w:rsidRDefault="004930CB" w:rsidP="004930CB"/>
    <w:p w14:paraId="549BF177" w14:textId="77777777" w:rsidR="004930CB" w:rsidRDefault="004930CB" w:rsidP="004930CB">
      <w:r>
        <w:t>As the split targets extend the attainment dates, and hence could be seen to be prolonging adverse health effects in airsheds with extended timeframes, the Regulations are designed to ensure that the split targets are only allocated where there is sufficient data to ‘prove’ that compliance could not be met earlier.</w:t>
      </w:r>
      <w:r w:rsidRPr="00223F09">
        <w:t xml:space="preserve"> </w:t>
      </w:r>
      <w:r>
        <w:t xml:space="preserve">There are large financial implications for meeting the targets (and for industry that need to offset) – this needs to be managed in a fair and accountable manner.  </w:t>
      </w:r>
    </w:p>
    <w:p w14:paraId="7D8B4056" w14:textId="77777777" w:rsidR="00121ACE" w:rsidRDefault="00121ACE" w:rsidP="00B1521B">
      <w:pPr>
        <w:pStyle w:val="Heading2"/>
      </w:pPr>
      <w:bookmarkStart w:id="112" w:name="_Toc300856613"/>
      <w:r>
        <w:t>4.</w:t>
      </w:r>
      <w:r w:rsidR="003C0274">
        <w:t>5</w:t>
      </w:r>
      <w:r>
        <w:tab/>
        <w:t>Where do the ambient PM</w:t>
      </w:r>
      <w:r w:rsidRPr="00121ACE">
        <w:rPr>
          <w:vertAlign w:val="subscript"/>
        </w:rPr>
        <w:t>10</w:t>
      </w:r>
      <w:r>
        <w:t xml:space="preserve"> standards apply?</w:t>
      </w:r>
      <w:bookmarkEnd w:id="112"/>
    </w:p>
    <w:p w14:paraId="623028D6" w14:textId="77777777" w:rsidR="00B008DC" w:rsidRDefault="00B008DC" w:rsidP="00B1521B">
      <w:pPr>
        <w:pStyle w:val="BodyText"/>
        <w:keepNext/>
        <w:rPr>
          <w:highlight w:val="yellow"/>
        </w:rPr>
      </w:pPr>
    </w:p>
    <w:p w14:paraId="6C9B94D9" w14:textId="77777777" w:rsidR="006930D0" w:rsidRDefault="003C0274" w:rsidP="00B1521B">
      <w:pPr>
        <w:pStyle w:val="BodyText"/>
        <w:keepNext/>
      </w:pPr>
      <w:r>
        <w:t>Section 3.</w:t>
      </w:r>
      <w:r w:rsidRPr="009C70EC">
        <w:t>4</w:t>
      </w:r>
      <w:r>
        <w:t xml:space="preserve"> discusses in detail where the ambient PM</w:t>
      </w:r>
      <w:r w:rsidRPr="003C0274">
        <w:rPr>
          <w:vertAlign w:val="subscript"/>
        </w:rPr>
        <w:t>10</w:t>
      </w:r>
      <w:r>
        <w:t xml:space="preserve"> standards apply.  To summarise</w:t>
      </w:r>
      <w:r w:rsidR="000D59C2">
        <w:t>,</w:t>
      </w:r>
      <w:r>
        <w:t xml:space="preserve"> they apply:</w:t>
      </w:r>
    </w:p>
    <w:p w14:paraId="27AA3362" w14:textId="77777777" w:rsidR="003C0274" w:rsidRDefault="003C0274" w:rsidP="00152DF6">
      <w:pPr>
        <w:pStyle w:val="Bullet"/>
        <w:numPr>
          <w:ilvl w:val="0"/>
          <w:numId w:val="13"/>
        </w:numPr>
      </w:pPr>
      <w:r>
        <w:t xml:space="preserve">to all of New Zealand whether an area is a </w:t>
      </w:r>
      <w:r w:rsidRPr="00F930B2">
        <w:t xml:space="preserve">gazetted </w:t>
      </w:r>
      <w:r>
        <w:t>airshed or not</w:t>
      </w:r>
    </w:p>
    <w:p w14:paraId="4781F577" w14:textId="77777777" w:rsidR="003C0274" w:rsidRDefault="003C0274" w:rsidP="00152DF6">
      <w:pPr>
        <w:pStyle w:val="Bullet"/>
        <w:numPr>
          <w:ilvl w:val="0"/>
          <w:numId w:val="13"/>
        </w:numPr>
      </w:pPr>
      <w:r>
        <w:t>in open air</w:t>
      </w:r>
    </w:p>
    <w:p w14:paraId="5FB2BF47" w14:textId="77777777" w:rsidR="003C0274" w:rsidRDefault="003C0274" w:rsidP="00152DF6">
      <w:pPr>
        <w:pStyle w:val="Bullet"/>
        <w:numPr>
          <w:ilvl w:val="0"/>
          <w:numId w:val="13"/>
        </w:numPr>
      </w:pPr>
      <w:r>
        <w:t xml:space="preserve">where people </w:t>
      </w:r>
      <w:r w:rsidR="006B01BA">
        <w:t>are likely to</w:t>
      </w:r>
      <w:r>
        <w:t xml:space="preserve"> be exposed.</w:t>
      </w:r>
    </w:p>
    <w:p w14:paraId="6760F9F5" w14:textId="77777777" w:rsidR="003C0274" w:rsidRDefault="003C0274" w:rsidP="006930D0">
      <w:pPr>
        <w:pStyle w:val="BodyText"/>
      </w:pPr>
    </w:p>
    <w:p w14:paraId="0E620CD1" w14:textId="77777777" w:rsidR="003C0274" w:rsidRDefault="003C0274" w:rsidP="006930D0">
      <w:pPr>
        <w:pStyle w:val="BodyText"/>
      </w:pPr>
      <w:r>
        <w:t>The ambient PM</w:t>
      </w:r>
      <w:r w:rsidRPr="003C0274">
        <w:rPr>
          <w:vertAlign w:val="subscript"/>
        </w:rPr>
        <w:t>10</w:t>
      </w:r>
      <w:r>
        <w:t xml:space="preserve"> standard does not apply on-site to a site for which resource consents apply for the discharge of PM</w:t>
      </w:r>
      <w:r w:rsidRPr="003C0274">
        <w:rPr>
          <w:vertAlign w:val="subscript"/>
        </w:rPr>
        <w:t>10</w:t>
      </w:r>
      <w:r>
        <w:t>.</w:t>
      </w:r>
    </w:p>
    <w:p w14:paraId="6292551D" w14:textId="77777777" w:rsidR="00511EFA" w:rsidRDefault="00511EFA" w:rsidP="006930D0">
      <w:pPr>
        <w:pStyle w:val="BodyText"/>
      </w:pPr>
    </w:p>
    <w:p w14:paraId="22D8134D" w14:textId="77777777" w:rsidR="00511EFA" w:rsidRDefault="00511EFA" w:rsidP="00511EFA">
      <w:r>
        <w:t>Airsheds, and how they are created, are discussed in section 3.</w:t>
      </w:r>
      <w:r w:rsidRPr="009C70EC">
        <w:t>4.1</w:t>
      </w:r>
      <w:r w:rsidR="00705A03">
        <w:t>.</w:t>
      </w:r>
      <w:r>
        <w:t xml:space="preserve"> </w:t>
      </w:r>
      <w:r w:rsidR="00A9428D">
        <w:t>In practice,</w:t>
      </w:r>
      <w:r>
        <w:t xml:space="preserve"> the bulk of </w:t>
      </w:r>
      <w:r w:rsidRPr="00F930B2">
        <w:t xml:space="preserve">gazetted </w:t>
      </w:r>
      <w:r>
        <w:t>airsheds within New Zealand have been created to manage discharges and effects of PM</w:t>
      </w:r>
      <w:r w:rsidRPr="00511EFA">
        <w:rPr>
          <w:vertAlign w:val="subscript"/>
        </w:rPr>
        <w:t>10</w:t>
      </w:r>
      <w:r>
        <w:t xml:space="preserve">. </w:t>
      </w:r>
      <w:r w:rsidR="005F7DEB">
        <w:t>For an up to date list of airsheds currently gazetted for PM</w:t>
      </w:r>
      <w:r w:rsidR="005F7DEB" w:rsidRPr="005F7DEB">
        <w:rPr>
          <w:vertAlign w:val="subscript"/>
        </w:rPr>
        <w:t>10</w:t>
      </w:r>
      <w:r w:rsidR="005F7DEB">
        <w:t xml:space="preserve"> please check the Ministry for the Environment </w:t>
      </w:r>
      <w:r w:rsidR="005F7DEB" w:rsidRPr="005F7DEB">
        <w:t xml:space="preserve">website at </w:t>
      </w:r>
      <w:hyperlink r:id="rId38" w:history="1">
        <w:r w:rsidR="005F7DEB" w:rsidRPr="005F7DEB">
          <w:rPr>
            <w:rStyle w:val="Hyperlink"/>
            <w:color w:val="auto"/>
          </w:rPr>
          <w:t>www.mfe.govt.nz</w:t>
        </w:r>
      </w:hyperlink>
      <w:r w:rsidR="005F7DEB">
        <w:t xml:space="preserve">. </w:t>
      </w:r>
      <w:r w:rsidR="009C70EC">
        <w:t>Councils may reclassify their airsheds from time to time as</w:t>
      </w:r>
      <w:r>
        <w:t xml:space="preserve"> more information becomes known about individual airsheds</w:t>
      </w:r>
      <w:r w:rsidR="009C70EC">
        <w:t>.</w:t>
      </w:r>
    </w:p>
    <w:p w14:paraId="56693BAD" w14:textId="77777777" w:rsidR="00511EFA" w:rsidRDefault="00511EFA" w:rsidP="00511EFA"/>
    <w:p w14:paraId="1E23395C" w14:textId="77777777" w:rsidR="00511EFA" w:rsidRDefault="00511EFA" w:rsidP="00511EFA">
      <w:r>
        <w:t>Regulation 16B(6)</w:t>
      </w:r>
      <w:r w:rsidR="005F7DEB">
        <w:t xml:space="preserve"> discusses what happens if a new </w:t>
      </w:r>
      <w:r w:rsidR="00670DE9" w:rsidRPr="00F930B2">
        <w:t>gazetted</w:t>
      </w:r>
      <w:r w:rsidR="00670DE9">
        <w:t xml:space="preserve"> </w:t>
      </w:r>
      <w:r w:rsidR="005F7DEB">
        <w:t>airshed is derived at a later date from existing airsheds (ie, an airshed is created that is a subset of one or more bigger airsheds).</w:t>
      </w:r>
      <w:r>
        <w:t xml:space="preserve"> </w:t>
      </w:r>
      <w:r w:rsidR="005F7DEB">
        <w:t xml:space="preserve">The </w:t>
      </w:r>
      <w:r w:rsidR="00C500EF">
        <w:t xml:space="preserve">Regulation </w:t>
      </w:r>
      <w:r>
        <w:t xml:space="preserve">requires that </w:t>
      </w:r>
      <w:r w:rsidR="005F7DEB">
        <w:t>any new airshed takes on the data (if any) and the status of the paren</w:t>
      </w:r>
      <w:r w:rsidR="00705A03">
        <w:t>t airshed/s.</w:t>
      </w:r>
      <w:r w:rsidR="005F7DEB">
        <w:t xml:space="preserve"> The parental status will determine whether the new airshed can have split ta</w:t>
      </w:r>
      <w:r w:rsidR="00705A03">
        <w:t>rgets, and if so what they are.</w:t>
      </w:r>
      <w:r w:rsidR="005F7DEB">
        <w:t xml:space="preserve"> </w:t>
      </w:r>
      <w:r w:rsidR="00A9428D">
        <w:t xml:space="preserve">Readers should note that </w:t>
      </w:r>
      <w:r w:rsidR="00C500EF">
        <w:t>Regulation</w:t>
      </w:r>
      <w:r w:rsidR="00A9428D">
        <w:t xml:space="preserve">s 16B, 16C and 16D </w:t>
      </w:r>
      <w:r>
        <w:t>only</w:t>
      </w:r>
      <w:r w:rsidR="00191312">
        <w:t xml:space="preserve"> relate to</w:t>
      </w:r>
      <w:r>
        <w:t xml:space="preserve"> PM</w:t>
      </w:r>
      <w:r w:rsidRPr="00511EFA">
        <w:rPr>
          <w:vertAlign w:val="subscript"/>
        </w:rPr>
        <w:t>10</w:t>
      </w:r>
      <w:r w:rsidR="00191312">
        <w:t xml:space="preserve"> and</w:t>
      </w:r>
      <w:r>
        <w:t xml:space="preserve"> do not apply </w:t>
      </w:r>
      <w:r w:rsidR="00A9428D">
        <w:t>to</w:t>
      </w:r>
      <w:r>
        <w:t xml:space="preserve"> any of the other ambient pollutant standards.</w:t>
      </w:r>
    </w:p>
    <w:p w14:paraId="485C4C46" w14:textId="77777777" w:rsidR="002F4277" w:rsidRDefault="002F4277" w:rsidP="00511EFA">
      <w:pPr>
        <w:rPr>
          <w:highlight w:val="yellow"/>
        </w:rPr>
      </w:pPr>
    </w:p>
    <w:p w14:paraId="17E6E8B5" w14:textId="77777777" w:rsidR="009851C9" w:rsidRPr="00234369" w:rsidRDefault="00327A43" w:rsidP="009851C9">
      <w:pPr>
        <w:pStyle w:val="Heading2"/>
      </w:pPr>
      <w:bookmarkStart w:id="113" w:name="_Toc84646399"/>
      <w:bookmarkStart w:id="114" w:name="_Toc87954611"/>
      <w:bookmarkStart w:id="115" w:name="_Toc222291784"/>
      <w:bookmarkStart w:id="116" w:name="_Toc222292130"/>
      <w:bookmarkStart w:id="117" w:name="_Toc222292218"/>
      <w:bookmarkStart w:id="118" w:name="_Toc242861941"/>
      <w:bookmarkStart w:id="119" w:name="_Toc300856614"/>
      <w:r>
        <w:t>4.6</w:t>
      </w:r>
      <w:r w:rsidR="009851C9">
        <w:tab/>
      </w:r>
      <w:r w:rsidR="009851C9" w:rsidRPr="00234369">
        <w:t>Monitoring</w:t>
      </w:r>
      <w:bookmarkEnd w:id="113"/>
      <w:r w:rsidR="009851C9" w:rsidRPr="00234369">
        <w:t xml:space="preserve"> of </w:t>
      </w:r>
      <w:bookmarkEnd w:id="114"/>
      <w:bookmarkEnd w:id="115"/>
      <w:bookmarkEnd w:id="116"/>
      <w:bookmarkEnd w:id="117"/>
      <w:r w:rsidR="009851C9">
        <w:t>PM</w:t>
      </w:r>
      <w:r w:rsidR="009851C9" w:rsidRPr="00F3481D">
        <w:rPr>
          <w:vertAlign w:val="subscript"/>
        </w:rPr>
        <w:t>10</w:t>
      </w:r>
      <w:bookmarkEnd w:id="118"/>
      <w:bookmarkEnd w:id="119"/>
    </w:p>
    <w:p w14:paraId="107A21FA" w14:textId="77777777" w:rsidR="00CD1302" w:rsidRDefault="00CD1302" w:rsidP="00CD1302">
      <w:pPr>
        <w:pStyle w:val="BodyText"/>
      </w:pPr>
      <w:r>
        <w:t>Section 3</w:t>
      </w:r>
      <w:r w:rsidRPr="009C70EC">
        <w:t>.5</w:t>
      </w:r>
      <w:r>
        <w:t xml:space="preserve"> discusses in detail how monitoring of ambient pollutants </w:t>
      </w:r>
      <w:r w:rsidR="00A9428D">
        <w:t xml:space="preserve">for the purposes of the Regulations </w:t>
      </w:r>
      <w:r>
        <w:t>should be undertaken. To summarise</w:t>
      </w:r>
      <w:r w:rsidR="00191312">
        <w:t>,</w:t>
      </w:r>
      <w:r w:rsidR="00892A1E">
        <w:t xml:space="preserve"> PM</w:t>
      </w:r>
      <w:r w:rsidR="00892A1E" w:rsidRPr="00892A1E">
        <w:rPr>
          <w:vertAlign w:val="subscript"/>
        </w:rPr>
        <w:t>10</w:t>
      </w:r>
      <w:r w:rsidR="00892A1E">
        <w:t xml:space="preserve"> </w:t>
      </w:r>
      <w:r>
        <w:t>monitoring must:</w:t>
      </w:r>
    </w:p>
    <w:p w14:paraId="38762C78" w14:textId="77777777" w:rsidR="00CD1302" w:rsidRDefault="00CD1302" w:rsidP="00152DF6">
      <w:pPr>
        <w:pStyle w:val="Bullet"/>
        <w:numPr>
          <w:ilvl w:val="0"/>
          <w:numId w:val="13"/>
        </w:numPr>
      </w:pPr>
      <w:r>
        <w:t>be undertaken for PM</w:t>
      </w:r>
      <w:r w:rsidRPr="00CD1302">
        <w:rPr>
          <w:vertAlign w:val="subscript"/>
        </w:rPr>
        <w:t>10</w:t>
      </w:r>
      <w:r>
        <w:t xml:space="preserve"> in an airshed (whether </w:t>
      </w:r>
      <w:r w:rsidRPr="00F930B2">
        <w:t xml:space="preserve">gazetted </w:t>
      </w:r>
      <w:r>
        <w:t>or not) if it is likely the ambient PM</w:t>
      </w:r>
      <w:r w:rsidRPr="00CD1302">
        <w:rPr>
          <w:vertAlign w:val="subscript"/>
        </w:rPr>
        <w:t>10</w:t>
      </w:r>
      <w:r>
        <w:t xml:space="preserve"> standard will be breached</w:t>
      </w:r>
    </w:p>
    <w:p w14:paraId="2894B75C" w14:textId="77777777" w:rsidR="00CD1302" w:rsidRDefault="00CD1302" w:rsidP="00152DF6">
      <w:pPr>
        <w:pStyle w:val="Bullet"/>
        <w:numPr>
          <w:ilvl w:val="0"/>
          <w:numId w:val="13"/>
        </w:numPr>
      </w:pPr>
      <w:r>
        <w:t xml:space="preserve">be undertaken in an airshed until such time as air quality is unlikely to </w:t>
      </w:r>
      <w:r w:rsidR="00AA0A83">
        <w:t>breach</w:t>
      </w:r>
      <w:r>
        <w:t xml:space="preserve"> the ambient PM</w:t>
      </w:r>
      <w:r w:rsidRPr="00CD1302">
        <w:rPr>
          <w:vertAlign w:val="subscript"/>
        </w:rPr>
        <w:t>10</w:t>
      </w:r>
      <w:r>
        <w:t xml:space="preserve"> standard</w:t>
      </w:r>
    </w:p>
    <w:p w14:paraId="6C4B0E00" w14:textId="77777777" w:rsidR="00CD1302" w:rsidRDefault="00CD1302" w:rsidP="00152DF6">
      <w:pPr>
        <w:pStyle w:val="Bullet"/>
        <w:numPr>
          <w:ilvl w:val="0"/>
          <w:numId w:val="13"/>
        </w:numPr>
      </w:pPr>
      <w:r>
        <w:t>occur in the airshed where people are likely to be exposed</w:t>
      </w:r>
    </w:p>
    <w:p w14:paraId="1664FE14" w14:textId="77777777" w:rsidR="00CD1302" w:rsidRDefault="00CD1302" w:rsidP="00152DF6">
      <w:pPr>
        <w:pStyle w:val="Bullet"/>
        <w:numPr>
          <w:ilvl w:val="0"/>
          <w:numId w:val="13"/>
        </w:numPr>
      </w:pPr>
      <w:r>
        <w:t>be undertaken</w:t>
      </w:r>
      <w:r w:rsidR="00A9428D">
        <w:t xml:space="preserve"> where the ambient standards are most likely to be </w:t>
      </w:r>
      <w:r w:rsidR="00AA0A83">
        <w:rPr>
          <w:b/>
        </w:rPr>
        <w:t>breach</w:t>
      </w:r>
      <w:r w:rsidR="00A9428D" w:rsidRPr="002269DC">
        <w:rPr>
          <w:b/>
        </w:rPr>
        <w:t>ed by the</w:t>
      </w:r>
      <w:r w:rsidR="00A9428D">
        <w:t xml:space="preserve"> </w:t>
      </w:r>
      <w:r w:rsidR="00A9428D" w:rsidRPr="002269DC">
        <w:rPr>
          <w:b/>
        </w:rPr>
        <w:t>greates</w:t>
      </w:r>
      <w:r w:rsidR="002269DC">
        <w:rPr>
          <w:b/>
        </w:rPr>
        <w:t>t</w:t>
      </w:r>
      <w:r w:rsidR="00A9428D" w:rsidRPr="002269DC">
        <w:rPr>
          <w:b/>
        </w:rPr>
        <w:t xml:space="preserve"> margin</w:t>
      </w:r>
      <w:r w:rsidR="00A9428D">
        <w:t xml:space="preserve"> or with the </w:t>
      </w:r>
      <w:r w:rsidR="00A9428D" w:rsidRPr="002269DC">
        <w:rPr>
          <w:b/>
        </w:rPr>
        <w:t>most frequency</w:t>
      </w:r>
      <w:r w:rsidR="00A9428D">
        <w:t xml:space="preserve">, whichever is more likely (section </w:t>
      </w:r>
      <w:r w:rsidR="00A9428D" w:rsidRPr="009C70EC">
        <w:t>3.5.3</w:t>
      </w:r>
      <w:r w:rsidR="00A9428D">
        <w:t>)</w:t>
      </w:r>
    </w:p>
    <w:p w14:paraId="3B740448" w14:textId="77777777" w:rsidR="00CD1302" w:rsidRDefault="00CD1302" w:rsidP="00152DF6">
      <w:pPr>
        <w:pStyle w:val="Bullet"/>
        <w:numPr>
          <w:ilvl w:val="0"/>
          <w:numId w:val="13"/>
        </w:numPr>
      </w:pPr>
      <w:r>
        <w:t>be undertaken in accordance with the PM</w:t>
      </w:r>
      <w:r w:rsidRPr="00C44301">
        <w:rPr>
          <w:vertAlign w:val="subscript"/>
        </w:rPr>
        <w:t>10</w:t>
      </w:r>
      <w:r>
        <w:t xml:space="preserve"> monitoring methods specified in Schedule </w:t>
      </w:r>
      <w:r w:rsidR="00FA2232">
        <w:t xml:space="preserve">2 </w:t>
      </w:r>
      <w:r>
        <w:t>of the Regulations.</w:t>
      </w:r>
    </w:p>
    <w:p w14:paraId="6CD50EC7" w14:textId="77777777" w:rsidR="00430875" w:rsidRPr="00B24E45" w:rsidRDefault="00327A43" w:rsidP="00430875">
      <w:pPr>
        <w:pStyle w:val="Heading3"/>
      </w:pPr>
      <w:r>
        <w:t>4.6</w:t>
      </w:r>
      <w:r w:rsidR="00430875" w:rsidRPr="00B24E45">
        <w:t>.</w:t>
      </w:r>
      <w:r w:rsidR="004337E2">
        <w:t>1</w:t>
      </w:r>
      <w:r w:rsidR="00430875" w:rsidRPr="00B24E45">
        <w:tab/>
      </w:r>
      <w:r w:rsidR="000B5E9E">
        <w:t>‘</w:t>
      </w:r>
      <w:r w:rsidR="00430875" w:rsidRPr="00B24E45">
        <w:t>Meaningful</w:t>
      </w:r>
      <w:r w:rsidR="000B5E9E">
        <w:t>’</w:t>
      </w:r>
      <w:r w:rsidR="00430875" w:rsidRPr="00B24E45">
        <w:t xml:space="preserve"> PM</w:t>
      </w:r>
      <w:r w:rsidR="00430875" w:rsidRPr="00B24E45">
        <w:rPr>
          <w:vertAlign w:val="subscript"/>
        </w:rPr>
        <w:t>10</w:t>
      </w:r>
      <w:r w:rsidR="00430875" w:rsidRPr="00B24E45">
        <w:t xml:space="preserve"> data</w:t>
      </w:r>
    </w:p>
    <w:p w14:paraId="44A4D337" w14:textId="77777777" w:rsidR="00430875" w:rsidRDefault="00430875" w:rsidP="00B008DC">
      <w:r>
        <w:t xml:space="preserve">The 2011 amendments to the </w:t>
      </w:r>
      <w:r w:rsidR="00671120">
        <w:t>Regulations</w:t>
      </w:r>
      <w:r>
        <w:t xml:space="preserve"> have inserted a new </w:t>
      </w:r>
      <w:r w:rsidR="00CD1302">
        <w:t xml:space="preserve">Regulation </w:t>
      </w:r>
      <w:r>
        <w:t>16C</w:t>
      </w:r>
      <w:r w:rsidR="00CD1302">
        <w:t xml:space="preserve">.  This </w:t>
      </w:r>
      <w:r w:rsidR="00C500EF">
        <w:t>Regulation</w:t>
      </w:r>
      <w:r w:rsidR="00CD1302">
        <w:t xml:space="preserve"> introduces the concept of </w:t>
      </w:r>
      <w:r w:rsidR="000B5E9E">
        <w:t>‘</w:t>
      </w:r>
      <w:r w:rsidR="00CD1302">
        <w:t>meaningful</w:t>
      </w:r>
      <w:r w:rsidR="000B5E9E">
        <w:t>’</w:t>
      </w:r>
      <w:r w:rsidR="00CD1302">
        <w:t xml:space="preserve"> PM</w:t>
      </w:r>
      <w:r w:rsidR="00CD1302" w:rsidRPr="00CD1302">
        <w:rPr>
          <w:vertAlign w:val="subscript"/>
        </w:rPr>
        <w:t>10</w:t>
      </w:r>
      <w:r w:rsidR="00CD1302">
        <w:t xml:space="preserve"> data and</w:t>
      </w:r>
      <w:r>
        <w:t xml:space="preserve"> states:</w:t>
      </w:r>
    </w:p>
    <w:p w14:paraId="0247C69E" w14:textId="77777777" w:rsidR="00430875" w:rsidRPr="00B24E45" w:rsidRDefault="00430875" w:rsidP="00B008DC"/>
    <w:p w14:paraId="169B4284" w14:textId="77777777" w:rsidR="00430875" w:rsidRPr="00B24E45" w:rsidRDefault="00430875" w:rsidP="0043087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b/>
          <w:i/>
        </w:rPr>
      </w:pPr>
      <w:r w:rsidRPr="00B24E45">
        <w:rPr>
          <w:rFonts w:ascii="Times New Roman" w:hAnsi="Times New Roman" w:cs="Times New Roman"/>
          <w:b/>
          <w:i/>
        </w:rPr>
        <w:t>16C</w:t>
      </w:r>
      <w:r w:rsidRPr="00B24E45">
        <w:rPr>
          <w:rFonts w:ascii="Times New Roman" w:hAnsi="Times New Roman" w:cs="Times New Roman"/>
          <w:b/>
          <w:i/>
        </w:rPr>
        <w:tab/>
        <w:t>Meaningful PM</w:t>
      </w:r>
      <w:r w:rsidRPr="00B24E45">
        <w:rPr>
          <w:rFonts w:ascii="Times New Roman" w:hAnsi="Times New Roman" w:cs="Times New Roman"/>
          <w:b/>
          <w:i/>
          <w:vertAlign w:val="subscript"/>
        </w:rPr>
        <w:t>10</w:t>
      </w:r>
      <w:r w:rsidRPr="00B24E45">
        <w:rPr>
          <w:rFonts w:ascii="Times New Roman" w:hAnsi="Times New Roman" w:cs="Times New Roman"/>
          <w:b/>
          <w:i/>
        </w:rPr>
        <w:t xml:space="preserve"> data for airshed</w:t>
      </w:r>
    </w:p>
    <w:p w14:paraId="5D536E63" w14:textId="77777777" w:rsidR="00430875" w:rsidRPr="00B24E45" w:rsidRDefault="00430875" w:rsidP="0043087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(1)</w:t>
      </w:r>
      <w:r w:rsidRPr="00B24E45">
        <w:rPr>
          <w:rFonts w:ascii="Times New Roman" w:hAnsi="Times New Roman" w:cs="Times New Roman"/>
          <w:i/>
        </w:rPr>
        <w:tab/>
        <w:t>This regulation specifies what is required for an airshed to have meaningful PM</w:t>
      </w:r>
      <w:r w:rsidRPr="00B24E45">
        <w:rPr>
          <w:rFonts w:ascii="Times New Roman" w:hAnsi="Times New Roman" w:cs="Times New Roman"/>
          <w:i/>
          <w:vertAlign w:val="subscript"/>
        </w:rPr>
        <w:t>10</w:t>
      </w:r>
      <w:r w:rsidRPr="00B24E45">
        <w:rPr>
          <w:rFonts w:ascii="Times New Roman" w:hAnsi="Times New Roman" w:cs="Times New Roman"/>
          <w:i/>
        </w:rPr>
        <w:t xml:space="preserve"> data under regulation 16B(2), 16D(2), or 17(4)(a)(i).</w:t>
      </w:r>
    </w:p>
    <w:p w14:paraId="64BEB1CA" w14:textId="77777777" w:rsidR="00430875" w:rsidRPr="00B24E45" w:rsidRDefault="00430875" w:rsidP="00430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24E45">
        <w:rPr>
          <w:rFonts w:ascii="Times New Roman" w:hAnsi="Times New Roman" w:cs="Times New Roman"/>
          <w:i/>
        </w:rPr>
        <w:t>(2)</w:t>
      </w:r>
      <w:r w:rsidRPr="00B24E45">
        <w:rPr>
          <w:rFonts w:ascii="Times New Roman" w:hAnsi="Times New Roman" w:cs="Times New Roman"/>
          <w:i/>
        </w:rPr>
        <w:tab/>
        <w:t>An airshed has meaningful PM</w:t>
      </w:r>
      <w:r w:rsidRPr="00B24E45">
        <w:rPr>
          <w:rFonts w:ascii="Times New Roman" w:hAnsi="Times New Roman" w:cs="Times New Roman"/>
          <w:i/>
          <w:vertAlign w:val="subscript"/>
        </w:rPr>
        <w:t>10</w:t>
      </w:r>
      <w:r w:rsidRPr="00B24E45">
        <w:rPr>
          <w:rFonts w:ascii="Times New Roman" w:hAnsi="Times New Roman" w:cs="Times New Roman"/>
          <w:i/>
        </w:rPr>
        <w:t xml:space="preserve"> data for a 12-month period if,---</w:t>
      </w:r>
    </w:p>
    <w:p w14:paraId="02B78CD2" w14:textId="77777777" w:rsidR="00430875" w:rsidRPr="00B24E45" w:rsidRDefault="00430875" w:rsidP="00430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(a)</w:t>
      </w:r>
      <w:r w:rsidRPr="00B24E45">
        <w:rPr>
          <w:rFonts w:ascii="Times New Roman" w:hAnsi="Times New Roman" w:cs="Times New Roman"/>
          <w:i/>
        </w:rPr>
        <w:tab/>
        <w:t>when the concentration of PM</w:t>
      </w:r>
      <w:r w:rsidRPr="00B24E45">
        <w:rPr>
          <w:rFonts w:ascii="Times New Roman" w:hAnsi="Times New Roman" w:cs="Times New Roman"/>
          <w:i/>
          <w:vertAlign w:val="subscript"/>
        </w:rPr>
        <w:t xml:space="preserve">10 </w:t>
      </w:r>
      <w:r w:rsidRPr="00B24E45">
        <w:rPr>
          <w:rFonts w:ascii="Times New Roman" w:hAnsi="Times New Roman" w:cs="Times New Roman"/>
          <w:i/>
        </w:rPr>
        <w:t>in the airshed was measured during that p</w:t>
      </w:r>
      <w:r w:rsidR="00FA1C2A">
        <w:rPr>
          <w:rFonts w:ascii="Times New Roman" w:hAnsi="Times New Roman" w:cs="Times New Roman"/>
          <w:i/>
        </w:rPr>
        <w:t>eriod, it was measured in a way</w:t>
      </w:r>
      <w:r w:rsidRPr="00B24E45">
        <w:rPr>
          <w:rFonts w:ascii="Times New Roman" w:hAnsi="Times New Roman" w:cs="Times New Roman"/>
          <w:i/>
        </w:rPr>
        <w:t xml:space="preserve"> that allowed 24-hour mean concentrations to be calculated under Schedule 1; and</w:t>
      </w:r>
    </w:p>
    <w:p w14:paraId="56A2001F" w14:textId="77777777" w:rsidR="00430875" w:rsidRPr="00B24E45" w:rsidRDefault="00430875" w:rsidP="00430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(b)</w:t>
      </w:r>
      <w:r w:rsidRPr="00B24E45">
        <w:rPr>
          <w:rFonts w:ascii="Times New Roman" w:hAnsi="Times New Roman" w:cs="Times New Roman"/>
          <w:i/>
        </w:rPr>
        <w:tab/>
        <w:t>the measurements captured data for at least 95% of the 12-month period, after deducting from the duration of the 12-month period any periods of time that were  not covered by measurements because of maintenance or calibration; and</w:t>
      </w:r>
    </w:p>
    <w:p w14:paraId="1FEB8912" w14:textId="77777777" w:rsidR="00430875" w:rsidRPr="00B24E45" w:rsidRDefault="00430875" w:rsidP="00430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24E45">
        <w:rPr>
          <w:rFonts w:ascii="Times New Roman" w:hAnsi="Times New Roman" w:cs="Times New Roman"/>
          <w:i/>
        </w:rPr>
        <w:t>(c)</w:t>
      </w:r>
      <w:r w:rsidRPr="00B24E45">
        <w:rPr>
          <w:rFonts w:ascii="Times New Roman" w:hAnsi="Times New Roman" w:cs="Times New Roman"/>
          <w:i/>
        </w:rPr>
        <w:tab/>
        <w:t>at least 75% of the data captured was valid data.</w:t>
      </w:r>
    </w:p>
    <w:p w14:paraId="29F63FEC" w14:textId="77777777" w:rsidR="002B79CF" w:rsidRDefault="002B79CF" w:rsidP="002B79CF"/>
    <w:p w14:paraId="66FF060A" w14:textId="77777777" w:rsidR="002B79CF" w:rsidRDefault="002B79CF" w:rsidP="002B79CF">
      <w:r>
        <w:t>Meaningful PM</w:t>
      </w:r>
      <w:r w:rsidRPr="002B79CF">
        <w:rPr>
          <w:vertAlign w:val="subscript"/>
        </w:rPr>
        <w:t>10</w:t>
      </w:r>
      <w:r>
        <w:t xml:space="preserve"> data (meaningful data) is required for:</w:t>
      </w:r>
    </w:p>
    <w:p w14:paraId="6097AE82" w14:textId="77777777" w:rsidR="002B79CF" w:rsidRDefault="002B79CF" w:rsidP="00152DF6">
      <w:pPr>
        <w:pStyle w:val="Bullet"/>
        <w:numPr>
          <w:ilvl w:val="0"/>
          <w:numId w:val="13"/>
        </w:numPr>
      </w:pPr>
      <w:r>
        <w:t>Regulation 16B(2) – split targets for compliance with the ambient PM</w:t>
      </w:r>
      <w:r w:rsidRPr="00065F36">
        <w:rPr>
          <w:vertAlign w:val="subscript"/>
        </w:rPr>
        <w:t>10</w:t>
      </w:r>
      <w:r>
        <w:t xml:space="preserve"> standard</w:t>
      </w:r>
    </w:p>
    <w:p w14:paraId="360E9B40" w14:textId="77777777" w:rsidR="002B79CF" w:rsidRDefault="002B79CF" w:rsidP="00152DF6">
      <w:pPr>
        <w:pStyle w:val="Bullet"/>
        <w:numPr>
          <w:ilvl w:val="0"/>
          <w:numId w:val="13"/>
        </w:numPr>
      </w:pPr>
      <w:r>
        <w:t xml:space="preserve">Regulation 16D(2) – calculation of </w:t>
      </w:r>
      <w:r w:rsidR="000D59C2">
        <w:t xml:space="preserve">an </w:t>
      </w:r>
      <w:r>
        <w:t>airshed’s average exceedances of PM</w:t>
      </w:r>
      <w:r w:rsidRPr="00065F36">
        <w:rPr>
          <w:vertAlign w:val="subscript"/>
        </w:rPr>
        <w:t>10</w:t>
      </w:r>
      <w:r>
        <w:t xml:space="preserve"> per year</w:t>
      </w:r>
    </w:p>
    <w:p w14:paraId="6966C0E9" w14:textId="77777777" w:rsidR="002B79CF" w:rsidRDefault="002B79CF" w:rsidP="00152DF6">
      <w:pPr>
        <w:pStyle w:val="Bullet"/>
        <w:numPr>
          <w:ilvl w:val="0"/>
          <w:numId w:val="13"/>
        </w:numPr>
      </w:pPr>
      <w:r>
        <w:t>Regulation 17(4)(a)(i) – determining whether an airshed is polluted</w:t>
      </w:r>
      <w:r w:rsidR="004F25C0">
        <w:t xml:space="preserve"> and therefore whether mandatory offsets </w:t>
      </w:r>
      <w:r w:rsidR="002269DC">
        <w:t>must</w:t>
      </w:r>
      <w:r w:rsidR="004F25C0">
        <w:t xml:space="preserve"> be applied to new resource consents.</w:t>
      </w:r>
    </w:p>
    <w:p w14:paraId="2603A29B" w14:textId="77777777" w:rsidR="00AA0A83" w:rsidRDefault="00AA0A83" w:rsidP="00430AC8"/>
    <w:p w14:paraId="7481E6BA" w14:textId="77777777" w:rsidR="00430AC8" w:rsidRDefault="00B70916" w:rsidP="00430AC8">
      <w:r>
        <w:t xml:space="preserve">The use of meaningful data is intended to </w:t>
      </w:r>
      <w:r w:rsidR="002269DC">
        <w:t xml:space="preserve">ensure that </w:t>
      </w:r>
      <w:r w:rsidR="000D59C2">
        <w:t>sufficient and appropriate</w:t>
      </w:r>
      <w:r w:rsidR="002269DC">
        <w:t xml:space="preserve"> data is </w:t>
      </w:r>
      <w:r w:rsidR="000D59C2">
        <w:t>available to determine</w:t>
      </w:r>
      <w:r w:rsidR="002269DC">
        <w:t xml:space="preserve"> compliance with the Regulations. In this way it will provide certainty that </w:t>
      </w:r>
      <w:r w:rsidR="00FF7F30">
        <w:t xml:space="preserve">nationally equivalent approach </w:t>
      </w:r>
      <w:r w:rsidR="002269DC">
        <w:t>is being used to determine if an exceedance of the ambient PM</w:t>
      </w:r>
      <w:r w:rsidR="002269DC" w:rsidRPr="002269DC">
        <w:rPr>
          <w:vertAlign w:val="subscript"/>
        </w:rPr>
        <w:t>10</w:t>
      </w:r>
      <w:r w:rsidR="002269DC">
        <w:t xml:space="preserve"> standard has occurred. Accordingly, the intent of Regulation 16C is to </w:t>
      </w:r>
      <w:r>
        <w:t>enshrine current best practice for monitoring as detailed in</w:t>
      </w:r>
      <w:r w:rsidR="00430AC8">
        <w:t xml:space="preserve"> the </w:t>
      </w:r>
      <w:r w:rsidR="00430AC8" w:rsidRPr="009C70EC">
        <w:t xml:space="preserve">Good Practice Guide for Air Quality Monitoring and Data Management 2009 </w:t>
      </w:r>
      <w:r w:rsidR="009C70EC" w:rsidRPr="009C70EC">
        <w:t>(MfE</w:t>
      </w:r>
      <w:r w:rsidR="00430AC8" w:rsidRPr="009C70EC">
        <w:t>, 2009</w:t>
      </w:r>
      <w:r w:rsidR="009C70EC" w:rsidRPr="009C70EC">
        <w:t>a</w:t>
      </w:r>
      <w:r w:rsidR="00430AC8" w:rsidRPr="009C70EC">
        <w:t>)</w:t>
      </w:r>
      <w:r w:rsidR="00430AC8">
        <w:t xml:space="preserve"> </w:t>
      </w:r>
      <w:r w:rsidR="0074505D">
        <w:t xml:space="preserve">(the Monitoring GPG) </w:t>
      </w:r>
      <w:r w:rsidR="002269DC">
        <w:t>in the Regulations.</w:t>
      </w:r>
      <w:r w:rsidR="00430AC8">
        <w:t xml:space="preserve"> </w:t>
      </w:r>
    </w:p>
    <w:p w14:paraId="367D6648" w14:textId="77777777" w:rsidR="00430AC8" w:rsidRDefault="00430AC8" w:rsidP="002B79CF"/>
    <w:p w14:paraId="03C9A39D" w14:textId="77777777" w:rsidR="002B79CF" w:rsidRDefault="00AF09BD" w:rsidP="002B79CF">
      <w:r>
        <w:t>In practice, the majority of airsheds, with PM</w:t>
      </w:r>
      <w:r>
        <w:rPr>
          <w:vertAlign w:val="subscript"/>
        </w:rPr>
        <w:t>10</w:t>
      </w:r>
      <w:r>
        <w:t xml:space="preserve"> concentrations of concern, already have meaningful monitoring data for at least one year, and usually more</w:t>
      </w:r>
      <w:r w:rsidR="00430AC8">
        <w:t>.</w:t>
      </w:r>
      <w:r w:rsidR="00B70916">
        <w:t xml:space="preserve"> </w:t>
      </w:r>
    </w:p>
    <w:p w14:paraId="69966E23" w14:textId="77777777" w:rsidR="00B70916" w:rsidRDefault="00B70916" w:rsidP="002B79CF"/>
    <w:p w14:paraId="4B0C2615" w14:textId="77777777" w:rsidR="002B79CF" w:rsidRDefault="00957BD3" w:rsidP="002B79CF">
      <w:r>
        <w:t>Meaningful data</w:t>
      </w:r>
      <w:r w:rsidR="002B79CF">
        <w:t xml:space="preserve"> is not required </w:t>
      </w:r>
      <w:r w:rsidR="00B42301">
        <w:t>by the Regulation</w:t>
      </w:r>
      <w:r w:rsidR="00C27707">
        <w:t>s</w:t>
      </w:r>
      <w:r w:rsidR="00B42301">
        <w:t xml:space="preserve"> for</w:t>
      </w:r>
      <w:r w:rsidR="002B79CF">
        <w:t xml:space="preserve"> any of the other ambient pollutants</w:t>
      </w:r>
      <w:r w:rsidR="004F25C0">
        <w:t xml:space="preserve"> (discussed in Chapter 3).</w:t>
      </w:r>
      <w:r w:rsidR="002B79CF">
        <w:t xml:space="preserve"> </w:t>
      </w:r>
      <w:r w:rsidR="00B42301">
        <w:t>However, the Monitoring GPG</w:t>
      </w:r>
      <w:r w:rsidR="00F047C1">
        <w:t xml:space="preserve"> (MfE, 2009a) recommends that </w:t>
      </w:r>
      <w:r w:rsidR="00C27707">
        <w:t>all monitoring sites achieve at least 75% valid data for averaging and 95% data capture (ie, meaningful data).</w:t>
      </w:r>
      <w:r w:rsidR="00F047C1">
        <w:t xml:space="preserve"> </w:t>
      </w:r>
    </w:p>
    <w:p w14:paraId="2C1DC6A7" w14:textId="77777777" w:rsidR="0074505D" w:rsidRDefault="0074505D" w:rsidP="005D78BC">
      <w:pPr>
        <w:pStyle w:val="Heading4"/>
        <w:keepNext w:val="0"/>
      </w:pPr>
      <w:r>
        <w:t>What is meaningful data?</w:t>
      </w:r>
    </w:p>
    <w:p w14:paraId="0D5AB20A" w14:textId="77777777" w:rsidR="009C45A2" w:rsidRDefault="00AE543A" w:rsidP="005D78BC">
      <w:r>
        <w:t>Regulation 16C defines meaningfu</w:t>
      </w:r>
      <w:r w:rsidR="00065F36">
        <w:t xml:space="preserve">l data for a 12-month period </w:t>
      </w:r>
      <w:r w:rsidR="000C438B">
        <w:t xml:space="preserve">as data </w:t>
      </w:r>
      <w:r w:rsidR="009C45A2">
        <w:t>capture</w:t>
      </w:r>
      <w:r w:rsidR="000C438B">
        <w:t>d</w:t>
      </w:r>
      <w:r w:rsidR="009C45A2">
        <w:t xml:space="preserve"> </w:t>
      </w:r>
      <w:r w:rsidR="000C438B">
        <w:t>for at least</w:t>
      </w:r>
      <w:r>
        <w:t xml:space="preserve"> 95</w:t>
      </w:r>
      <w:r w:rsidR="00C27707">
        <w:t>%</w:t>
      </w:r>
      <w:r w:rsidR="00CB4921">
        <w:t xml:space="preserve"> </w:t>
      </w:r>
      <w:r w:rsidR="000C438B">
        <w:t>of any</w:t>
      </w:r>
      <w:r>
        <w:t xml:space="preserve"> 12-month period</w:t>
      </w:r>
      <w:r w:rsidR="009C45A2">
        <w:t xml:space="preserve"> (excluding </w:t>
      </w:r>
      <w:r w:rsidR="000C438B">
        <w:t>any</w:t>
      </w:r>
      <w:r w:rsidR="009C45A2">
        <w:t xml:space="preserve"> period</w:t>
      </w:r>
      <w:r w:rsidR="000C438B">
        <w:t>s</w:t>
      </w:r>
      <w:r w:rsidR="009C45A2">
        <w:t xml:space="preserve"> for calibration and maintenance)</w:t>
      </w:r>
      <w:r w:rsidR="000C438B">
        <w:t xml:space="preserve">. Further, at </w:t>
      </w:r>
      <w:r w:rsidR="00065F36">
        <w:t>least 75</w:t>
      </w:r>
      <w:r w:rsidR="00C27707">
        <w:t xml:space="preserve">% </w:t>
      </w:r>
      <w:r w:rsidR="00065F36">
        <w:t xml:space="preserve">of the </w:t>
      </w:r>
      <w:r w:rsidR="00266A44">
        <w:t xml:space="preserve">data </w:t>
      </w:r>
      <w:r w:rsidR="000C438B">
        <w:t>must be</w:t>
      </w:r>
      <w:r w:rsidR="00065F36">
        <w:t xml:space="preserve"> valid data. </w:t>
      </w:r>
    </w:p>
    <w:p w14:paraId="6B6CD40A" w14:textId="77777777" w:rsidR="00AE543A" w:rsidRDefault="00AE543A" w:rsidP="005D78BC"/>
    <w:p w14:paraId="490F7C7E" w14:textId="77777777" w:rsidR="009701F1" w:rsidRDefault="009701F1" w:rsidP="009701F1">
      <w:r>
        <w:t xml:space="preserve">Data capture is </w:t>
      </w:r>
      <w:r w:rsidR="00705A03">
        <w:t xml:space="preserve">a quality assurance indicator. </w:t>
      </w:r>
      <w:r>
        <w:t>That is, trying to minimise unplanned outages of a monitor and prevent larg</w:t>
      </w:r>
      <w:r w:rsidR="00705A03">
        <w:t>e periods of data being missed.</w:t>
      </w:r>
      <w:r>
        <w:t xml:space="preserve"> Periods of data will still be lost for calibration and maintenance.</w:t>
      </w:r>
    </w:p>
    <w:p w14:paraId="7227C729" w14:textId="77777777" w:rsidR="009701F1" w:rsidRDefault="009701F1" w:rsidP="009701F1"/>
    <w:p w14:paraId="7B10647B" w14:textId="77777777" w:rsidR="009701F1" w:rsidRDefault="00AF09BD" w:rsidP="009701F1">
      <w:r>
        <w:t>Valid data is data that has been through a process to remove any data values that do not reflect act</w:t>
      </w:r>
      <w:r w:rsidR="00705A03">
        <w:t>ual conditions being monitored.</w:t>
      </w:r>
      <w:r>
        <w:t xml:space="preserve"> For example, sometimes monitors register spurious values. </w:t>
      </w:r>
      <w:r>
        <w:rPr>
          <w:rFonts w:ascii="Times-Roman" w:hAnsi="Times-Roman" w:cs="Times-Roman"/>
        </w:rPr>
        <w:t xml:space="preserve"> For example inadequate or faulty heating of the inlet air on some particulate monitors can allow moisture to affect the sample, giving rise to large positive spikes, normally followed by large negative spikes.</w:t>
      </w:r>
    </w:p>
    <w:p w14:paraId="3EEBB4CD" w14:textId="77777777" w:rsidR="009701F1" w:rsidRDefault="009701F1" w:rsidP="009701F1"/>
    <w:p w14:paraId="7383E886" w14:textId="77777777" w:rsidR="009701F1" w:rsidRDefault="009701F1" w:rsidP="009701F1">
      <w:r>
        <w:t>In the context of Regulation 16C, valid data attempts to ensure that monitoring data is ‘real’ and representative of the averaging period. A requirement for 75</w:t>
      </w:r>
      <w:r w:rsidR="00C27707">
        <w:t>%</w:t>
      </w:r>
      <w:r>
        <w:t xml:space="preserve"> ensures that the data is representative of what might occur within a year – ie, both winter and summer. </w:t>
      </w:r>
    </w:p>
    <w:p w14:paraId="267C4488" w14:textId="77777777" w:rsidR="0056555C" w:rsidRDefault="0074505D" w:rsidP="005D78BC">
      <w:r w:rsidRPr="0074505D">
        <w:t xml:space="preserve">Section 8.7 of the </w:t>
      </w:r>
      <w:r w:rsidRPr="00B42301">
        <w:t>Monitoring GPG</w:t>
      </w:r>
      <w:r w:rsidRPr="0074505D">
        <w:t xml:space="preserve"> (MfE </w:t>
      </w:r>
      <w:r w:rsidRPr="00B42301">
        <w:t>2009</w:t>
      </w:r>
      <w:r w:rsidR="00B42301" w:rsidRPr="00B42301">
        <w:t>a</w:t>
      </w:r>
      <w:r w:rsidRPr="00B42301">
        <w:t>)</w:t>
      </w:r>
      <w:r>
        <w:t xml:space="preserve"> discusses missing data</w:t>
      </w:r>
      <w:r w:rsidR="00065F36">
        <w:t xml:space="preserve"> (ie, meaningful data)</w:t>
      </w:r>
      <w:r>
        <w:t xml:space="preserve"> and states</w:t>
      </w:r>
      <w:r w:rsidR="00AA7F87">
        <w:t>:</w:t>
      </w:r>
      <w:r>
        <w:t xml:space="preserve"> </w:t>
      </w:r>
    </w:p>
    <w:p w14:paraId="085DE5F5" w14:textId="77777777" w:rsidR="0074505D" w:rsidRDefault="0074505D" w:rsidP="005D78BC"/>
    <w:p w14:paraId="154BA599" w14:textId="77777777" w:rsidR="00AA7F87" w:rsidRPr="00AA7F87" w:rsidRDefault="009C45A2" w:rsidP="005D78BC">
      <w:pPr>
        <w:ind w:left="567"/>
        <w:rPr>
          <w:i/>
          <w:sz w:val="20"/>
        </w:rPr>
      </w:pPr>
      <w:r>
        <w:rPr>
          <w:i/>
          <w:sz w:val="20"/>
        </w:rPr>
        <w:t>"</w:t>
      </w:r>
      <w:r w:rsidR="00AA7F87" w:rsidRPr="00AA7F87">
        <w:rPr>
          <w:i/>
          <w:sz w:val="20"/>
        </w:rPr>
        <w:t>No monitoring record is ever complete. There will inevitably be periods of missing data – some deliberate and necessary, such as calibration periods – but most unforeseen, such as equipment failures, power outages, bias and drifts. Even in the most diligently operated monitoring networks it is difficult to reach anything close to 100 per cent valid data for long-term monitoring.</w:t>
      </w:r>
    </w:p>
    <w:p w14:paraId="121C9DE6" w14:textId="77777777" w:rsidR="00AA7F87" w:rsidRPr="00AA7F87" w:rsidRDefault="00AA7F87" w:rsidP="005D78BC">
      <w:pPr>
        <w:ind w:left="567"/>
        <w:rPr>
          <w:i/>
          <w:sz w:val="20"/>
        </w:rPr>
      </w:pPr>
    </w:p>
    <w:p w14:paraId="6EE246AF" w14:textId="77777777" w:rsidR="00AA7F87" w:rsidRPr="00AA7F87" w:rsidRDefault="00AA7F87" w:rsidP="005D78BC">
      <w:pPr>
        <w:ind w:left="567"/>
        <w:rPr>
          <w:i/>
          <w:sz w:val="20"/>
        </w:rPr>
      </w:pPr>
      <w:r w:rsidRPr="00AA7F87">
        <w:rPr>
          <w:i/>
          <w:sz w:val="20"/>
        </w:rPr>
        <w:t>Note that calculation of data capture normally excludes down time for routine calibrations and maintenance while the per cent valid data calculation includes this down time. Slight bias, drifts or calibration shifts can often be dealt with, but complete outages need special consideration.</w:t>
      </w:r>
    </w:p>
    <w:p w14:paraId="79BEA85F" w14:textId="77777777" w:rsidR="00AA7F87" w:rsidRPr="00AA7F87" w:rsidRDefault="00AA7F87" w:rsidP="00AA7F87">
      <w:pPr>
        <w:keepNext/>
        <w:ind w:left="567"/>
        <w:rPr>
          <w:i/>
          <w:sz w:val="20"/>
        </w:rPr>
      </w:pPr>
    </w:p>
    <w:p w14:paraId="224E4E02" w14:textId="77777777" w:rsidR="00AA7F87" w:rsidRPr="00AA7F87" w:rsidRDefault="00AA7F87" w:rsidP="005D78BC">
      <w:pPr>
        <w:ind w:left="567"/>
        <w:rPr>
          <w:i/>
          <w:sz w:val="20"/>
        </w:rPr>
      </w:pPr>
      <w:r w:rsidRPr="00AA7F87">
        <w:rPr>
          <w:i/>
          <w:sz w:val="20"/>
        </w:rPr>
        <w:t>The diagram below shows an example of a data capture rate and per cent valid data calculation</w:t>
      </w:r>
    </w:p>
    <w:p w14:paraId="31136231" w14:textId="5566FDF7" w:rsidR="00AA7F87" w:rsidRDefault="0043717E" w:rsidP="005D78BC">
      <w:pPr>
        <w:ind w:left="567"/>
      </w:pPr>
      <w:r w:rsidRPr="008D79FF">
        <w:rPr>
          <w:noProof/>
          <w:lang w:val="en-US"/>
        </w:rPr>
        <w:drawing>
          <wp:inline distT="0" distB="0" distL="0" distR="0" wp14:anchorId="6549FE63" wp14:editId="194DB6B5">
            <wp:extent cx="5029200" cy="2447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9200" cy="2447925"/>
                    </a:xfrm>
                    <a:prstGeom prst="rect">
                      <a:avLst/>
                    </a:prstGeom>
                    <a:noFill/>
                    <a:ln>
                      <a:noFill/>
                    </a:ln>
                  </pic:spPr>
                </pic:pic>
              </a:graphicData>
            </a:graphic>
          </wp:inline>
        </w:drawing>
      </w:r>
    </w:p>
    <w:p w14:paraId="4FAAC5DF" w14:textId="77777777" w:rsidR="00AA7F87" w:rsidRDefault="00AA7F87" w:rsidP="005D78BC">
      <w:pPr>
        <w:ind w:left="567"/>
      </w:pPr>
    </w:p>
    <w:p w14:paraId="6575CE35" w14:textId="77777777" w:rsidR="00AA7F87" w:rsidRPr="00AE543A" w:rsidRDefault="00AA7F87" w:rsidP="005D78BC">
      <w:pPr>
        <w:autoSpaceDE w:val="0"/>
        <w:autoSpaceDN w:val="0"/>
        <w:adjustRightInd w:val="0"/>
        <w:ind w:left="567"/>
        <w:rPr>
          <w:i/>
          <w:sz w:val="20"/>
          <w:lang w:eastAsia="en-NZ"/>
        </w:rPr>
      </w:pPr>
      <w:r w:rsidRPr="00AE543A">
        <w:rPr>
          <w:i/>
          <w:sz w:val="20"/>
          <w:lang w:eastAsia="en-NZ"/>
        </w:rPr>
        <w:t>Interpolation or extrapolation to fill in missing data should not be used in the process of producing a basic quality-assured data set, and the missing data should be left as a gap…</w:t>
      </w:r>
    </w:p>
    <w:p w14:paraId="7374AB0E" w14:textId="77777777" w:rsidR="00D66F90" w:rsidRDefault="00D66F90" w:rsidP="00AA7F87">
      <w:pPr>
        <w:autoSpaceDE w:val="0"/>
        <w:autoSpaceDN w:val="0"/>
        <w:adjustRightInd w:val="0"/>
        <w:ind w:left="567"/>
        <w:rPr>
          <w:szCs w:val="22"/>
          <w:lang w:eastAsia="en-NZ"/>
        </w:rPr>
      </w:pPr>
    </w:p>
    <w:p w14:paraId="5DD33630" w14:textId="77777777" w:rsidR="00D66F90" w:rsidRPr="00AE543A" w:rsidRDefault="00D66F90" w:rsidP="00AA7F87">
      <w:pPr>
        <w:autoSpaceDE w:val="0"/>
        <w:autoSpaceDN w:val="0"/>
        <w:adjustRightInd w:val="0"/>
        <w:ind w:left="567"/>
        <w:rPr>
          <w:i/>
          <w:sz w:val="20"/>
          <w:lang w:eastAsia="en-NZ"/>
        </w:rPr>
      </w:pPr>
      <w:r w:rsidRPr="00AE543A">
        <w:rPr>
          <w:i/>
          <w:sz w:val="20"/>
          <w:lang w:eastAsia="en-NZ"/>
        </w:rPr>
        <w:t>Sites used for compliance monitoring [of an ambient standard] should achieve at least:</w:t>
      </w:r>
    </w:p>
    <w:p w14:paraId="0AD2C441" w14:textId="77777777" w:rsidR="00D66F90" w:rsidRPr="00AE543A" w:rsidRDefault="00D66F90" w:rsidP="00152DF6">
      <w:pPr>
        <w:pStyle w:val="Bullet"/>
        <w:numPr>
          <w:ilvl w:val="0"/>
          <w:numId w:val="13"/>
        </w:numPr>
        <w:ind w:left="993"/>
        <w:rPr>
          <w:i/>
          <w:sz w:val="20"/>
        </w:rPr>
      </w:pPr>
      <w:r w:rsidRPr="00AE543A">
        <w:rPr>
          <w:i/>
          <w:sz w:val="20"/>
        </w:rPr>
        <w:t>75% valid data for averaging</w:t>
      </w:r>
    </w:p>
    <w:p w14:paraId="52BFABE8" w14:textId="77777777" w:rsidR="00D66F90" w:rsidRPr="00AE543A" w:rsidRDefault="00D66F90" w:rsidP="00152DF6">
      <w:pPr>
        <w:pStyle w:val="Bullet"/>
        <w:numPr>
          <w:ilvl w:val="0"/>
          <w:numId w:val="13"/>
        </w:numPr>
        <w:ind w:left="993"/>
        <w:rPr>
          <w:i/>
          <w:sz w:val="20"/>
        </w:rPr>
      </w:pPr>
      <w:r w:rsidRPr="00AE543A">
        <w:rPr>
          <w:i/>
          <w:sz w:val="20"/>
        </w:rPr>
        <w:t>95% data capture</w:t>
      </w:r>
    </w:p>
    <w:p w14:paraId="1E32C943" w14:textId="77777777" w:rsidR="00D66F90" w:rsidRDefault="00D66F90" w:rsidP="00AA7F87">
      <w:pPr>
        <w:autoSpaceDE w:val="0"/>
        <w:autoSpaceDN w:val="0"/>
        <w:adjustRightInd w:val="0"/>
        <w:ind w:left="567"/>
        <w:rPr>
          <w:szCs w:val="22"/>
          <w:lang w:eastAsia="en-NZ"/>
        </w:rPr>
      </w:pPr>
    </w:p>
    <w:p w14:paraId="1D5FCAFC" w14:textId="09E0EF98" w:rsidR="00D66F90" w:rsidRPr="00AE543A" w:rsidRDefault="0043717E" w:rsidP="00AA7F87">
      <w:pPr>
        <w:autoSpaceDE w:val="0"/>
        <w:autoSpaceDN w:val="0"/>
        <w:adjustRightInd w:val="0"/>
        <w:ind w:left="567"/>
        <w:rPr>
          <w:sz w:val="20"/>
          <w:szCs w:val="22"/>
          <w:lang w:eastAsia="en-NZ"/>
        </w:rPr>
      </w:pPr>
      <m:oMath>
        <m:r>
          <w:rPr>
            <w:rFonts w:ascii="Cambria Math" w:hAnsi="Cambria Math"/>
            <w:sz w:val="20"/>
            <w:szCs w:val="22"/>
            <w:lang w:eastAsia="en-NZ"/>
          </w:rPr>
          <m:t>Percent valid data for averaging=</m:t>
        </m:r>
        <m:f>
          <m:fPr>
            <m:ctrlPr>
              <w:rPr>
                <w:rFonts w:ascii="Cambria Math" w:hAnsi="Cambria Math"/>
                <w:sz w:val="20"/>
                <w:szCs w:val="22"/>
                <w:lang w:eastAsia="en-NZ"/>
              </w:rPr>
            </m:ctrlPr>
          </m:fPr>
          <m:num>
            <m:r>
              <w:rPr>
                <w:rFonts w:ascii="Cambria Math" w:hAnsi="Cambria Math"/>
                <w:sz w:val="20"/>
                <w:szCs w:val="22"/>
                <w:lang w:eastAsia="en-NZ"/>
              </w:rPr>
              <m:t>number of valid data points obtained</m:t>
            </m:r>
          </m:num>
          <m:den>
            <m:r>
              <w:rPr>
                <w:rFonts w:ascii="Cambria Math" w:hAnsi="Cambria Math"/>
                <w:sz w:val="20"/>
                <w:szCs w:val="22"/>
                <w:lang w:eastAsia="en-NZ"/>
              </w:rPr>
              <m:t>total number of data points in the averaging period</m:t>
            </m:r>
          </m:den>
        </m:f>
      </m:oMath>
      <w:r w:rsidR="00AE543A">
        <w:rPr>
          <w:sz w:val="20"/>
          <w:szCs w:val="22"/>
          <w:lang w:eastAsia="en-NZ"/>
        </w:rPr>
        <w:t xml:space="preserve"> </w:t>
      </w:r>
    </w:p>
    <w:p w14:paraId="7EFAEF7F" w14:textId="77777777" w:rsidR="00D66F90" w:rsidRPr="00AA7F87" w:rsidRDefault="00D66F90" w:rsidP="00AA7F87">
      <w:pPr>
        <w:autoSpaceDE w:val="0"/>
        <w:autoSpaceDN w:val="0"/>
        <w:adjustRightInd w:val="0"/>
        <w:ind w:left="567"/>
        <w:rPr>
          <w:szCs w:val="22"/>
          <w:lang w:eastAsia="en-NZ"/>
        </w:rPr>
      </w:pPr>
    </w:p>
    <w:p w14:paraId="7BC2E60D" w14:textId="2ABC3F1C" w:rsidR="00AA7F87" w:rsidRPr="00AA7F87" w:rsidRDefault="0043717E" w:rsidP="00AE543A">
      <w:pPr>
        <w:autoSpaceDE w:val="0"/>
        <w:autoSpaceDN w:val="0"/>
        <w:adjustRightInd w:val="0"/>
        <w:ind w:left="567"/>
        <w:rPr>
          <w:szCs w:val="22"/>
          <w:lang w:eastAsia="en-NZ"/>
        </w:rPr>
      </w:pPr>
      <m:oMath>
        <m:r>
          <w:rPr>
            <w:rFonts w:ascii="Cambria Math" w:hAnsi="Cambria Math"/>
            <w:sz w:val="20"/>
            <w:szCs w:val="22"/>
            <w:lang w:eastAsia="en-NZ"/>
          </w:rPr>
          <m:t>Data capture rate=</m:t>
        </m:r>
        <m:f>
          <m:fPr>
            <m:ctrlPr>
              <w:rPr>
                <w:rFonts w:ascii="Cambria Math" w:hAnsi="Cambria Math"/>
                <w:sz w:val="20"/>
                <w:szCs w:val="22"/>
                <w:lang w:eastAsia="en-NZ"/>
              </w:rPr>
            </m:ctrlPr>
          </m:fPr>
          <m:num>
            <m:r>
              <w:rPr>
                <w:rFonts w:ascii="Cambria Math" w:hAnsi="Cambria Math"/>
                <w:sz w:val="20"/>
                <w:szCs w:val="22"/>
                <w:lang w:eastAsia="en-NZ"/>
              </w:rPr>
              <m:t>number of valid data points obtained</m:t>
            </m:r>
          </m:num>
          <m:den>
            <m:r>
              <w:rPr>
                <w:rFonts w:ascii="Cambria Math" w:hAnsi="Cambria Math"/>
                <w:sz w:val="20"/>
                <w:szCs w:val="22"/>
                <w:lang w:eastAsia="en-NZ"/>
              </w:rPr>
              <m:t>total number of data points for the period-calibration and maintenancedata points</m:t>
            </m:r>
          </m:den>
        </m:f>
      </m:oMath>
      <w:r w:rsidR="00AE543A">
        <w:rPr>
          <w:szCs w:val="22"/>
          <w:lang w:eastAsia="en-NZ"/>
        </w:rPr>
        <w:t xml:space="preserve"> </w:t>
      </w:r>
    </w:p>
    <w:p w14:paraId="7F0077EE" w14:textId="77777777" w:rsidR="00475002" w:rsidRDefault="00475002" w:rsidP="00475002"/>
    <w:p w14:paraId="5005E55D" w14:textId="77777777" w:rsidR="00475002" w:rsidRPr="00116F16" w:rsidRDefault="007A27B5" w:rsidP="00475002">
      <w:r w:rsidRPr="00116F16">
        <w:t>It must be noted that i</w:t>
      </w:r>
      <w:r w:rsidR="00475002" w:rsidRPr="00116F16">
        <w:t>n order to calculate an average for any monitoring period there must be at least 75% of the data points that make up that period considered to be valid. 1-hour averages are calculated from 10-minute averages, 24-hour averages are calculated from 1-hour averages, and annual averages are calculated from 24-hour averages. Therefore to calculate:</w:t>
      </w:r>
    </w:p>
    <w:p w14:paraId="0D3CFD06" w14:textId="77777777" w:rsidR="00475002" w:rsidRPr="00116F16" w:rsidRDefault="00475002" w:rsidP="00475002">
      <w:pPr>
        <w:pStyle w:val="Bullet"/>
        <w:numPr>
          <w:ilvl w:val="0"/>
          <w:numId w:val="13"/>
        </w:numPr>
      </w:pPr>
      <w:r w:rsidRPr="00116F16">
        <w:t xml:space="preserve">a 1-hour average, a minimum of 5 </w:t>
      </w:r>
      <w:r w:rsidR="007A27B5" w:rsidRPr="00116F16">
        <w:t xml:space="preserve">individual 10-minute averages out </w:t>
      </w:r>
      <w:r w:rsidRPr="00116F16">
        <w:t>of the</w:t>
      </w:r>
      <w:r w:rsidR="007A27B5" w:rsidRPr="00116F16">
        <w:t xml:space="preserve"> possible </w:t>
      </w:r>
      <w:r w:rsidRPr="00116F16">
        <w:t>6</w:t>
      </w:r>
      <w:r w:rsidR="007A27B5" w:rsidRPr="00116F16">
        <w:t xml:space="preserve"> is required,</w:t>
      </w:r>
      <w:r w:rsidRPr="00116F16">
        <w:t xml:space="preserve"> (ie, 6 10-minute periods x 75% = 4.5 which is rounded to 5)</w:t>
      </w:r>
    </w:p>
    <w:p w14:paraId="77C399A8" w14:textId="77777777" w:rsidR="00475002" w:rsidRPr="00116F16" w:rsidRDefault="00475002" w:rsidP="00475002">
      <w:pPr>
        <w:pStyle w:val="Bullet"/>
        <w:numPr>
          <w:ilvl w:val="0"/>
          <w:numId w:val="13"/>
        </w:numPr>
      </w:pPr>
      <w:r w:rsidRPr="00116F16">
        <w:t xml:space="preserve">a 24-hour average,  a minimum of 18 </w:t>
      </w:r>
      <w:r w:rsidR="007A27B5" w:rsidRPr="00116F16">
        <w:t>individual 1-hour averages out of the possible</w:t>
      </w:r>
      <w:r w:rsidRPr="00116F16">
        <w:t xml:space="preserve"> 24 </w:t>
      </w:r>
      <w:r w:rsidR="007A27B5" w:rsidRPr="00116F16">
        <w:t xml:space="preserve">is required </w:t>
      </w:r>
      <w:r w:rsidRPr="00116F16">
        <w:t>(ie, 24 1-hour periods x 75% = 18)</w:t>
      </w:r>
    </w:p>
    <w:p w14:paraId="25EAB101" w14:textId="77777777" w:rsidR="00475002" w:rsidRPr="00116F16" w:rsidRDefault="00475002" w:rsidP="00475002">
      <w:pPr>
        <w:pStyle w:val="Bullet"/>
        <w:numPr>
          <w:ilvl w:val="0"/>
          <w:numId w:val="13"/>
        </w:numPr>
      </w:pPr>
      <w:r w:rsidRPr="00116F16">
        <w:t xml:space="preserve">an annual average, a minimum of 274 </w:t>
      </w:r>
      <w:r w:rsidR="007A27B5" w:rsidRPr="00116F16">
        <w:t xml:space="preserve">individual </w:t>
      </w:r>
      <w:r w:rsidRPr="00116F16">
        <w:t>24-hour averages in a 12-month period (</w:t>
      </w:r>
      <w:r w:rsidR="007A27B5" w:rsidRPr="00116F16">
        <w:t xml:space="preserve">ie, </w:t>
      </w:r>
      <w:r w:rsidRPr="00116F16">
        <w:t>365</w:t>
      </w:r>
      <w:r w:rsidR="007A27B5" w:rsidRPr="00116F16">
        <w:t xml:space="preserve"> 24-hour periods x 75% </w:t>
      </w:r>
      <w:r w:rsidRPr="00116F16">
        <w:t>=</w:t>
      </w:r>
      <w:r w:rsidR="007A27B5" w:rsidRPr="00116F16">
        <w:t xml:space="preserve"> </w:t>
      </w:r>
      <w:r w:rsidRPr="00116F16">
        <w:t>273.75</w:t>
      </w:r>
      <w:r w:rsidR="007A27B5" w:rsidRPr="00116F16">
        <w:t xml:space="preserve"> (which is rounded to</w:t>
      </w:r>
      <w:r w:rsidRPr="00116F16">
        <w:t xml:space="preserve"> 274</w:t>
      </w:r>
      <w:r w:rsidR="007A27B5" w:rsidRPr="00116F16">
        <w:t>).</w:t>
      </w:r>
    </w:p>
    <w:p w14:paraId="3795274A" w14:textId="77777777" w:rsidR="00146042" w:rsidRDefault="00146042" w:rsidP="00146042">
      <w:pPr>
        <w:pStyle w:val="Heading5"/>
      </w:pPr>
      <w:r w:rsidRPr="00146042">
        <w:t>What about monitor c</w:t>
      </w:r>
      <w:r w:rsidR="00461DBB" w:rsidRPr="00146042">
        <w:t>alibration</w:t>
      </w:r>
      <w:r w:rsidRPr="00146042">
        <w:t xml:space="preserve"> and m</w:t>
      </w:r>
      <w:r w:rsidR="00461DBB" w:rsidRPr="00146042">
        <w:t>aintenance</w:t>
      </w:r>
      <w:r w:rsidRPr="00146042">
        <w:t>?</w:t>
      </w:r>
    </w:p>
    <w:p w14:paraId="70111700" w14:textId="77777777" w:rsidR="00146042" w:rsidRDefault="00146042" w:rsidP="00461DBB">
      <w:r>
        <w:t xml:space="preserve">In accordance with the </w:t>
      </w:r>
      <w:r w:rsidRPr="00146042">
        <w:rPr>
          <w:i/>
        </w:rPr>
        <w:t>Monitoring GPG</w:t>
      </w:r>
      <w:r>
        <w:t xml:space="preserve"> (</w:t>
      </w:r>
      <w:r w:rsidRPr="00266A44">
        <w:t>MfE, 2009</w:t>
      </w:r>
      <w:r w:rsidR="00266A44">
        <w:t>a</w:t>
      </w:r>
      <w:r w:rsidRPr="00266A44">
        <w:t>)</w:t>
      </w:r>
      <w:r w:rsidR="00266A44">
        <w:t xml:space="preserve"> monitor down</w:t>
      </w:r>
      <w:r>
        <w:t xml:space="preserve">time for calibration and maintenance is excluded from the </w:t>
      </w:r>
      <w:r w:rsidR="002F54A1">
        <w:t xml:space="preserve">data capture </w:t>
      </w:r>
      <w:r>
        <w:t xml:space="preserve">requirements. </w:t>
      </w:r>
    </w:p>
    <w:p w14:paraId="5AAC4206" w14:textId="77777777" w:rsidR="00601593" w:rsidRDefault="00601593" w:rsidP="00601593">
      <w:pPr>
        <w:pStyle w:val="Heading5"/>
      </w:pPr>
      <w:r>
        <w:t>Multiple monitors within an airshed with meaningful data</w:t>
      </w:r>
    </w:p>
    <w:p w14:paraId="1D6DD718" w14:textId="77777777" w:rsidR="00601593" w:rsidRDefault="00601593" w:rsidP="00461DBB">
      <w:r>
        <w:t>Large airsheds (eg, Auckland)</w:t>
      </w:r>
      <w:r w:rsidR="00981755">
        <w:t>,</w:t>
      </w:r>
      <w:r>
        <w:t xml:space="preserve"> or airsheds with complex terrain or source characteristics </w:t>
      </w:r>
      <w:r w:rsidR="000414E5">
        <w:br/>
      </w:r>
      <w:r>
        <w:t>(eg, Nelson)</w:t>
      </w:r>
      <w:r w:rsidR="00981755">
        <w:t>, or airsheds with multiple urban areas (eg, Otago)</w:t>
      </w:r>
      <w:r w:rsidR="000414E5">
        <w:t xml:space="preserve"> may require several monitors. </w:t>
      </w:r>
      <w:r>
        <w:t xml:space="preserve">This can mean that several monitors </w:t>
      </w:r>
      <w:r w:rsidRPr="00981755">
        <w:rPr>
          <w:i/>
        </w:rPr>
        <w:t>within</w:t>
      </w:r>
      <w:r>
        <w:t xml:space="preserve"> an airshed may have meaningful data.  </w:t>
      </w:r>
    </w:p>
    <w:p w14:paraId="19E17150" w14:textId="77777777" w:rsidR="00601593" w:rsidRDefault="00601593" w:rsidP="00461DBB"/>
    <w:p w14:paraId="78C4C960" w14:textId="77777777" w:rsidR="00601593" w:rsidRDefault="00601593" w:rsidP="005D78BC">
      <w:r>
        <w:t>For the purpose of compliance with the Regulations</w:t>
      </w:r>
      <w:r w:rsidR="00957BD3">
        <w:t>,</w:t>
      </w:r>
      <w:r>
        <w:t xml:space="preserve"> an airshed is deemed to have meaningful data for the entire airshed provided at least one monitor </w:t>
      </w:r>
      <w:r w:rsidR="00266A44">
        <w:t xml:space="preserve">that is representative of the airshed </w:t>
      </w:r>
      <w:r>
        <w:t xml:space="preserve">has meaningful data for the 12-month period.  </w:t>
      </w:r>
    </w:p>
    <w:p w14:paraId="306E545F" w14:textId="77777777" w:rsidR="00601593" w:rsidRDefault="00601593" w:rsidP="005D78BC"/>
    <w:p w14:paraId="13A79AF4" w14:textId="77777777" w:rsidR="00E45D9C" w:rsidRDefault="00601593" w:rsidP="005D78BC">
      <w:r>
        <w:t xml:space="preserve">An airshed with multiple monitors that </w:t>
      </w:r>
      <w:r w:rsidRPr="00981755">
        <w:rPr>
          <w:i/>
        </w:rPr>
        <w:t>cumulatively</w:t>
      </w:r>
      <w:r>
        <w:t xml:space="preserve"> have </w:t>
      </w:r>
      <w:r w:rsidR="00981755">
        <w:t xml:space="preserve">only </w:t>
      </w:r>
      <w:r>
        <w:t xml:space="preserve">12 months of meaningful data between the monitors would not be considered to meet </w:t>
      </w:r>
      <w:r w:rsidR="00B06A51">
        <w:t xml:space="preserve">the </w:t>
      </w:r>
      <w:r>
        <w:t>intent of the meaningful data r</w:t>
      </w:r>
      <w:r w:rsidR="000414E5">
        <w:t>equirement of the Regulations.</w:t>
      </w:r>
    </w:p>
    <w:p w14:paraId="1FF03F56" w14:textId="77777777" w:rsidR="009701F1" w:rsidRDefault="009701F1" w:rsidP="005D78BC"/>
    <w:p w14:paraId="5EBA7EA9" w14:textId="77777777" w:rsidR="00F846B7" w:rsidRPr="00A74F05" w:rsidRDefault="00F846B7" w:rsidP="00DE50F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4</w:t>
      </w:r>
      <w:r w:rsidRPr="00A74F05">
        <w:rPr>
          <w:rStyle w:val="SubtleEmphasis"/>
          <w:b/>
          <w:color w:val="auto"/>
          <w:sz w:val="20"/>
        </w:rPr>
        <w:t>.</w:t>
      </w:r>
      <w:r>
        <w:rPr>
          <w:rStyle w:val="SubtleEmphasis"/>
          <w:b/>
          <w:color w:val="auto"/>
          <w:sz w:val="20"/>
        </w:rPr>
        <w:t>2</w:t>
      </w:r>
    </w:p>
    <w:p w14:paraId="339A10FB" w14:textId="77777777" w:rsidR="00F846B7" w:rsidRPr="002C124E" w:rsidRDefault="00F846B7" w:rsidP="00F846B7">
      <w:pPr>
        <w:keepNext/>
        <w:pBdr>
          <w:top w:val="single" w:sz="4" w:space="1" w:color="auto"/>
          <w:left w:val="single" w:sz="4" w:space="4" w:color="auto"/>
          <w:bottom w:val="single" w:sz="4" w:space="1" w:color="auto"/>
          <w:right w:val="single" w:sz="4" w:space="4" w:color="auto"/>
        </w:pBdr>
        <w:rPr>
          <w:rStyle w:val="SubtleEmphasis"/>
          <w:color w:val="auto"/>
          <w:sz w:val="20"/>
        </w:rPr>
      </w:pPr>
      <w:r w:rsidRPr="00707FFC">
        <w:rPr>
          <w:rStyle w:val="SubtleEmphasis"/>
          <w:color w:val="auto"/>
          <w:sz w:val="20"/>
        </w:rPr>
        <w:t xml:space="preserve">The </w:t>
      </w:r>
      <w:r w:rsidR="007F6164">
        <w:rPr>
          <w:rStyle w:val="SubtleEmphasis"/>
          <w:color w:val="auto"/>
          <w:sz w:val="20"/>
        </w:rPr>
        <w:t>Maire</w:t>
      </w:r>
      <w:r w:rsidR="007F6164" w:rsidRPr="00707FFC">
        <w:rPr>
          <w:rStyle w:val="SubtleEmphasis"/>
          <w:color w:val="auto"/>
          <w:sz w:val="20"/>
        </w:rPr>
        <w:t xml:space="preserve"> </w:t>
      </w:r>
      <w:r w:rsidRPr="00707FFC">
        <w:rPr>
          <w:rStyle w:val="SubtleEmphasis"/>
          <w:color w:val="auto"/>
          <w:sz w:val="20"/>
        </w:rPr>
        <w:t>Regional Council has a PM</w:t>
      </w:r>
      <w:r w:rsidRPr="00707FFC">
        <w:rPr>
          <w:rStyle w:val="SubtleEmphasis"/>
          <w:color w:val="auto"/>
          <w:sz w:val="20"/>
          <w:vertAlign w:val="subscript"/>
        </w:rPr>
        <w:t>10</w:t>
      </w:r>
      <w:r w:rsidRPr="00707FFC">
        <w:rPr>
          <w:rStyle w:val="SubtleEmphasis"/>
          <w:color w:val="auto"/>
          <w:sz w:val="20"/>
        </w:rPr>
        <w:t xml:space="preserve"> monitor operating for a 4 month period in each of 3 towns – Big Town, Medium Town and Little Town. These towns are all within the </w:t>
      </w:r>
      <w:r w:rsidR="001142D6">
        <w:rPr>
          <w:rStyle w:val="SubtleEmphasis"/>
          <w:color w:val="auto"/>
          <w:sz w:val="20"/>
        </w:rPr>
        <w:t>Whio</w:t>
      </w:r>
      <w:r w:rsidR="001142D6" w:rsidRPr="00707FFC">
        <w:rPr>
          <w:rStyle w:val="SubtleEmphasis"/>
          <w:color w:val="auto"/>
          <w:sz w:val="20"/>
        </w:rPr>
        <w:t xml:space="preserve"> </w:t>
      </w:r>
      <w:r w:rsidRPr="00707FFC">
        <w:rPr>
          <w:rStyle w:val="SubtleEmphasis"/>
          <w:color w:val="auto"/>
          <w:sz w:val="20"/>
        </w:rPr>
        <w:t>Airshed. The monitor records data at one town and is then relocated to the next town. The monitor cumulatively records 12 months of data. Therefore:</w:t>
      </w:r>
    </w:p>
    <w:p w14:paraId="388A4321" w14:textId="77777777" w:rsidR="00F846B7" w:rsidRPr="00A74F05" w:rsidRDefault="00F846B7" w:rsidP="00F846B7">
      <w:pPr>
        <w:pBdr>
          <w:top w:val="single" w:sz="4" w:space="1" w:color="auto"/>
          <w:left w:val="single" w:sz="4" w:space="4" w:color="auto"/>
          <w:bottom w:val="single" w:sz="4" w:space="1" w:color="auto"/>
          <w:right w:val="single" w:sz="4" w:space="4" w:color="auto"/>
        </w:pBdr>
        <w:ind w:firstLine="397"/>
        <w:rPr>
          <w:rStyle w:val="SubtleEmphasis"/>
          <w:color w:val="auto"/>
          <w:sz w:val="20"/>
        </w:rPr>
      </w:pPr>
    </w:p>
    <w:p w14:paraId="2B3E0994"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5A7DE6">
        <w:rPr>
          <w:i/>
          <w:sz w:val="20"/>
        </w:rPr>
        <w:t>he</w:t>
      </w:r>
      <w:r>
        <w:rPr>
          <w:i/>
          <w:sz w:val="20"/>
        </w:rPr>
        <w:t>re is a 12-month period of</w:t>
      </w:r>
      <w:r w:rsidRPr="005A7DE6">
        <w:rPr>
          <w:i/>
          <w:sz w:val="20"/>
        </w:rPr>
        <w:t xml:space="preserve"> </w:t>
      </w:r>
      <w:r>
        <w:rPr>
          <w:i/>
          <w:sz w:val="20"/>
        </w:rPr>
        <w:t>PM</w:t>
      </w:r>
      <w:r w:rsidRPr="001D0F09">
        <w:rPr>
          <w:i/>
          <w:sz w:val="20"/>
          <w:vertAlign w:val="subscript"/>
        </w:rPr>
        <w:t>10</w:t>
      </w:r>
      <w:r>
        <w:rPr>
          <w:i/>
          <w:sz w:val="20"/>
        </w:rPr>
        <w:t xml:space="preserve"> data for the airshed but not a continuous 12-month record at a single location</w:t>
      </w:r>
    </w:p>
    <w:p w14:paraId="06023C46"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this is not meaningful data for the purposes of Regulation 16C.</w:t>
      </w:r>
    </w:p>
    <w:p w14:paraId="1ECF042D" w14:textId="77777777" w:rsidR="00F846B7" w:rsidRDefault="00F846B7" w:rsidP="00F846B7">
      <w:pPr>
        <w:keepNext/>
        <w:pBdr>
          <w:top w:val="single" w:sz="4" w:space="1" w:color="auto"/>
          <w:left w:val="single" w:sz="4" w:space="4" w:color="auto"/>
          <w:bottom w:val="single" w:sz="4" w:space="1" w:color="auto"/>
          <w:right w:val="single" w:sz="4" w:space="4" w:color="auto"/>
        </w:pBdr>
        <w:rPr>
          <w:i/>
          <w:sz w:val="20"/>
        </w:rPr>
      </w:pPr>
    </w:p>
    <w:p w14:paraId="06DFF56A" w14:textId="77777777" w:rsidR="00F846B7" w:rsidRPr="00A74F05" w:rsidRDefault="00F846B7" w:rsidP="00DE50F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74F05">
        <w:rPr>
          <w:rStyle w:val="SubtleEmphasis"/>
          <w:b/>
          <w:color w:val="auto"/>
          <w:sz w:val="20"/>
        </w:rPr>
        <w:t xml:space="preserve">Example </w:t>
      </w:r>
      <w:r>
        <w:rPr>
          <w:rStyle w:val="SubtleEmphasis"/>
          <w:b/>
          <w:color w:val="auto"/>
          <w:sz w:val="20"/>
        </w:rPr>
        <w:t>4</w:t>
      </w:r>
      <w:r w:rsidRPr="00A74F05">
        <w:rPr>
          <w:rStyle w:val="SubtleEmphasis"/>
          <w:b/>
          <w:color w:val="auto"/>
          <w:sz w:val="20"/>
        </w:rPr>
        <w:t>.</w:t>
      </w:r>
      <w:r>
        <w:rPr>
          <w:rStyle w:val="SubtleEmphasis"/>
          <w:b/>
          <w:color w:val="auto"/>
          <w:sz w:val="20"/>
        </w:rPr>
        <w:t>3</w:t>
      </w:r>
    </w:p>
    <w:p w14:paraId="58D6866C" w14:textId="77777777" w:rsidR="00F846B7" w:rsidRPr="002C124E" w:rsidRDefault="00F846B7" w:rsidP="00F846B7">
      <w:pPr>
        <w:keepNext/>
        <w:pBdr>
          <w:top w:val="single" w:sz="4" w:space="1" w:color="auto"/>
          <w:left w:val="single" w:sz="4" w:space="4" w:color="auto"/>
          <w:bottom w:val="single" w:sz="4" w:space="1" w:color="auto"/>
          <w:right w:val="single" w:sz="4" w:space="4" w:color="auto"/>
        </w:pBdr>
        <w:rPr>
          <w:rStyle w:val="SubtleEmphasis"/>
          <w:color w:val="auto"/>
          <w:sz w:val="20"/>
        </w:rPr>
      </w:pPr>
      <w:r>
        <w:rPr>
          <w:i/>
          <w:sz w:val="20"/>
        </w:rPr>
        <w:t xml:space="preserve">The </w:t>
      </w:r>
      <w:r w:rsidR="001142D6">
        <w:rPr>
          <w:i/>
          <w:sz w:val="20"/>
        </w:rPr>
        <w:t xml:space="preserve">Lemonwood </w:t>
      </w:r>
      <w:r>
        <w:rPr>
          <w:i/>
          <w:sz w:val="20"/>
        </w:rPr>
        <w:t>Regional Council has PM</w:t>
      </w:r>
      <w:r w:rsidRPr="00E45D9C">
        <w:rPr>
          <w:i/>
          <w:sz w:val="20"/>
          <w:vertAlign w:val="subscript"/>
        </w:rPr>
        <w:t>10</w:t>
      </w:r>
      <w:r>
        <w:rPr>
          <w:i/>
          <w:sz w:val="20"/>
        </w:rPr>
        <w:t xml:space="preserve"> monitors operating in 3 suburbs – Coastal Suburb, Hilly Suburb and Valley Suburb. These suburbs are a long way from each other but are all within the Temperate City Airshed. Over a period of a year each monitor unfortunately breaks down. The monitors only operate for 4 months, 9 months and 7 months respectively. When all the data is ‘cobbled’ together the monitors have cumulatively recorded a continuous 12 month period of data. Therefore:</w:t>
      </w:r>
    </w:p>
    <w:p w14:paraId="38EFCFCD" w14:textId="77777777" w:rsidR="00F846B7" w:rsidRPr="00A74F05" w:rsidRDefault="00F846B7" w:rsidP="00F846B7">
      <w:pPr>
        <w:pBdr>
          <w:top w:val="single" w:sz="4" w:space="1" w:color="auto"/>
          <w:left w:val="single" w:sz="4" w:space="4" w:color="auto"/>
          <w:bottom w:val="single" w:sz="4" w:space="1" w:color="auto"/>
          <w:right w:val="single" w:sz="4" w:space="4" w:color="auto"/>
        </w:pBdr>
        <w:rPr>
          <w:rStyle w:val="SubtleEmphasis"/>
          <w:color w:val="auto"/>
          <w:sz w:val="20"/>
        </w:rPr>
      </w:pPr>
    </w:p>
    <w:p w14:paraId="6303BAE5"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t</w:t>
      </w:r>
      <w:r w:rsidRPr="005A7DE6">
        <w:rPr>
          <w:i/>
          <w:sz w:val="20"/>
        </w:rPr>
        <w:t>he</w:t>
      </w:r>
      <w:r>
        <w:rPr>
          <w:i/>
          <w:sz w:val="20"/>
        </w:rPr>
        <w:t>re is a 12-month period of</w:t>
      </w:r>
      <w:r w:rsidRPr="005A7DE6">
        <w:rPr>
          <w:i/>
          <w:sz w:val="20"/>
        </w:rPr>
        <w:t xml:space="preserve"> </w:t>
      </w:r>
      <w:r>
        <w:rPr>
          <w:i/>
          <w:sz w:val="20"/>
        </w:rPr>
        <w:t>PM</w:t>
      </w:r>
      <w:r w:rsidRPr="001D0F09">
        <w:rPr>
          <w:i/>
          <w:sz w:val="20"/>
          <w:vertAlign w:val="subscript"/>
        </w:rPr>
        <w:t>10</w:t>
      </w:r>
      <w:r>
        <w:rPr>
          <w:i/>
          <w:sz w:val="20"/>
        </w:rPr>
        <w:t xml:space="preserve"> data for the airshed but not a continuous 12-month record at a single location</w:t>
      </w:r>
    </w:p>
    <w:p w14:paraId="2125D1B6" w14:textId="77777777" w:rsidR="00F846B7" w:rsidRDefault="00F846B7" w:rsidP="00F846B7">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this is not meaningful data for the purposes of Regulation 16C.</w:t>
      </w:r>
    </w:p>
    <w:p w14:paraId="42EB09E2" w14:textId="77777777" w:rsidR="00AA7F87" w:rsidRDefault="00065F36" w:rsidP="00065F36">
      <w:pPr>
        <w:pStyle w:val="Heading4"/>
      </w:pPr>
      <w:r>
        <w:t>What happens if an airshed does not have meaningful data?</w:t>
      </w:r>
    </w:p>
    <w:p w14:paraId="4DE709FA" w14:textId="77777777" w:rsidR="00065F36" w:rsidRDefault="00065F36" w:rsidP="00AA7F87">
      <w:pPr>
        <w:keepNext/>
      </w:pPr>
      <w:r>
        <w:t>If an airshed does not have meaningful data then:</w:t>
      </w:r>
    </w:p>
    <w:p w14:paraId="3376A4B9" w14:textId="77777777" w:rsidR="00065F36" w:rsidRDefault="00065F36" w:rsidP="00152DF6">
      <w:pPr>
        <w:pStyle w:val="Bullet"/>
        <w:numPr>
          <w:ilvl w:val="0"/>
          <w:numId w:val="13"/>
        </w:numPr>
      </w:pPr>
      <w:r>
        <w:t>split targets for compliance with the ambient PM</w:t>
      </w:r>
      <w:r w:rsidRPr="00065F36">
        <w:rPr>
          <w:vertAlign w:val="subscript"/>
        </w:rPr>
        <w:t>10</w:t>
      </w:r>
      <w:r>
        <w:t xml:space="preserve"> standard </w:t>
      </w:r>
      <w:r w:rsidR="002F54A1">
        <w:t>do not apply</w:t>
      </w:r>
      <w:r>
        <w:t xml:space="preserve"> (Regulation 16B(2))</w:t>
      </w:r>
    </w:p>
    <w:p w14:paraId="699A0C12" w14:textId="77777777" w:rsidR="00065F36" w:rsidRDefault="00065F36" w:rsidP="00152DF6">
      <w:pPr>
        <w:pStyle w:val="Bullet"/>
        <w:numPr>
          <w:ilvl w:val="0"/>
          <w:numId w:val="13"/>
        </w:numPr>
      </w:pPr>
      <w:r>
        <w:t>an airshed’s average exceedances of PM</w:t>
      </w:r>
      <w:r w:rsidRPr="00065F36">
        <w:rPr>
          <w:vertAlign w:val="subscript"/>
        </w:rPr>
        <w:t>10</w:t>
      </w:r>
      <w:r>
        <w:t xml:space="preserve"> per year cannot be calculated (Regulation 16D(2)) </w:t>
      </w:r>
    </w:p>
    <w:p w14:paraId="55CDF796" w14:textId="77777777" w:rsidR="00CD1302" w:rsidRDefault="008D2A68" w:rsidP="00CD1302">
      <w:pPr>
        <w:pStyle w:val="Bullet"/>
        <w:numPr>
          <w:ilvl w:val="0"/>
          <w:numId w:val="13"/>
        </w:numPr>
      </w:pPr>
      <w:r>
        <w:t xml:space="preserve">an </w:t>
      </w:r>
      <w:r w:rsidR="00065F36">
        <w:t xml:space="preserve">airshed cannot be classified as polluted and therefore offsets </w:t>
      </w:r>
      <w:r w:rsidR="002F54A1">
        <w:t xml:space="preserve">are not mandatory for </w:t>
      </w:r>
      <w:r w:rsidR="00065F36">
        <w:t xml:space="preserve">new resource consents </w:t>
      </w:r>
      <w:r w:rsidR="00461DBB">
        <w:t>(</w:t>
      </w:r>
      <w:r w:rsidR="00065F36">
        <w:t>Regulation 17(4)(a)(i)</w:t>
      </w:r>
      <w:r w:rsidR="00461DBB">
        <w:t>)</w:t>
      </w:r>
      <w:r w:rsidR="002F54A1">
        <w:t xml:space="preserve"> (but may still be required by council as part of a normal consent processing)</w:t>
      </w:r>
      <w:r w:rsidR="00065F36">
        <w:t>.</w:t>
      </w:r>
    </w:p>
    <w:p w14:paraId="59A028A8" w14:textId="77777777" w:rsidR="007E160B" w:rsidRDefault="007E160B" w:rsidP="00CD1302"/>
    <w:p w14:paraId="704495D6" w14:textId="77777777" w:rsidR="001A2C50" w:rsidRDefault="00981755" w:rsidP="00223F09">
      <w:r>
        <w:t xml:space="preserve">Meaningful data defines the ‘burden of proof’ </w:t>
      </w:r>
      <w:r w:rsidR="001A2C50">
        <w:t>for demonstrating compliance with the Regulations. Its’ primary role in the Regulations is to ‘turn on’ the application of split targets and ‘turn off’ the requirement for mandatory offsets.</w:t>
      </w:r>
    </w:p>
    <w:p w14:paraId="123526A9" w14:textId="77777777" w:rsidR="001A2C50" w:rsidRDefault="001A2C50" w:rsidP="00223F09"/>
    <w:p w14:paraId="1C18D4DF" w14:textId="77777777" w:rsidR="00223F09" w:rsidRDefault="001A2C50" w:rsidP="00113DE0">
      <w:pPr>
        <w:shd w:val="clear" w:color="auto" w:fill="D9D9D9"/>
      </w:pPr>
      <w:r w:rsidRPr="00113DE0">
        <w:t xml:space="preserve">As </w:t>
      </w:r>
      <w:r w:rsidR="00223F09" w:rsidRPr="00113DE0">
        <w:t xml:space="preserve">the split targets extend the attainment dates, and hence could be seen to be prolonging adverse health effects in airsheds with extended timeframes, the Regulations are designed to ensure that the split targets are only allocated where there is sufficient data to ‘prove’ that compliance could not be met earlier. There are large financial implications for meeting the targets (and for industry </w:t>
      </w:r>
      <w:r w:rsidR="00737010" w:rsidRPr="00113DE0">
        <w:t>that</w:t>
      </w:r>
      <w:r w:rsidR="00223F09" w:rsidRPr="00113DE0">
        <w:t xml:space="preserve"> need to offset)</w:t>
      </w:r>
      <w:r w:rsidR="00261F68">
        <w:t>,</w:t>
      </w:r>
      <w:r w:rsidR="00717D38">
        <w:t xml:space="preserve"> </w:t>
      </w:r>
      <w:r w:rsidR="00261F68">
        <w:t>which</w:t>
      </w:r>
      <w:r w:rsidR="00223F09" w:rsidRPr="00113DE0">
        <w:t xml:space="preserve"> needs to be managed in a fair and accountable manner.</w:t>
      </w:r>
      <w:r w:rsidR="00223F09">
        <w:t xml:space="preserve">  </w:t>
      </w:r>
    </w:p>
    <w:p w14:paraId="7FAB40AE" w14:textId="77777777" w:rsidR="008D2A68" w:rsidRDefault="008D2A68" w:rsidP="00CD1302"/>
    <w:p w14:paraId="67DD52F6" w14:textId="77777777" w:rsidR="007E160B" w:rsidRPr="00AE1A35" w:rsidRDefault="008D2A68" w:rsidP="00CD1302">
      <w:r>
        <w:t>Irrespective of whether</w:t>
      </w:r>
      <w:r w:rsidRPr="00AE1A35">
        <w:t xml:space="preserve"> an airshed </w:t>
      </w:r>
      <w:r>
        <w:t>has</w:t>
      </w:r>
      <w:r w:rsidRPr="00AE1A35">
        <w:t xml:space="preserve"> meaningful PM</w:t>
      </w:r>
      <w:r w:rsidRPr="00AE1A35">
        <w:rPr>
          <w:vertAlign w:val="subscript"/>
        </w:rPr>
        <w:t>10</w:t>
      </w:r>
      <w:r w:rsidRPr="00AE1A35">
        <w:t xml:space="preserve"> data</w:t>
      </w:r>
      <w:r>
        <w:t xml:space="preserve"> or not</w:t>
      </w:r>
      <w:r w:rsidRPr="00AE1A35">
        <w:t xml:space="preserve">, </w:t>
      </w:r>
      <w:r>
        <w:t xml:space="preserve">any measured </w:t>
      </w:r>
      <w:r w:rsidRPr="00AE1A35">
        <w:t xml:space="preserve">exceedances of the ambient </w:t>
      </w:r>
      <w:r w:rsidR="00680CD5">
        <w:t xml:space="preserve">24-hour </w:t>
      </w:r>
      <w:r w:rsidRPr="00AE1A35">
        <w:t>PM</w:t>
      </w:r>
      <w:r w:rsidRPr="00AE1A35">
        <w:rPr>
          <w:vertAlign w:val="subscript"/>
        </w:rPr>
        <w:t>10</w:t>
      </w:r>
      <w:r w:rsidRPr="00AE1A35">
        <w:t xml:space="preserve"> concentration standard of 50 </w:t>
      </w:r>
      <w:r w:rsidRPr="00AE1A35">
        <w:rPr>
          <w:rFonts w:ascii="Symbol" w:hAnsi="Symbol"/>
        </w:rPr>
        <w:t></w:t>
      </w:r>
      <w:r w:rsidRPr="00AE1A35">
        <w:t>g.m</w:t>
      </w:r>
      <w:r w:rsidRPr="00AE1A35">
        <w:rPr>
          <w:vertAlign w:val="superscript"/>
        </w:rPr>
        <w:t>-3</w:t>
      </w:r>
      <w:r w:rsidRPr="00AE1A35">
        <w:t xml:space="preserve"> must be notified in accordance with Regulation 16</w:t>
      </w:r>
      <w:r>
        <w:t xml:space="preserve"> once a breach occurs</w:t>
      </w:r>
      <w:r w:rsidR="00737010">
        <w:t>.</w:t>
      </w:r>
    </w:p>
    <w:p w14:paraId="30C49C08" w14:textId="77777777" w:rsidR="009851C9" w:rsidRDefault="00327A43" w:rsidP="009851C9">
      <w:pPr>
        <w:pStyle w:val="Heading3"/>
      </w:pPr>
      <w:r>
        <w:t>4.6</w:t>
      </w:r>
      <w:r w:rsidR="009851C9" w:rsidRPr="009851C9">
        <w:t>.</w:t>
      </w:r>
      <w:r w:rsidR="004337E2">
        <w:t>2</w:t>
      </w:r>
      <w:r w:rsidR="009851C9" w:rsidRPr="009851C9">
        <w:tab/>
        <w:t>Monitoring methods</w:t>
      </w:r>
    </w:p>
    <w:p w14:paraId="01A2B1A2" w14:textId="77777777" w:rsidR="00B008DC" w:rsidRDefault="00912D83" w:rsidP="00912D83">
      <w:r>
        <w:t xml:space="preserve">Schedule </w:t>
      </w:r>
      <w:r w:rsidR="002F54A1">
        <w:t xml:space="preserve">2 </w:t>
      </w:r>
      <w:r>
        <w:t xml:space="preserve">of the Regulations provides the </w:t>
      </w:r>
      <w:r w:rsidR="002F54A1">
        <w:t>required</w:t>
      </w:r>
      <w:r>
        <w:t xml:space="preserve"> methods for ambient air quality monitoring of PM</w:t>
      </w:r>
      <w:r w:rsidRPr="00912D83">
        <w:rPr>
          <w:vertAlign w:val="subscript"/>
        </w:rPr>
        <w:t>10</w:t>
      </w:r>
      <w:r w:rsidR="000414E5">
        <w:t xml:space="preserve">. </w:t>
      </w:r>
      <w:r>
        <w:t>These methods</w:t>
      </w:r>
      <w:r w:rsidR="001939CC">
        <w:t xml:space="preserve"> are summarised in table </w:t>
      </w:r>
      <w:r w:rsidR="00222A11">
        <w:t>6</w:t>
      </w:r>
      <w:r>
        <w:t xml:space="preserve"> </w:t>
      </w:r>
      <w:r w:rsidR="001939CC">
        <w:t xml:space="preserve">and </w:t>
      </w:r>
      <w:r>
        <w:t xml:space="preserve">must be used for </w:t>
      </w:r>
      <w:r w:rsidR="002F54A1">
        <w:t>monitoring PM</w:t>
      </w:r>
      <w:r w:rsidR="002F54A1" w:rsidRPr="002F54A1">
        <w:rPr>
          <w:vertAlign w:val="subscript"/>
        </w:rPr>
        <w:t>10</w:t>
      </w:r>
      <w:r w:rsidR="002F54A1">
        <w:t xml:space="preserve"> for the purposes of the Regulations</w:t>
      </w:r>
      <w:r>
        <w:t>.</w:t>
      </w:r>
    </w:p>
    <w:p w14:paraId="59853558" w14:textId="77777777" w:rsidR="005400EC" w:rsidRDefault="005400EC" w:rsidP="00E55446"/>
    <w:p w14:paraId="665C523A" w14:textId="77777777" w:rsidR="005400EC" w:rsidRDefault="005400EC" w:rsidP="005400EC">
      <w:r>
        <w:t xml:space="preserve">The methods that comply with the requirements of Schedule 2 of the Regulations, including USEPA reference and equivalent methods are given in Appendix </w:t>
      </w:r>
      <w:r w:rsidRPr="00222A11">
        <w:t>4</w:t>
      </w:r>
      <w:r w:rsidRPr="00222A11">
        <w:rPr>
          <w:rStyle w:val="FootnoteReference"/>
        </w:rPr>
        <w:footnoteReference w:id="13"/>
      </w:r>
      <w:r>
        <w:t xml:space="preserve">. </w:t>
      </w:r>
      <w:r w:rsidRPr="00234369">
        <w:t>This list</w:t>
      </w:r>
      <w:r>
        <w:t>, and the list in the</w:t>
      </w:r>
      <w:r w:rsidRPr="00FD1A04">
        <w:rPr>
          <w:i/>
        </w:rPr>
        <w:t xml:space="preserve"> </w:t>
      </w:r>
      <w:r w:rsidRPr="00222A11">
        <w:t>Good Practice Guide for Air Quality Monitoring and Data Management 2009</w:t>
      </w:r>
      <w:r w:rsidRPr="007A3AA4">
        <w:rPr>
          <w:i/>
        </w:rPr>
        <w:t xml:space="preserve"> </w:t>
      </w:r>
      <w:r w:rsidRPr="00234369">
        <w:t>(</w:t>
      </w:r>
      <w:r>
        <w:t>MfE</w:t>
      </w:r>
      <w:r w:rsidRPr="00234369">
        <w:t xml:space="preserve">, </w:t>
      </w:r>
      <w:r w:rsidRPr="00222A11">
        <w:t>2009</w:t>
      </w:r>
      <w:r w:rsidR="00222A11">
        <w:t>a</w:t>
      </w:r>
      <w:r w:rsidRPr="00234369">
        <w:t>)</w:t>
      </w:r>
      <w:r>
        <w:t>,</w:t>
      </w:r>
      <w:r w:rsidRPr="00234369">
        <w:t xml:space="preserve"> </w:t>
      </w:r>
      <w:r>
        <w:t>are</w:t>
      </w:r>
      <w:r w:rsidRPr="00234369">
        <w:t xml:space="preserve"> updated </w:t>
      </w:r>
      <w:r>
        <w:t>periodically</w:t>
      </w:r>
      <w:r w:rsidRPr="00234369">
        <w:t xml:space="preserve"> to reflect technology changes</w:t>
      </w:r>
      <w:r w:rsidR="000414E5">
        <w:t xml:space="preserve">. </w:t>
      </w:r>
      <w:r>
        <w:t>Readers are</w:t>
      </w:r>
      <w:r w:rsidRPr="00A719D2">
        <w:t xml:space="preserve"> refer</w:t>
      </w:r>
      <w:r>
        <w:t>red</w:t>
      </w:r>
      <w:r w:rsidRPr="00A719D2">
        <w:t xml:space="preserve"> to the Ministry for the Environment website</w:t>
      </w:r>
      <w:r>
        <w:t xml:space="preserve"> for up to date information</w:t>
      </w:r>
      <w:r w:rsidRPr="00A719D2">
        <w:t>.</w:t>
      </w:r>
    </w:p>
    <w:p w14:paraId="7ECB5787" w14:textId="77777777" w:rsidR="00222A11" w:rsidRPr="00A719D2" w:rsidRDefault="00222A11" w:rsidP="005400EC"/>
    <w:p w14:paraId="59E9DBCA" w14:textId="77777777" w:rsidR="001939CC" w:rsidRPr="00407749" w:rsidRDefault="001939CC" w:rsidP="00407749">
      <w:pPr>
        <w:pStyle w:val="Tableheading"/>
      </w:pPr>
      <w:bookmarkStart w:id="120" w:name="_Toc377645812"/>
      <w:r w:rsidRPr="00407749">
        <w:t xml:space="preserve">Table </w:t>
      </w:r>
      <w:r w:rsidR="00222A11" w:rsidRPr="00407749">
        <w:t>6</w:t>
      </w:r>
      <w:r w:rsidRPr="00407749">
        <w:t>:</w:t>
      </w:r>
      <w:r w:rsidRPr="00407749">
        <w:tab/>
        <w:t>Monitoring methods for ambient PM</w:t>
      </w:r>
      <w:r w:rsidRPr="00AB5A3C">
        <w:rPr>
          <w:vertAlign w:val="subscript"/>
        </w:rPr>
        <w:t>10</w:t>
      </w:r>
      <w:r w:rsidRPr="00407749">
        <w:t xml:space="preserve"> standard</w:t>
      </w:r>
      <w:bookmarkEnd w:id="120"/>
    </w:p>
    <w:tbl>
      <w:tblPr>
        <w:tblW w:w="8505" w:type="dxa"/>
        <w:tblInd w:w="108" w:type="dxa"/>
        <w:tblBorders>
          <w:top w:val="single" w:sz="8" w:space="0" w:color="auto"/>
          <w:bottom w:val="single" w:sz="8" w:space="0" w:color="auto"/>
        </w:tblBorders>
        <w:tblLayout w:type="fixed"/>
        <w:tblLook w:val="01E0" w:firstRow="1" w:lastRow="1" w:firstColumn="1" w:lastColumn="1" w:noHBand="0" w:noVBand="0"/>
      </w:tblPr>
      <w:tblGrid>
        <w:gridCol w:w="8505"/>
      </w:tblGrid>
      <w:tr w:rsidR="001939CC" w:rsidRPr="00F948D5" w14:paraId="05F8C31F" w14:textId="77777777" w:rsidTr="001939CC">
        <w:trPr>
          <w:cantSplit/>
        </w:trPr>
        <w:tc>
          <w:tcPr>
            <w:tcW w:w="8505" w:type="dxa"/>
            <w:tcBorders>
              <w:top w:val="single" w:sz="8" w:space="0" w:color="auto"/>
              <w:bottom w:val="single" w:sz="8" w:space="0" w:color="auto"/>
            </w:tcBorders>
          </w:tcPr>
          <w:p w14:paraId="7BA1B70F" w14:textId="77777777" w:rsidR="001939CC" w:rsidRPr="00F948D5" w:rsidRDefault="001939CC" w:rsidP="002540FE">
            <w:pPr>
              <w:pStyle w:val="TableText"/>
              <w:keepNext/>
              <w:rPr>
                <w:b/>
              </w:rPr>
            </w:pPr>
            <w:r w:rsidRPr="00F948D5">
              <w:rPr>
                <w:b/>
              </w:rPr>
              <w:t>Method</w:t>
            </w:r>
          </w:p>
        </w:tc>
      </w:tr>
      <w:tr w:rsidR="001939CC" w14:paraId="5A9A22A3" w14:textId="77777777" w:rsidTr="001939CC">
        <w:trPr>
          <w:cantSplit/>
        </w:trPr>
        <w:tc>
          <w:tcPr>
            <w:tcW w:w="8505" w:type="dxa"/>
            <w:tcBorders>
              <w:top w:val="single" w:sz="8" w:space="0" w:color="auto"/>
            </w:tcBorders>
          </w:tcPr>
          <w:p w14:paraId="33623BBA" w14:textId="77777777" w:rsidR="001939CC" w:rsidRPr="001939CC" w:rsidRDefault="001939CC" w:rsidP="002540FE">
            <w:pPr>
              <w:pStyle w:val="HTMLPreformatted"/>
              <w:keepNext/>
              <w:tabs>
                <w:tab w:val="clear" w:pos="916"/>
                <w:tab w:val="clear" w:pos="7328"/>
                <w:tab w:val="clear" w:pos="8244"/>
                <w:tab w:val="clear" w:pos="9160"/>
                <w:tab w:val="clear" w:pos="10076"/>
                <w:tab w:val="left" w:pos="480"/>
              </w:tabs>
              <w:spacing w:before="60" w:after="60"/>
              <w:jc w:val="both"/>
              <w:rPr>
                <w:rFonts w:ascii="Arial" w:hAnsi="Arial" w:cs="Arial"/>
                <w:sz w:val="16"/>
                <w:lang w:val="en-NZ"/>
              </w:rPr>
            </w:pPr>
            <w:r w:rsidRPr="001939CC">
              <w:rPr>
                <w:rFonts w:ascii="Arial" w:hAnsi="Arial" w:cs="Arial"/>
                <w:sz w:val="16"/>
                <w:lang w:val="en-NZ"/>
              </w:rPr>
              <w:t>United States Code of Federal Regulations, Title  40---Protection of Environment, Volume 2, Part 50, Appendix J---Reference method for the determination of particulate matter as PM</w:t>
            </w:r>
            <w:r w:rsidRPr="007E27ED">
              <w:rPr>
                <w:rFonts w:ascii="Arial" w:hAnsi="Arial" w:cs="Arial"/>
                <w:sz w:val="16"/>
                <w:vertAlign w:val="subscript"/>
                <w:lang w:val="en-NZ"/>
              </w:rPr>
              <w:t>10</w:t>
            </w:r>
            <w:r w:rsidRPr="001939CC">
              <w:rPr>
                <w:rFonts w:ascii="Arial" w:hAnsi="Arial" w:cs="Arial"/>
                <w:sz w:val="16"/>
                <w:lang w:val="en-NZ"/>
              </w:rPr>
              <w:t xml:space="preserve">   in the atmosphere; or</w:t>
            </w:r>
          </w:p>
        </w:tc>
      </w:tr>
      <w:tr w:rsidR="001939CC" w14:paraId="50DCF2BC" w14:textId="77777777" w:rsidTr="001939CC">
        <w:trPr>
          <w:cantSplit/>
        </w:trPr>
        <w:tc>
          <w:tcPr>
            <w:tcW w:w="8505" w:type="dxa"/>
          </w:tcPr>
          <w:p w14:paraId="662FBFC6" w14:textId="77777777" w:rsidR="001939CC" w:rsidRPr="001939CC" w:rsidRDefault="001939CC" w:rsidP="002540FE">
            <w:pPr>
              <w:pStyle w:val="HTMLPreformatted"/>
              <w:keepNext/>
              <w:tabs>
                <w:tab w:val="clear" w:pos="916"/>
                <w:tab w:val="clear" w:pos="7328"/>
                <w:tab w:val="clear" w:pos="8244"/>
                <w:tab w:val="clear" w:pos="9160"/>
                <w:tab w:val="clear" w:pos="10076"/>
                <w:tab w:val="left" w:pos="480"/>
              </w:tabs>
              <w:spacing w:before="60" w:after="60"/>
              <w:jc w:val="both"/>
              <w:rPr>
                <w:rFonts w:ascii="Arial" w:hAnsi="Arial" w:cs="Arial"/>
                <w:sz w:val="16"/>
                <w:lang w:val="en-NZ"/>
              </w:rPr>
            </w:pPr>
            <w:r w:rsidRPr="001939CC">
              <w:rPr>
                <w:rFonts w:ascii="Arial" w:hAnsi="Arial" w:cs="Arial"/>
                <w:sz w:val="16"/>
                <w:lang w:val="en-NZ"/>
              </w:rPr>
              <w:t>Australian/New Zealand Standard AS/NZS 3580.9.6:2003, Methods for sampling and analysis of ambient air---Determination of suspended particulate matter---PM</w:t>
            </w:r>
            <w:r w:rsidRPr="007E27ED">
              <w:rPr>
                <w:rFonts w:ascii="Arial" w:hAnsi="Arial" w:cs="Arial"/>
                <w:sz w:val="16"/>
                <w:vertAlign w:val="subscript"/>
                <w:lang w:val="en-NZ"/>
              </w:rPr>
              <w:t>10</w:t>
            </w:r>
            <w:r w:rsidRPr="001939CC">
              <w:rPr>
                <w:rFonts w:ascii="Arial" w:hAnsi="Arial" w:cs="Arial"/>
                <w:sz w:val="16"/>
                <w:lang w:val="en-NZ"/>
              </w:rPr>
              <w:t xml:space="preserve">   high volume sampler with size-selective</w:t>
            </w:r>
            <w:r>
              <w:rPr>
                <w:rFonts w:ascii="Arial" w:hAnsi="Arial" w:cs="Arial"/>
                <w:sz w:val="16"/>
                <w:lang w:val="en-NZ"/>
              </w:rPr>
              <w:t xml:space="preserve"> inlet---Gravimetric method; or</w:t>
            </w:r>
          </w:p>
        </w:tc>
      </w:tr>
      <w:tr w:rsidR="001939CC" w14:paraId="39B0C402" w14:textId="77777777" w:rsidTr="001939CC">
        <w:trPr>
          <w:cantSplit/>
        </w:trPr>
        <w:tc>
          <w:tcPr>
            <w:tcW w:w="8505" w:type="dxa"/>
          </w:tcPr>
          <w:p w14:paraId="4758EE0A" w14:textId="77777777" w:rsidR="001939CC" w:rsidRPr="001939CC" w:rsidRDefault="001939CC" w:rsidP="002540FE">
            <w:pPr>
              <w:pStyle w:val="HTMLPreformatted"/>
              <w:keepNext/>
              <w:tabs>
                <w:tab w:val="clear" w:pos="916"/>
                <w:tab w:val="clear" w:pos="7328"/>
                <w:tab w:val="clear" w:pos="8244"/>
                <w:tab w:val="clear" w:pos="9160"/>
                <w:tab w:val="clear" w:pos="10076"/>
                <w:tab w:val="left" w:pos="480"/>
              </w:tabs>
              <w:spacing w:before="60" w:after="60"/>
              <w:jc w:val="both"/>
              <w:rPr>
                <w:rFonts w:ascii="Arial" w:hAnsi="Arial" w:cs="Arial"/>
                <w:sz w:val="16"/>
                <w:lang w:val="en-NZ"/>
              </w:rPr>
            </w:pPr>
            <w:r w:rsidRPr="001939CC">
              <w:rPr>
                <w:rFonts w:ascii="Arial" w:hAnsi="Arial" w:cs="Arial"/>
                <w:sz w:val="16"/>
                <w:lang w:val="en-NZ"/>
              </w:rPr>
              <w:t>Australian Standard AS 3580.9.8:2008, Methods for sampling and analysis of ambient air---Determination of suspended particulate matter---PM</w:t>
            </w:r>
            <w:r w:rsidRPr="007E27ED">
              <w:rPr>
                <w:rFonts w:ascii="Arial" w:hAnsi="Arial" w:cs="Arial"/>
                <w:sz w:val="16"/>
                <w:vertAlign w:val="subscript"/>
                <w:lang w:val="en-NZ"/>
              </w:rPr>
              <w:t>10</w:t>
            </w:r>
            <w:r w:rsidRPr="001939CC">
              <w:rPr>
                <w:rFonts w:ascii="Arial" w:hAnsi="Arial" w:cs="Arial"/>
                <w:sz w:val="16"/>
                <w:lang w:val="en-NZ"/>
              </w:rPr>
              <w:t xml:space="preserve"> continuous direct mass method using a tapered element oscill</w:t>
            </w:r>
            <w:r>
              <w:rPr>
                <w:rFonts w:ascii="Arial" w:hAnsi="Arial" w:cs="Arial"/>
                <w:sz w:val="16"/>
                <w:lang w:val="en-NZ"/>
              </w:rPr>
              <w:t>ating microbalance analyser; or</w:t>
            </w:r>
          </w:p>
        </w:tc>
      </w:tr>
      <w:tr w:rsidR="001939CC" w:rsidRPr="00866B29" w14:paraId="6B057E9B" w14:textId="77777777" w:rsidTr="001939CC">
        <w:trPr>
          <w:cantSplit/>
        </w:trPr>
        <w:tc>
          <w:tcPr>
            <w:tcW w:w="8505" w:type="dxa"/>
          </w:tcPr>
          <w:p w14:paraId="4D5C5A6A" w14:textId="77777777" w:rsidR="001939CC" w:rsidRDefault="001939CC" w:rsidP="002540FE">
            <w:pPr>
              <w:pStyle w:val="TableText"/>
              <w:keepNext/>
            </w:pPr>
            <w:r w:rsidRPr="00C81D2F">
              <w:rPr>
                <w:rFonts w:cs="Arial"/>
              </w:rPr>
              <w:t>Australian/New Zealand Standard AS/NZS 3580.9.11:2008, Methods for sampling and analysis of ambient air---Determination of suspended particulate matter---PM</w:t>
            </w:r>
            <w:r w:rsidRPr="00C81D2F">
              <w:rPr>
                <w:rFonts w:cs="Arial"/>
                <w:vertAlign w:val="subscript"/>
              </w:rPr>
              <w:t>10</w:t>
            </w:r>
            <w:r w:rsidRPr="00C81D2F">
              <w:rPr>
                <w:rFonts w:cs="Arial"/>
              </w:rPr>
              <w:t xml:space="preserve"> beta attenuation monitors</w:t>
            </w:r>
            <w:r>
              <w:rPr>
                <w:rFonts w:cs="Arial"/>
              </w:rPr>
              <w:t>.</w:t>
            </w:r>
          </w:p>
        </w:tc>
      </w:tr>
    </w:tbl>
    <w:p w14:paraId="4CD6E1F1" w14:textId="77777777" w:rsidR="00FD1A04" w:rsidRPr="00B008DC" w:rsidRDefault="00FD1A04" w:rsidP="00FD1A04">
      <w:pPr>
        <w:pStyle w:val="BodyText"/>
      </w:pPr>
    </w:p>
    <w:p w14:paraId="6AA6A819" w14:textId="77777777" w:rsidR="00FD1A04" w:rsidRDefault="00FD1A04" w:rsidP="00FD1A04">
      <w:pPr>
        <w:keepNext/>
      </w:pPr>
      <w:r>
        <w:t>It must be noted that monitoring for PM</w:t>
      </w:r>
      <w:r w:rsidRPr="00F3481D">
        <w:rPr>
          <w:vertAlign w:val="subscript"/>
        </w:rPr>
        <w:t>10</w:t>
      </w:r>
      <w:r>
        <w:t xml:space="preserve">, for the purposes of the Regulations, requires </w:t>
      </w:r>
      <w:r w:rsidRPr="00A918BA">
        <w:rPr>
          <w:b/>
        </w:rPr>
        <w:t>continuous</w:t>
      </w:r>
      <w:r>
        <w:t xml:space="preserve"> monitoring in order to calculate a</w:t>
      </w:r>
      <w:r w:rsidRPr="00234369">
        <w:t xml:space="preserve"> </w:t>
      </w:r>
      <w:r w:rsidRPr="00A918BA">
        <w:rPr>
          <w:b/>
          <w:bCs/>
        </w:rPr>
        <w:t>daily</w:t>
      </w:r>
      <w:r w:rsidRPr="00234369">
        <w:t xml:space="preserve"> 24-hour mean</w:t>
      </w:r>
      <w:r w:rsidR="000414E5">
        <w:t xml:space="preserve">. </w:t>
      </w:r>
      <w:r>
        <w:t xml:space="preserve">This is necessary </w:t>
      </w:r>
      <w:r w:rsidRPr="00234369">
        <w:t xml:space="preserve">to properly assess compliance with the </w:t>
      </w:r>
      <w:r>
        <w:t>PM</w:t>
      </w:r>
      <w:r w:rsidRPr="00F3481D">
        <w:rPr>
          <w:vertAlign w:val="subscript"/>
        </w:rPr>
        <w:t>10</w:t>
      </w:r>
      <w:r w:rsidRPr="00234369">
        <w:t xml:space="preserve"> standard</w:t>
      </w:r>
      <w:r>
        <w:t xml:space="preserve"> (</w:t>
      </w:r>
      <w:r w:rsidRPr="00234369">
        <w:t xml:space="preserve">50 </w:t>
      </w:r>
      <w:r w:rsidRPr="00912D83">
        <w:rPr>
          <w:rFonts w:ascii="Symbol" w:hAnsi="Symbol"/>
        </w:rPr>
        <w:t></w:t>
      </w:r>
      <w:r>
        <w:t>g.m</w:t>
      </w:r>
      <w:r w:rsidRPr="00912D83">
        <w:rPr>
          <w:vertAlign w:val="superscript"/>
        </w:rPr>
        <w:t>-3</w:t>
      </w:r>
      <w:r w:rsidRPr="00234369">
        <w:t xml:space="preserve"> not to be exceeded </w:t>
      </w:r>
      <w:r>
        <w:t xml:space="preserve">for </w:t>
      </w:r>
      <w:r w:rsidRPr="00234369">
        <w:t>more than one 24-hour period in a 12-month period</w:t>
      </w:r>
      <w:r w:rsidR="000414E5">
        <w:t>).</w:t>
      </w:r>
    </w:p>
    <w:p w14:paraId="168BC736" w14:textId="77777777" w:rsidR="009851C9" w:rsidRDefault="009851C9" w:rsidP="009851C9"/>
    <w:p w14:paraId="0B662D53" w14:textId="77777777" w:rsidR="009851C9" w:rsidRPr="00234369" w:rsidRDefault="009851C9" w:rsidP="009851C9">
      <w:r w:rsidRPr="00234369">
        <w:t>With respect to TEOMs</w:t>
      </w:r>
      <w:r w:rsidR="00222A11">
        <w:rPr>
          <w:rStyle w:val="FootnoteReference"/>
        </w:rPr>
        <w:footnoteReference w:id="14"/>
      </w:r>
      <w:r w:rsidRPr="00234369">
        <w:t xml:space="preserve">, the intent is to continue with current best practice as outlined in the </w:t>
      </w:r>
      <w:r w:rsidR="00143462" w:rsidRPr="00116F16">
        <w:t>Monitoring GPG</w:t>
      </w:r>
      <w:r w:rsidRPr="00866B29">
        <w:t>.</w:t>
      </w:r>
      <w:r>
        <w:t xml:space="preserve"> </w:t>
      </w:r>
      <w:r w:rsidRPr="00234369">
        <w:t>This requires the development of a site-specific adjustment factor or the use of Filter Dynamics Measurement System (FDMS) to ensure the volatile fraction is not lost.</w:t>
      </w:r>
      <w:r>
        <w:t xml:space="preserve">  Further an operating temperature of 40 </w:t>
      </w:r>
      <w:r w:rsidR="00BE3D61">
        <w:t>°C (</w:t>
      </w:r>
      <w:r>
        <w:t>degrees Celsius</w:t>
      </w:r>
      <w:r w:rsidR="00BE3D61">
        <w:t>)</w:t>
      </w:r>
      <w:r>
        <w:t xml:space="preserve"> is recommended.</w:t>
      </w:r>
    </w:p>
    <w:p w14:paraId="69E5804C" w14:textId="77777777" w:rsidR="009851C9" w:rsidRPr="009851C9" w:rsidRDefault="009851C9" w:rsidP="009851C9">
      <w:pPr>
        <w:pStyle w:val="Heading5"/>
      </w:pPr>
      <w:r>
        <w:t>Amendments</w:t>
      </w:r>
    </w:p>
    <w:p w14:paraId="2477D7D3" w14:textId="77777777" w:rsidR="0022136D" w:rsidRDefault="00FD1A04" w:rsidP="009851C9">
      <w:r w:rsidRPr="00FD1A04">
        <w:t xml:space="preserve">In </w:t>
      </w:r>
      <w:r w:rsidR="00D87D86">
        <w:t>June</w:t>
      </w:r>
      <w:r w:rsidRPr="00FD1A04">
        <w:t xml:space="preserve"> </w:t>
      </w:r>
      <w:r w:rsidR="0022136D" w:rsidRPr="00FD1A04">
        <w:t>2011</w:t>
      </w:r>
      <w:r w:rsidR="00222A11">
        <w:t>,</w:t>
      </w:r>
      <w:r w:rsidRPr="00FD1A04">
        <w:t xml:space="preserve"> the Australian/New Zealand test methods for PM</w:t>
      </w:r>
      <w:r w:rsidRPr="00FD1A04">
        <w:rPr>
          <w:vertAlign w:val="subscript"/>
        </w:rPr>
        <w:t>10</w:t>
      </w:r>
      <w:r w:rsidRPr="00FD1A04">
        <w:t xml:space="preserve"> were updated to refer to the 2008 versions. </w:t>
      </w:r>
    </w:p>
    <w:p w14:paraId="249F88EE" w14:textId="77777777" w:rsidR="002F4277" w:rsidRDefault="002F4277" w:rsidP="009851C9"/>
    <w:p w14:paraId="1754CCAF" w14:textId="77777777" w:rsidR="009851C9" w:rsidRDefault="001E0D1C" w:rsidP="009851C9">
      <w:pPr>
        <w:pStyle w:val="Heading2"/>
      </w:pPr>
      <w:bookmarkStart w:id="121" w:name="_Toc300856615"/>
      <w:r>
        <w:t>4.7</w:t>
      </w:r>
      <w:r w:rsidR="009851C9">
        <w:tab/>
        <w:t>Exceedances</w:t>
      </w:r>
      <w:bookmarkEnd w:id="121"/>
    </w:p>
    <w:p w14:paraId="2B3D0E39" w14:textId="77777777" w:rsidR="009D3D3A" w:rsidRDefault="009D3D3A" w:rsidP="000F1DC2">
      <w:r>
        <w:t xml:space="preserve">Section 3.6 describes what an exceedance is and how these are used. </w:t>
      </w:r>
      <w:r w:rsidR="00222A11">
        <w:t>F</w:t>
      </w:r>
      <w:r>
        <w:t>or PM</w:t>
      </w:r>
      <w:r w:rsidRPr="009D3D3A">
        <w:rPr>
          <w:vertAlign w:val="subscript"/>
        </w:rPr>
        <w:t>10</w:t>
      </w:r>
      <w:r>
        <w:t xml:space="preserve">, an exceedance is any monitoring result that is </w:t>
      </w:r>
      <w:r w:rsidRPr="009D3D3A">
        <w:rPr>
          <w:b/>
        </w:rPr>
        <w:t xml:space="preserve">above 50 </w:t>
      </w:r>
      <w:r w:rsidRPr="009D3D3A">
        <w:rPr>
          <w:rFonts w:ascii="Symbol" w:hAnsi="Symbol"/>
          <w:b/>
        </w:rPr>
        <w:t></w:t>
      </w:r>
      <w:r w:rsidRPr="009D3D3A">
        <w:rPr>
          <w:b/>
        </w:rPr>
        <w:t>g.m</w:t>
      </w:r>
      <w:r w:rsidRPr="009D3D3A">
        <w:rPr>
          <w:b/>
          <w:vertAlign w:val="superscript"/>
        </w:rPr>
        <w:t>-3</w:t>
      </w:r>
      <w:r>
        <w:t xml:space="preserve"> (24-hour average),</w:t>
      </w:r>
    </w:p>
    <w:p w14:paraId="60576078" w14:textId="77777777" w:rsidR="009D3D3A" w:rsidRDefault="009D3D3A" w:rsidP="000F1DC2"/>
    <w:p w14:paraId="131CCB8A" w14:textId="77777777" w:rsidR="00C47873" w:rsidRDefault="00D60AAE" w:rsidP="000F1DC2">
      <w:r>
        <w:t>The 2011 amendments to the Regulations have inserted a new Regulation 16D to define</w:t>
      </w:r>
      <w:r w:rsidR="00C47873">
        <w:t xml:space="preserve"> how average PM</w:t>
      </w:r>
      <w:r w:rsidR="00C47873" w:rsidRPr="00C47873">
        <w:rPr>
          <w:vertAlign w:val="subscript"/>
        </w:rPr>
        <w:t>10</w:t>
      </w:r>
      <w:r w:rsidR="00C47873">
        <w:t xml:space="preserve"> exceedances per year are calculated.</w:t>
      </w:r>
      <w:r w:rsidR="0034334D">
        <w:t xml:space="preserve">  The </w:t>
      </w:r>
      <w:r w:rsidR="00C500EF">
        <w:t>Regulation</w:t>
      </w:r>
      <w:r w:rsidR="0034334D">
        <w:t xml:space="preserve"> states:</w:t>
      </w:r>
    </w:p>
    <w:p w14:paraId="52B92ED8" w14:textId="77777777" w:rsidR="000F1DC2" w:rsidRPr="00AB2652" w:rsidRDefault="00C47873" w:rsidP="000F1DC2">
      <w:r>
        <w:t xml:space="preserve"> </w:t>
      </w:r>
    </w:p>
    <w:p w14:paraId="2546F9C6"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b/>
          <w:i/>
        </w:rPr>
      </w:pPr>
      <w:r w:rsidRPr="00AB2652">
        <w:rPr>
          <w:rFonts w:ascii="Times New Roman" w:hAnsi="Times New Roman" w:cs="Times New Roman"/>
          <w:b/>
          <w:i/>
        </w:rPr>
        <w:t>16D</w:t>
      </w:r>
      <w:r w:rsidRPr="00AB2652">
        <w:rPr>
          <w:rFonts w:ascii="Times New Roman" w:hAnsi="Times New Roman" w:cs="Times New Roman"/>
          <w:b/>
          <w:i/>
        </w:rPr>
        <w:tab/>
        <w:t>Calculation of airshed’s average exceedances of PM</w:t>
      </w:r>
      <w:r w:rsidRPr="00AB2652">
        <w:rPr>
          <w:rFonts w:ascii="Times New Roman" w:hAnsi="Times New Roman" w:cs="Times New Roman"/>
          <w:b/>
          <w:i/>
          <w:vertAlign w:val="subscript"/>
        </w:rPr>
        <w:t>10</w:t>
      </w:r>
      <w:r w:rsidRPr="00AB2652">
        <w:rPr>
          <w:rFonts w:ascii="Times New Roman" w:hAnsi="Times New Roman" w:cs="Times New Roman"/>
          <w:b/>
          <w:i/>
        </w:rPr>
        <w:t xml:space="preserve"> per year</w:t>
      </w:r>
    </w:p>
    <w:p w14:paraId="2EE8EA96"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AB2652">
        <w:rPr>
          <w:rFonts w:ascii="Times New Roman" w:hAnsi="Times New Roman" w:cs="Times New Roman"/>
          <w:i/>
        </w:rPr>
        <w:t>(1)</w:t>
      </w:r>
      <w:r w:rsidRPr="00AB2652">
        <w:rPr>
          <w:rFonts w:ascii="Times New Roman" w:hAnsi="Times New Roman" w:cs="Times New Roman"/>
          <w:i/>
        </w:rPr>
        <w:tab/>
        <w:t>This regulation specifies how to calculate an airshed’s average exceedances of PM</w:t>
      </w:r>
      <w:r w:rsidRPr="00AB2652">
        <w:rPr>
          <w:rFonts w:ascii="Times New Roman" w:hAnsi="Times New Roman" w:cs="Times New Roman"/>
          <w:i/>
          <w:vertAlign w:val="subscript"/>
        </w:rPr>
        <w:t>10</w:t>
      </w:r>
      <w:r w:rsidRPr="00AB2652">
        <w:rPr>
          <w:rFonts w:ascii="Times New Roman" w:hAnsi="Times New Roman" w:cs="Times New Roman"/>
          <w:i/>
        </w:rPr>
        <w:t xml:space="preserve"> per year in a 5-year period for regulation 16B(4) or 17(4)(a)(ii).</w:t>
      </w:r>
    </w:p>
    <w:p w14:paraId="387C452C"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AB2652">
        <w:rPr>
          <w:rFonts w:ascii="Times New Roman" w:hAnsi="Times New Roman" w:cs="Times New Roman"/>
          <w:i/>
        </w:rPr>
        <w:t>(2)</w:t>
      </w:r>
      <w:r w:rsidRPr="00AB2652">
        <w:rPr>
          <w:rFonts w:ascii="Times New Roman" w:hAnsi="Times New Roman" w:cs="Times New Roman"/>
          <w:i/>
        </w:rPr>
        <w:tab/>
        <w:t>The average exceedances of PM</w:t>
      </w:r>
      <w:r w:rsidRPr="00AB2652">
        <w:rPr>
          <w:rFonts w:ascii="Times New Roman" w:hAnsi="Times New Roman" w:cs="Times New Roman"/>
          <w:i/>
          <w:vertAlign w:val="subscript"/>
        </w:rPr>
        <w:t>10</w:t>
      </w:r>
      <w:r w:rsidRPr="00AB2652">
        <w:rPr>
          <w:rFonts w:ascii="Times New Roman" w:hAnsi="Times New Roman" w:cs="Times New Roman"/>
          <w:i/>
        </w:rPr>
        <w:t xml:space="preserve"> per year in an airshed is calculated as follows:</w:t>
      </w:r>
    </w:p>
    <w:p w14:paraId="12768A2B" w14:textId="1E221FA8" w:rsidR="000F1DC2" w:rsidRPr="0043717E" w:rsidRDefault="0043717E"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m:oMathPara>
        <m:oMath>
          <m:r>
            <w:rPr>
              <w:rFonts w:ascii="Cambria Math" w:hAnsi="Cambria Math"/>
            </w:rPr>
            <m:t>a=</m:t>
          </m:r>
          <m:f>
            <m:fPr>
              <m:ctrlPr>
                <w:rPr>
                  <w:rFonts w:ascii="Cambria Math" w:hAnsi="Cambria Math"/>
                  <w:i/>
                </w:rPr>
              </m:ctrlPr>
            </m:fPr>
            <m:num>
              <m:r>
                <w:rPr>
                  <w:rFonts w:ascii="Cambria Math" w:hAnsi="Cambria Math"/>
                </w:rPr>
                <m:t>e</m:t>
              </m:r>
            </m:num>
            <m:den>
              <m:r>
                <w:rPr>
                  <w:rFonts w:ascii="Cambria Math" w:hAnsi="Cambria Math"/>
                </w:rPr>
                <m:t>y</m:t>
              </m:r>
            </m:den>
          </m:f>
        </m:oMath>
      </m:oMathPara>
    </w:p>
    <w:p w14:paraId="689F5DA6"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AB2652">
        <w:rPr>
          <w:rFonts w:ascii="Times New Roman" w:hAnsi="Times New Roman" w:cs="Times New Roman"/>
          <w:i/>
        </w:rPr>
        <w:t>where---</w:t>
      </w:r>
    </w:p>
    <w:p w14:paraId="44D894D4"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AB2652">
        <w:rPr>
          <w:rFonts w:ascii="Times New Roman" w:hAnsi="Times New Roman" w:cs="Times New Roman"/>
          <w:i/>
        </w:rPr>
        <w:t>a</w:t>
      </w:r>
      <w:r w:rsidRPr="00AB2652">
        <w:rPr>
          <w:rFonts w:ascii="Times New Roman" w:hAnsi="Times New Roman" w:cs="Times New Roman"/>
          <w:i/>
        </w:rPr>
        <w:tab/>
        <w:t>is the average per year</w:t>
      </w:r>
    </w:p>
    <w:p w14:paraId="43D25598"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AB2652">
        <w:rPr>
          <w:rFonts w:ascii="Times New Roman" w:hAnsi="Times New Roman" w:cs="Times New Roman"/>
          <w:i/>
        </w:rPr>
        <w:t>e</w:t>
      </w:r>
      <w:r w:rsidRPr="00AB2652">
        <w:rPr>
          <w:rFonts w:ascii="Times New Roman" w:hAnsi="Times New Roman" w:cs="Times New Roman"/>
          <w:i/>
        </w:rPr>
        <w:tab/>
        <w:t>is the number of exceedances of PM</w:t>
      </w:r>
      <w:r w:rsidRPr="00AB2652">
        <w:rPr>
          <w:rFonts w:ascii="Times New Roman" w:hAnsi="Times New Roman" w:cs="Times New Roman"/>
          <w:i/>
          <w:vertAlign w:val="subscript"/>
        </w:rPr>
        <w:t>10</w:t>
      </w:r>
      <w:r w:rsidRPr="00AB2652">
        <w:rPr>
          <w:rFonts w:ascii="Times New Roman" w:hAnsi="Times New Roman" w:cs="Times New Roman"/>
          <w:i/>
        </w:rPr>
        <w:t xml:space="preserve"> in the airshed in the 1 or more 12-month periods for which the airshed had meaningful PM</w:t>
      </w:r>
      <w:r w:rsidRPr="00AB2652">
        <w:rPr>
          <w:rFonts w:ascii="Times New Roman" w:hAnsi="Times New Roman" w:cs="Times New Roman"/>
          <w:i/>
          <w:vertAlign w:val="subscript"/>
        </w:rPr>
        <w:t>10</w:t>
      </w:r>
      <w:r w:rsidRPr="00AB2652">
        <w:rPr>
          <w:rFonts w:ascii="Times New Roman" w:hAnsi="Times New Roman" w:cs="Times New Roman"/>
          <w:i/>
        </w:rPr>
        <w:t xml:space="preserve"> data in the relevant 5-year period</w:t>
      </w:r>
    </w:p>
    <w:p w14:paraId="772A741E"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AB2652">
        <w:rPr>
          <w:rFonts w:ascii="Times New Roman" w:hAnsi="Times New Roman" w:cs="Times New Roman"/>
          <w:i/>
        </w:rPr>
        <w:t>y</w:t>
      </w:r>
      <w:r w:rsidRPr="00AB2652">
        <w:rPr>
          <w:rFonts w:ascii="Times New Roman" w:hAnsi="Times New Roman" w:cs="Times New Roman"/>
          <w:i/>
        </w:rPr>
        <w:tab/>
        <w:t>is the number of those 12-month periods.</w:t>
      </w:r>
    </w:p>
    <w:p w14:paraId="32B5A32D" w14:textId="77777777" w:rsidR="000F1DC2" w:rsidRPr="00AB2652" w:rsidRDefault="000F1DC2" w:rsidP="000F1D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AB2652">
        <w:rPr>
          <w:rFonts w:ascii="Times New Roman" w:hAnsi="Times New Roman" w:cs="Times New Roman"/>
          <w:i/>
        </w:rPr>
        <w:t>(3)</w:t>
      </w:r>
      <w:r w:rsidRPr="00AB2652">
        <w:rPr>
          <w:rFonts w:ascii="Times New Roman" w:hAnsi="Times New Roman" w:cs="Times New Roman"/>
          <w:i/>
        </w:rPr>
        <w:tab/>
        <w:t>However, if an exceedance of PM</w:t>
      </w:r>
      <w:r w:rsidRPr="00AB2652">
        <w:rPr>
          <w:rFonts w:ascii="Times New Roman" w:hAnsi="Times New Roman" w:cs="Times New Roman"/>
          <w:i/>
          <w:vertAlign w:val="subscript"/>
        </w:rPr>
        <w:t>10</w:t>
      </w:r>
      <w:r w:rsidRPr="00AB2652">
        <w:rPr>
          <w:rFonts w:ascii="Times New Roman" w:hAnsi="Times New Roman" w:cs="Times New Roman"/>
          <w:i/>
        </w:rPr>
        <w:t xml:space="preserve"> (relating to exceptional circumstances) must be ignored under regulation 16A(5), the exceedance must be excluded from the calculation.</w:t>
      </w:r>
    </w:p>
    <w:p w14:paraId="7D41CDFC" w14:textId="77777777" w:rsidR="000F1DC2" w:rsidRPr="009D3D3A" w:rsidRDefault="000F1DC2" w:rsidP="000F1DC2"/>
    <w:p w14:paraId="6088382D" w14:textId="77777777" w:rsidR="002F2A6A" w:rsidRPr="009D3D3A" w:rsidRDefault="002F2A6A" w:rsidP="000F1DC2">
      <w:r w:rsidRPr="009D3D3A">
        <w:t>The average number of exceedances of PM</w:t>
      </w:r>
      <w:r w:rsidRPr="009D3D3A">
        <w:rPr>
          <w:vertAlign w:val="subscript"/>
        </w:rPr>
        <w:t>10</w:t>
      </w:r>
      <w:r w:rsidRPr="009D3D3A">
        <w:t xml:space="preserve"> per year </w:t>
      </w:r>
      <w:r w:rsidR="0047345C" w:rsidRPr="009D3D3A">
        <w:t xml:space="preserve">when </w:t>
      </w:r>
      <w:r w:rsidRPr="009D3D3A">
        <w:t xml:space="preserve">calculated by this Regulation </w:t>
      </w:r>
      <w:r w:rsidR="0047345C" w:rsidRPr="009D3D3A">
        <w:t>is</w:t>
      </w:r>
      <w:r w:rsidRPr="009D3D3A">
        <w:t xml:space="preserve"> used to</w:t>
      </w:r>
      <w:r w:rsidR="00861ACB">
        <w:t xml:space="preserve"> determine whether</w:t>
      </w:r>
      <w:r w:rsidRPr="009D3D3A">
        <w:t>:</w:t>
      </w:r>
    </w:p>
    <w:p w14:paraId="64E00B75" w14:textId="77777777" w:rsidR="002F2A6A" w:rsidRPr="009D3D3A" w:rsidRDefault="002F2A6A" w:rsidP="00152DF6">
      <w:pPr>
        <w:pStyle w:val="Bullet"/>
        <w:numPr>
          <w:ilvl w:val="0"/>
          <w:numId w:val="13"/>
        </w:numPr>
        <w:ind w:left="357" w:hanging="357"/>
      </w:pPr>
      <w:r w:rsidRPr="009D3D3A">
        <w:t xml:space="preserve">split targets will apply in an airshed, and if they do whether </w:t>
      </w:r>
      <w:r w:rsidR="004C326D">
        <w:t>air quality must comply with the ambient standard by</w:t>
      </w:r>
      <w:r w:rsidRPr="009D3D3A">
        <w:t xml:space="preserve"> 2016 or 2020 (Regulation 16B(4))</w:t>
      </w:r>
    </w:p>
    <w:p w14:paraId="0224840A" w14:textId="77777777" w:rsidR="002F2A6A" w:rsidRPr="009D3D3A" w:rsidRDefault="00636E8F" w:rsidP="00152DF6">
      <w:pPr>
        <w:pStyle w:val="Bullet"/>
        <w:numPr>
          <w:ilvl w:val="0"/>
          <w:numId w:val="13"/>
        </w:numPr>
        <w:ind w:left="357" w:hanging="357"/>
      </w:pPr>
      <w:r>
        <w:t xml:space="preserve">an airshed is </w:t>
      </w:r>
      <w:r w:rsidR="002F2A6A" w:rsidRPr="009D3D3A">
        <w:t xml:space="preserve">polluted in accordance with Regulation 17(4)(a)(ii) and thus initiate </w:t>
      </w:r>
      <w:r w:rsidR="009D282F">
        <w:t xml:space="preserve">mandatory </w:t>
      </w:r>
      <w:r w:rsidR="002F2A6A" w:rsidRPr="009D3D3A">
        <w:t xml:space="preserve">offsets for any new industry that </w:t>
      </w:r>
      <w:r w:rsidR="009D282F">
        <w:t xml:space="preserve">has substantial </w:t>
      </w:r>
      <w:r w:rsidR="002F2A6A" w:rsidRPr="009D3D3A">
        <w:t xml:space="preserve">discharges </w:t>
      </w:r>
      <w:r w:rsidR="009D282F">
        <w:t xml:space="preserve">of </w:t>
      </w:r>
      <w:r w:rsidR="002F2A6A" w:rsidRPr="009D3D3A">
        <w:t>PM</w:t>
      </w:r>
      <w:r w:rsidR="002F2A6A" w:rsidRPr="009D3D3A">
        <w:rPr>
          <w:vertAlign w:val="subscript"/>
        </w:rPr>
        <w:t>10</w:t>
      </w:r>
      <w:r w:rsidR="002F2A6A" w:rsidRPr="009D3D3A">
        <w:t xml:space="preserve"> into the airshed. </w:t>
      </w:r>
    </w:p>
    <w:p w14:paraId="4DEA22C3" w14:textId="77777777" w:rsidR="0034334D" w:rsidRPr="009D3D3A" w:rsidRDefault="0034334D" w:rsidP="000F1DC2"/>
    <w:p w14:paraId="2A447659" w14:textId="77777777" w:rsidR="0047345C" w:rsidRDefault="0047345C" w:rsidP="000F1DC2">
      <w:r w:rsidRPr="009D3D3A">
        <w:t xml:space="preserve">When using Regulation 16D </w:t>
      </w:r>
      <w:r w:rsidR="004C326D">
        <w:t>exceedances</w:t>
      </w:r>
      <w:r w:rsidRPr="009D3D3A">
        <w:t xml:space="preserve"> allowed </w:t>
      </w:r>
      <w:r w:rsidR="004C326D">
        <w:t>by the Minister as exceptional events under</w:t>
      </w:r>
      <w:r w:rsidRPr="009D3D3A">
        <w:t xml:space="preserve"> Regulation 16A (discussed in </w:t>
      </w:r>
      <w:r w:rsidRPr="00222A11">
        <w:t>sections 3.8 and 4.</w:t>
      </w:r>
      <w:r w:rsidR="00222A11" w:rsidRPr="00222A11">
        <w:t>9</w:t>
      </w:r>
      <w:r w:rsidRPr="00222A11">
        <w:t>)</w:t>
      </w:r>
      <w:r w:rsidRPr="009D3D3A">
        <w:t xml:space="preserve"> must be ignored.</w:t>
      </w:r>
    </w:p>
    <w:p w14:paraId="1F7D0734" w14:textId="77777777" w:rsidR="00A43A4A" w:rsidRDefault="00A43A4A" w:rsidP="000F1DC2"/>
    <w:p w14:paraId="1A8A2BB0" w14:textId="77777777" w:rsidR="00BA0B6D" w:rsidRDefault="009D3D3A" w:rsidP="004F25C0">
      <w:r w:rsidRPr="00222A11">
        <w:t xml:space="preserve">Example 4.1 in section 4.4.2 </w:t>
      </w:r>
      <w:r w:rsidRPr="009D3D3A">
        <w:t xml:space="preserve">shows how the calculation in Regulation 16D is used.  </w:t>
      </w:r>
    </w:p>
    <w:p w14:paraId="41BAB197" w14:textId="77777777" w:rsidR="00BA0B6D" w:rsidRDefault="00BA0B6D" w:rsidP="004F25C0"/>
    <w:p w14:paraId="323BBF9A" w14:textId="77777777" w:rsidR="004F25C0" w:rsidRPr="00B70916" w:rsidRDefault="004F25C0" w:rsidP="004F25C0">
      <w:r w:rsidRPr="00B70916">
        <w:t>Irrespective of how many exceedances an airshed is allowed, and how they are calculated, a regional council must still:</w:t>
      </w:r>
    </w:p>
    <w:p w14:paraId="3932574E" w14:textId="77777777" w:rsidR="004F25C0" w:rsidRPr="00B70916" w:rsidRDefault="00B70916" w:rsidP="00152DF6">
      <w:pPr>
        <w:pStyle w:val="Bullet"/>
        <w:numPr>
          <w:ilvl w:val="0"/>
          <w:numId w:val="13"/>
        </w:numPr>
      </w:pPr>
      <w:r w:rsidRPr="00B70916">
        <w:t xml:space="preserve">monitor </w:t>
      </w:r>
      <w:r w:rsidR="004F25C0" w:rsidRPr="00B70916">
        <w:t xml:space="preserve">air quality within an airshed </w:t>
      </w:r>
      <w:r w:rsidR="009D282F">
        <w:t>if</w:t>
      </w:r>
      <w:r w:rsidR="004F25C0" w:rsidRPr="00B70916">
        <w:t xml:space="preserve"> the airshed is likely to </w:t>
      </w:r>
      <w:r w:rsidR="00AA0A83">
        <w:t>breach</w:t>
      </w:r>
      <w:r w:rsidR="004F25C0" w:rsidRPr="00B70916">
        <w:t xml:space="preserve"> the PM</w:t>
      </w:r>
      <w:r w:rsidR="004F25C0" w:rsidRPr="00B70916">
        <w:rPr>
          <w:vertAlign w:val="subscript"/>
        </w:rPr>
        <w:t>10</w:t>
      </w:r>
      <w:r w:rsidR="004F25C0" w:rsidRPr="00B70916">
        <w:t xml:space="preserve"> standard </w:t>
      </w:r>
    </w:p>
    <w:p w14:paraId="5B4C1570" w14:textId="77777777" w:rsidR="004F25C0" w:rsidRPr="00B70916" w:rsidRDefault="00B70916" w:rsidP="00152DF6">
      <w:pPr>
        <w:pStyle w:val="Bullet"/>
        <w:numPr>
          <w:ilvl w:val="0"/>
          <w:numId w:val="13"/>
        </w:numPr>
      </w:pPr>
      <w:r w:rsidRPr="00B70916">
        <w:t xml:space="preserve">give </w:t>
      </w:r>
      <w:r w:rsidR="004F25C0" w:rsidRPr="00B70916">
        <w:t>public notice if the ambient PM</w:t>
      </w:r>
      <w:r w:rsidR="004F25C0" w:rsidRPr="00B70916">
        <w:rPr>
          <w:vertAlign w:val="subscript"/>
        </w:rPr>
        <w:t>10</w:t>
      </w:r>
      <w:r w:rsidR="004F25C0" w:rsidRPr="00B70916">
        <w:t xml:space="preserve"> standard is breached (ie</w:t>
      </w:r>
      <w:r w:rsidR="009D282F">
        <w:t>,</w:t>
      </w:r>
      <w:r w:rsidR="004F25C0" w:rsidRPr="00B70916">
        <w:t xml:space="preserve"> </w:t>
      </w:r>
      <w:r w:rsidR="009D282F">
        <w:t xml:space="preserve">as </w:t>
      </w:r>
      <w:r w:rsidR="004F25C0" w:rsidRPr="00B70916">
        <w:t xml:space="preserve">soon as the 2nd exceedance occurs) and for each exceedance thereafter </w:t>
      </w:r>
    </w:p>
    <w:p w14:paraId="10DF5C2E" w14:textId="77777777" w:rsidR="004F25C0" w:rsidRPr="00B70916" w:rsidRDefault="00B70916" w:rsidP="00152DF6">
      <w:pPr>
        <w:pStyle w:val="Bullet"/>
        <w:numPr>
          <w:ilvl w:val="0"/>
          <w:numId w:val="13"/>
        </w:numPr>
      </w:pPr>
      <w:r w:rsidRPr="00B70916">
        <w:t xml:space="preserve">have </w:t>
      </w:r>
      <w:r w:rsidR="004F25C0" w:rsidRPr="00B70916">
        <w:t xml:space="preserve">5 clear years of </w:t>
      </w:r>
      <w:r w:rsidR="009D282F">
        <w:t xml:space="preserve">compliance (ie, </w:t>
      </w:r>
      <w:r>
        <w:t>one</w:t>
      </w:r>
      <w:r w:rsidR="004F25C0" w:rsidRPr="00B70916">
        <w:t xml:space="preserve"> or less exceedances</w:t>
      </w:r>
      <w:r w:rsidR="009D282F">
        <w:t>) to no longer be defined as polluted (and thus require mandatory offsets for new consents for large sources of PM</w:t>
      </w:r>
      <w:r w:rsidR="009D282F" w:rsidRPr="009D282F">
        <w:rPr>
          <w:vertAlign w:val="subscript"/>
        </w:rPr>
        <w:t>10</w:t>
      </w:r>
      <w:r w:rsidR="009D282F">
        <w:t>)</w:t>
      </w:r>
      <w:r w:rsidR="004F25C0" w:rsidRPr="00B70916">
        <w:t xml:space="preserve"> </w:t>
      </w:r>
    </w:p>
    <w:p w14:paraId="63E0192A" w14:textId="77777777" w:rsidR="004F25C0" w:rsidRDefault="00B70916" w:rsidP="00152DF6">
      <w:pPr>
        <w:pStyle w:val="Bullet"/>
        <w:numPr>
          <w:ilvl w:val="0"/>
          <w:numId w:val="13"/>
        </w:numPr>
      </w:pPr>
      <w:r w:rsidRPr="00B70916">
        <w:t xml:space="preserve">notify, </w:t>
      </w:r>
      <w:r>
        <w:t>within 6 months of</w:t>
      </w:r>
      <w:r w:rsidRPr="00B70916">
        <w:t xml:space="preserve"> the PM</w:t>
      </w:r>
      <w:r w:rsidRPr="00B70916">
        <w:rPr>
          <w:vertAlign w:val="subscript"/>
        </w:rPr>
        <w:t>10</w:t>
      </w:r>
      <w:r w:rsidRPr="00B70916">
        <w:t xml:space="preserve"> standard </w:t>
      </w:r>
      <w:r>
        <w:t>being</w:t>
      </w:r>
      <w:r w:rsidRPr="00B70916">
        <w:t xml:space="preserve"> breached</w:t>
      </w:r>
      <w:r w:rsidR="009D282F">
        <w:t xml:space="preserve"> after 1 September 2011</w:t>
      </w:r>
      <w:r>
        <w:t>,</w:t>
      </w:r>
      <w:r w:rsidR="004F25C0" w:rsidRPr="00B70916">
        <w:t xml:space="preserve"> that new solid-fuel burning open fires will be banned a year from date of </w:t>
      </w:r>
      <w:r w:rsidR="009D282F">
        <w:t>breach</w:t>
      </w:r>
      <w:r w:rsidR="004F25C0" w:rsidRPr="00B70916">
        <w:t>.</w:t>
      </w:r>
    </w:p>
    <w:p w14:paraId="273252E6" w14:textId="77777777" w:rsidR="002F4277" w:rsidRPr="00B70916" w:rsidRDefault="002F4277" w:rsidP="002F4277">
      <w:pPr>
        <w:pStyle w:val="BodyText"/>
      </w:pPr>
    </w:p>
    <w:p w14:paraId="50A317F2" w14:textId="77777777" w:rsidR="009C474F" w:rsidRDefault="00A43A4A" w:rsidP="00AD10EA">
      <w:pPr>
        <w:pStyle w:val="Heading2"/>
      </w:pPr>
      <w:bookmarkStart w:id="122" w:name="_Toc300856616"/>
      <w:r>
        <w:t>4.8</w:t>
      </w:r>
      <w:r w:rsidR="00B008DC">
        <w:tab/>
      </w:r>
      <w:r w:rsidR="009C474F">
        <w:t>R</w:t>
      </w:r>
      <w:r w:rsidR="00AD10EA">
        <w:t>e</w:t>
      </w:r>
      <w:r w:rsidR="009C474F">
        <w:t>porting</w:t>
      </w:r>
      <w:r w:rsidR="005B1939">
        <w:t xml:space="preserve"> of </w:t>
      </w:r>
      <w:r w:rsidR="00AA0A83">
        <w:t>breaches</w:t>
      </w:r>
      <w:bookmarkEnd w:id="122"/>
    </w:p>
    <w:p w14:paraId="1BDA8951" w14:textId="77777777" w:rsidR="001E0D1C" w:rsidRDefault="001E0D1C" w:rsidP="001E0D1C">
      <w:pPr>
        <w:pStyle w:val="BodyText"/>
      </w:pPr>
      <w:r w:rsidRPr="00BA0B6D">
        <w:t>Section 3.7 details</w:t>
      </w:r>
      <w:r w:rsidRPr="004A348C">
        <w:t xml:space="preserve"> the reporting of </w:t>
      </w:r>
      <w:r w:rsidR="00AA0A83">
        <w:t xml:space="preserve">breaches </w:t>
      </w:r>
      <w:r w:rsidRPr="004A348C">
        <w:t>of the ambient standards by public notice.  To summarise</w:t>
      </w:r>
      <w:r w:rsidR="00F6116D">
        <w:t>,</w:t>
      </w:r>
      <w:r>
        <w:t xml:space="preserve"> exceedances of the ambient PM</w:t>
      </w:r>
      <w:r w:rsidRPr="001E0D1C">
        <w:rPr>
          <w:vertAlign w:val="subscript"/>
        </w:rPr>
        <w:t>10</w:t>
      </w:r>
      <w:r w:rsidR="00BA0B6D">
        <w:t xml:space="preserve"> standard must be public</w:t>
      </w:r>
      <w:r>
        <w:t>ly notified:</w:t>
      </w:r>
    </w:p>
    <w:p w14:paraId="29D29935" w14:textId="77777777" w:rsidR="001E0D1C" w:rsidRDefault="004A348C" w:rsidP="00152DF6">
      <w:pPr>
        <w:pStyle w:val="Bullet"/>
        <w:numPr>
          <w:ilvl w:val="0"/>
          <w:numId w:val="13"/>
        </w:numPr>
      </w:pPr>
      <w:r>
        <w:t>o</w:t>
      </w:r>
      <w:r w:rsidR="001E0D1C">
        <w:t>nce the strict ambient PM</w:t>
      </w:r>
      <w:r w:rsidR="001E0D1C" w:rsidRPr="001E0D1C">
        <w:rPr>
          <w:vertAlign w:val="subscript"/>
        </w:rPr>
        <w:t>10</w:t>
      </w:r>
      <w:r w:rsidR="001E0D1C">
        <w:t xml:space="preserve"> standard (ie, one exceedance of the PM</w:t>
      </w:r>
      <w:r w:rsidR="001E0D1C" w:rsidRPr="004A348C">
        <w:rPr>
          <w:vertAlign w:val="subscript"/>
        </w:rPr>
        <w:t>10</w:t>
      </w:r>
      <w:r w:rsidR="001E0D1C">
        <w:t xml:space="preserve"> concentration threshold of 50 </w:t>
      </w:r>
      <w:r w:rsidR="001E0D1C" w:rsidRPr="004A348C">
        <w:rPr>
          <w:rFonts w:ascii="Symbol" w:hAnsi="Symbol"/>
        </w:rPr>
        <w:t></w:t>
      </w:r>
      <w:r w:rsidR="001E0D1C">
        <w:t>g.m</w:t>
      </w:r>
      <w:r w:rsidR="001E0D1C" w:rsidRPr="004A348C">
        <w:rPr>
          <w:vertAlign w:val="superscript"/>
        </w:rPr>
        <w:t>-3</w:t>
      </w:r>
      <w:r w:rsidRPr="004A348C">
        <w:rPr>
          <w:vertAlign w:val="superscript"/>
        </w:rPr>
        <w:t xml:space="preserve"> </w:t>
      </w:r>
      <w:r>
        <w:t>(24-hour average) in a year)</w:t>
      </w:r>
      <w:r w:rsidR="001E0D1C">
        <w:t xml:space="preserve"> in a</w:t>
      </w:r>
      <w:r>
        <w:t>n airshed</w:t>
      </w:r>
      <w:r w:rsidR="001E0D1C">
        <w:t xml:space="preserve"> has been breached</w:t>
      </w:r>
      <w:r w:rsidR="009D282F">
        <w:t xml:space="preserve"> (irrespective of whether or not such breaches are allowed under Regulation 16B)</w:t>
      </w:r>
    </w:p>
    <w:p w14:paraId="0F4C4340" w14:textId="77777777" w:rsidR="001E0D1C" w:rsidRDefault="004A348C" w:rsidP="00152DF6">
      <w:pPr>
        <w:pStyle w:val="Bullet"/>
        <w:numPr>
          <w:ilvl w:val="0"/>
          <w:numId w:val="13"/>
        </w:numPr>
      </w:pPr>
      <w:r>
        <w:t>in accordance with the definition of public notice within the RMA</w:t>
      </w:r>
    </w:p>
    <w:p w14:paraId="7BBC9C2D" w14:textId="77777777" w:rsidR="004A348C" w:rsidRDefault="004A348C" w:rsidP="00152DF6">
      <w:pPr>
        <w:pStyle w:val="Bullet"/>
        <w:numPr>
          <w:ilvl w:val="0"/>
          <w:numId w:val="13"/>
        </w:numPr>
      </w:pPr>
      <w:r>
        <w:t>at least once a month until there is no further breach (ie, 12 months from the last</w:t>
      </w:r>
      <w:r w:rsidR="00C346FE">
        <w:t xml:space="preserve"> breach).</w:t>
      </w:r>
    </w:p>
    <w:p w14:paraId="0DC077D1" w14:textId="77777777" w:rsidR="00B008DC" w:rsidRDefault="00B008DC" w:rsidP="00502B92">
      <w:pPr>
        <w:rPr>
          <w:highlight w:val="yellow"/>
        </w:rPr>
      </w:pPr>
    </w:p>
    <w:p w14:paraId="2BC13E01" w14:textId="77777777" w:rsidR="00F6116D" w:rsidRDefault="008A3043" w:rsidP="008A3043">
      <w:r>
        <w:t>The new solid-fuel burning open fire ban (Regulation 24A) also has requirements for public no</w:t>
      </w:r>
      <w:r w:rsidR="009D282F">
        <w:t>tification once it is initiated.</w:t>
      </w:r>
      <w:r>
        <w:t xml:space="preserve"> </w:t>
      </w:r>
      <w:r w:rsidR="009D282F">
        <w:t xml:space="preserve">This </w:t>
      </w:r>
      <w:r>
        <w:t xml:space="preserve">is discussed in section </w:t>
      </w:r>
      <w:r w:rsidRPr="00BA0B6D">
        <w:t>5.3.4.</w:t>
      </w:r>
    </w:p>
    <w:p w14:paraId="2F74853B" w14:textId="77777777" w:rsidR="00F6116D" w:rsidRDefault="00F6116D" w:rsidP="008A3043"/>
    <w:p w14:paraId="2427EC3F" w14:textId="77777777" w:rsidR="00B008DC" w:rsidRDefault="00F6116D" w:rsidP="008A3043">
      <w:r>
        <w:t>Examples of public notices are given in Appendix 3 and Appendix 6.</w:t>
      </w:r>
    </w:p>
    <w:p w14:paraId="2A9EEF20" w14:textId="77777777" w:rsidR="002F4277" w:rsidRDefault="002F4277" w:rsidP="008A3043"/>
    <w:p w14:paraId="2E4867FB" w14:textId="77777777" w:rsidR="00B008DC" w:rsidRDefault="00A43A4A" w:rsidP="00B008DC">
      <w:pPr>
        <w:pStyle w:val="Heading2"/>
      </w:pPr>
      <w:bookmarkStart w:id="123" w:name="_Toc300856617"/>
      <w:r>
        <w:t>4.9</w:t>
      </w:r>
      <w:r w:rsidR="00516FDF">
        <w:tab/>
        <w:t>Exceptional c</w:t>
      </w:r>
      <w:r w:rsidR="00B008DC">
        <w:t>ircumstances</w:t>
      </w:r>
      <w:bookmarkEnd w:id="123"/>
    </w:p>
    <w:p w14:paraId="2AC9DB5B" w14:textId="77777777" w:rsidR="00B008DC" w:rsidRDefault="00916BD7" w:rsidP="00502B92">
      <w:r>
        <w:t xml:space="preserve">Section 3.8 discusses the exceptional circumstances where an exceedance can be </w:t>
      </w:r>
      <w:r w:rsidR="00007159">
        <w:t>ignored</w:t>
      </w:r>
      <w:r w:rsidR="000B5B4E">
        <w:t xml:space="preserve"> (</w:t>
      </w:r>
      <w:r w:rsidR="009D282F">
        <w:t xml:space="preserve">ie, </w:t>
      </w:r>
      <w:r w:rsidR="000B5B4E">
        <w:t>an ‘exceptional event’)</w:t>
      </w:r>
      <w:r w:rsidR="00C70706">
        <w:t xml:space="preserve">. </w:t>
      </w:r>
      <w:r w:rsidR="00007159">
        <w:t>To summarise</w:t>
      </w:r>
      <w:r w:rsidR="00A43A4A">
        <w:t>,</w:t>
      </w:r>
      <w:r w:rsidR="00007159">
        <w:t xml:space="preserve"> exceptional </w:t>
      </w:r>
      <w:r w:rsidR="005752A8">
        <w:t>circumstances</w:t>
      </w:r>
      <w:r w:rsidR="00007159">
        <w:t>:</w:t>
      </w:r>
    </w:p>
    <w:p w14:paraId="1CF0FD5D" w14:textId="77777777" w:rsidR="003C3B77" w:rsidRDefault="009D282F" w:rsidP="00152DF6">
      <w:pPr>
        <w:pStyle w:val="Bullet"/>
        <w:numPr>
          <w:ilvl w:val="0"/>
          <w:numId w:val="13"/>
        </w:numPr>
      </w:pPr>
      <w:r>
        <w:t xml:space="preserve">may </w:t>
      </w:r>
      <w:r w:rsidR="00D44ADF">
        <w:t xml:space="preserve">be considered by the Minister for the Environment on </w:t>
      </w:r>
      <w:r w:rsidR="003C3B77">
        <w:t xml:space="preserve">criteria </w:t>
      </w:r>
      <w:r>
        <w:t>including</w:t>
      </w:r>
      <w:r w:rsidR="00D44ADF">
        <w:t>:</w:t>
      </w:r>
    </w:p>
    <w:p w14:paraId="6434A150" w14:textId="77777777" w:rsidR="005752A8" w:rsidRPr="005752A8" w:rsidRDefault="00272D7D" w:rsidP="005752A8">
      <w:pPr>
        <w:pStyle w:val="Bullet"/>
        <w:numPr>
          <w:ilvl w:val="1"/>
          <w:numId w:val="13"/>
        </w:numPr>
      </w:pPr>
      <w:r>
        <w:t>c</w:t>
      </w:r>
      <w:r w:rsidRPr="005752A8">
        <w:t xml:space="preserve">ausation </w:t>
      </w:r>
      <w:r w:rsidR="005752A8" w:rsidRPr="005752A8">
        <w:t>– whether the exceedance was caused by the events being assessed</w:t>
      </w:r>
    </w:p>
    <w:p w14:paraId="521D73AC" w14:textId="77777777" w:rsidR="005752A8" w:rsidRPr="005752A8" w:rsidRDefault="00272D7D" w:rsidP="005752A8">
      <w:pPr>
        <w:pStyle w:val="Bullet"/>
        <w:numPr>
          <w:ilvl w:val="1"/>
          <w:numId w:val="13"/>
        </w:numPr>
      </w:pPr>
      <w:r>
        <w:t>c</w:t>
      </w:r>
      <w:r w:rsidRPr="005752A8">
        <w:t xml:space="preserve">ontrol </w:t>
      </w:r>
      <w:r w:rsidR="005752A8" w:rsidRPr="005752A8">
        <w:t>–the circumstances must be beyond the reasonable control of the regional council</w:t>
      </w:r>
    </w:p>
    <w:p w14:paraId="4EEB5FC1" w14:textId="77777777" w:rsidR="005752A8" w:rsidRPr="005752A8" w:rsidRDefault="00272D7D" w:rsidP="005752A8">
      <w:pPr>
        <w:pStyle w:val="Bullet"/>
        <w:numPr>
          <w:ilvl w:val="1"/>
          <w:numId w:val="13"/>
        </w:numPr>
      </w:pPr>
      <w:r>
        <w:t>f</w:t>
      </w:r>
      <w:r w:rsidRPr="005752A8">
        <w:t xml:space="preserve">oreseeability </w:t>
      </w:r>
      <w:r>
        <w:t>–</w:t>
      </w:r>
      <w:r w:rsidR="005752A8" w:rsidRPr="005752A8">
        <w:t xml:space="preserve"> </w:t>
      </w:r>
      <w:r w:rsidR="005752A8" w:rsidRPr="005752A8">
        <w:rPr>
          <w:bCs/>
          <w:szCs w:val="24"/>
        </w:rPr>
        <w:t>an assessment of whether the circumstances were able to be reasonably predicted and/or planned for</w:t>
      </w:r>
    </w:p>
    <w:p w14:paraId="36C559E3" w14:textId="77777777" w:rsidR="005752A8" w:rsidRPr="005752A8" w:rsidRDefault="00272D7D" w:rsidP="005752A8">
      <w:pPr>
        <w:pStyle w:val="Bullet"/>
        <w:numPr>
          <w:ilvl w:val="1"/>
          <w:numId w:val="13"/>
        </w:numPr>
      </w:pPr>
      <w:r>
        <w:rPr>
          <w:bCs/>
          <w:szCs w:val="24"/>
        </w:rPr>
        <w:t>f</w:t>
      </w:r>
      <w:r w:rsidRPr="005752A8">
        <w:rPr>
          <w:bCs/>
          <w:szCs w:val="24"/>
        </w:rPr>
        <w:t xml:space="preserve">requency </w:t>
      </w:r>
      <w:r w:rsidR="005752A8" w:rsidRPr="005752A8">
        <w:rPr>
          <w:bCs/>
          <w:szCs w:val="24"/>
        </w:rPr>
        <w:t>and likelihood of reoccurrence – an assessment of how unusual the events were</w:t>
      </w:r>
    </w:p>
    <w:p w14:paraId="4C162D16" w14:textId="77777777" w:rsidR="005752A8" w:rsidRDefault="00272D7D" w:rsidP="005752A8">
      <w:pPr>
        <w:pStyle w:val="Bullet"/>
        <w:numPr>
          <w:ilvl w:val="1"/>
          <w:numId w:val="13"/>
        </w:numPr>
      </w:pPr>
      <w:r>
        <w:rPr>
          <w:bCs/>
          <w:szCs w:val="24"/>
        </w:rPr>
        <w:t>p</w:t>
      </w:r>
      <w:r w:rsidRPr="005752A8">
        <w:rPr>
          <w:bCs/>
          <w:szCs w:val="24"/>
        </w:rPr>
        <w:t xml:space="preserve">urpose </w:t>
      </w:r>
      <w:r w:rsidR="005752A8" w:rsidRPr="005752A8">
        <w:rPr>
          <w:bCs/>
          <w:szCs w:val="24"/>
        </w:rPr>
        <w:t>of the RMA – whether a determination that circumstances were exceptional is consistent with the purpose</w:t>
      </w:r>
      <w:r w:rsidR="005752A8" w:rsidRPr="00282C1C">
        <w:rPr>
          <w:bCs/>
          <w:szCs w:val="24"/>
        </w:rPr>
        <w:t xml:space="preserve"> of the RMA</w:t>
      </w:r>
    </w:p>
    <w:p w14:paraId="09CC73BF" w14:textId="77777777" w:rsidR="000B5B4E" w:rsidRDefault="009D282F" w:rsidP="00152DF6">
      <w:pPr>
        <w:pStyle w:val="Bullet"/>
        <w:numPr>
          <w:ilvl w:val="0"/>
          <w:numId w:val="13"/>
        </w:numPr>
      </w:pPr>
      <w:r>
        <w:t xml:space="preserve">must </w:t>
      </w:r>
      <w:r w:rsidR="000B5B4E">
        <w:t xml:space="preserve">be </w:t>
      </w:r>
      <w:r>
        <w:t>the subject of an application</w:t>
      </w:r>
      <w:r w:rsidR="000B5B4E">
        <w:t xml:space="preserve"> to the Minister within 3 months of the event occurring</w:t>
      </w:r>
    </w:p>
    <w:p w14:paraId="03811632" w14:textId="77777777" w:rsidR="000B5B4E" w:rsidRDefault="009D282F" w:rsidP="00152DF6">
      <w:pPr>
        <w:pStyle w:val="Bullet"/>
        <w:numPr>
          <w:ilvl w:val="0"/>
          <w:numId w:val="13"/>
        </w:numPr>
      </w:pPr>
      <w:r>
        <w:t xml:space="preserve">must </w:t>
      </w:r>
      <w:r w:rsidR="000B5B4E">
        <w:t>be decided by the Minister within 3 months of receiving the application</w:t>
      </w:r>
    </w:p>
    <w:p w14:paraId="0A3D2B4C" w14:textId="77777777" w:rsidR="000B5B4E" w:rsidRDefault="009D282F" w:rsidP="00152DF6">
      <w:pPr>
        <w:pStyle w:val="Bullet"/>
        <w:numPr>
          <w:ilvl w:val="0"/>
          <w:numId w:val="13"/>
        </w:numPr>
      </w:pPr>
      <w:r>
        <w:t xml:space="preserve">must </w:t>
      </w:r>
      <w:r w:rsidR="000B5B4E">
        <w:t>be ignored</w:t>
      </w:r>
      <w:r w:rsidR="00D44ADF">
        <w:t>,</w:t>
      </w:r>
      <w:r w:rsidR="000B5B4E">
        <w:t xml:space="preserve"> </w:t>
      </w:r>
      <w:r w:rsidR="00D44ADF">
        <w:t>in relation to PM</w:t>
      </w:r>
      <w:r w:rsidR="00D44ADF" w:rsidRPr="00D44ADF">
        <w:rPr>
          <w:vertAlign w:val="subscript"/>
        </w:rPr>
        <w:t>10</w:t>
      </w:r>
      <w:r w:rsidR="00D44ADF">
        <w:t xml:space="preserve"> </w:t>
      </w:r>
      <w:r w:rsidR="003C3B77">
        <w:t>for Regulations 16B, 16D, 17</w:t>
      </w:r>
      <w:r w:rsidR="00D44ADF">
        <w:t xml:space="preserve"> and 24A, </w:t>
      </w:r>
      <w:r w:rsidR="000B5B4E">
        <w:t>if the Minister for the Environment decides they are an exceptional event</w:t>
      </w:r>
    </w:p>
    <w:p w14:paraId="67B2BFC0" w14:textId="77777777" w:rsidR="000B5B4E" w:rsidRDefault="009D282F" w:rsidP="00152DF6">
      <w:pPr>
        <w:pStyle w:val="Bullet"/>
        <w:numPr>
          <w:ilvl w:val="0"/>
          <w:numId w:val="13"/>
        </w:numPr>
      </w:pPr>
      <w:r>
        <w:t xml:space="preserve">must </w:t>
      </w:r>
      <w:r w:rsidR="000B5B4E">
        <w:t xml:space="preserve">still be </w:t>
      </w:r>
      <w:r w:rsidR="00BA0B6D">
        <w:t>public</w:t>
      </w:r>
      <w:r>
        <w:t xml:space="preserve">ly </w:t>
      </w:r>
      <w:r w:rsidR="000B5B4E">
        <w:t xml:space="preserve">notified </w:t>
      </w:r>
      <w:r>
        <w:t>if a breach</w:t>
      </w:r>
      <w:r w:rsidR="000B5B4E">
        <w:t xml:space="preserve"> (</w:t>
      </w:r>
      <w:r w:rsidR="00FD2563">
        <w:t xml:space="preserve">See </w:t>
      </w:r>
      <w:r w:rsidR="000B5B4E" w:rsidRPr="00BA0B6D">
        <w:t xml:space="preserve">sections 3.7 and </w:t>
      </w:r>
      <w:r w:rsidR="00BA0B6D" w:rsidRPr="00BA0B6D">
        <w:t>4.8</w:t>
      </w:r>
      <w:r w:rsidR="000B5B4E">
        <w:t>)</w:t>
      </w:r>
      <w:r w:rsidR="00D44ADF">
        <w:t>.</w:t>
      </w:r>
    </w:p>
    <w:p w14:paraId="4F730AFB" w14:textId="77777777" w:rsidR="00AB5A3C" w:rsidRDefault="00AB5A3C">
      <w:pPr>
        <w:jc w:val="left"/>
        <w:rPr>
          <w:rFonts w:ascii="Arial" w:hAnsi="Arial"/>
          <w:b/>
          <w:sz w:val="36"/>
        </w:rPr>
      </w:pPr>
      <w:bookmarkStart w:id="124" w:name="_Toc300856618"/>
      <w:r>
        <w:br w:type="page"/>
      </w:r>
    </w:p>
    <w:p w14:paraId="0B791E0C" w14:textId="77777777" w:rsidR="002E1D2A" w:rsidRDefault="002E1D2A" w:rsidP="002E1D2A">
      <w:pPr>
        <w:pStyle w:val="Heading2"/>
      </w:pPr>
      <w:r>
        <w:t>4.10</w:t>
      </w:r>
      <w:r>
        <w:tab/>
        <w:t>The PM</w:t>
      </w:r>
      <w:r w:rsidRPr="00A408A9">
        <w:rPr>
          <w:vertAlign w:val="subscript"/>
        </w:rPr>
        <w:t>10</w:t>
      </w:r>
      <w:r>
        <w:t xml:space="preserve"> standard and resource consents</w:t>
      </w:r>
      <w:bookmarkEnd w:id="124"/>
    </w:p>
    <w:p w14:paraId="40826430" w14:textId="77777777" w:rsidR="002E1D2A" w:rsidRDefault="002E1D2A" w:rsidP="002E1D2A">
      <w:r w:rsidRPr="00596052">
        <w:t>The ambient PM</w:t>
      </w:r>
      <w:r w:rsidRPr="00596052">
        <w:rPr>
          <w:vertAlign w:val="subscript"/>
        </w:rPr>
        <w:t>10</w:t>
      </w:r>
      <w:r>
        <w:t xml:space="preserve"> standard in </w:t>
      </w:r>
      <w:r w:rsidR="00272D7D">
        <w:t xml:space="preserve">Regulation </w:t>
      </w:r>
      <w:r w:rsidRPr="00596052">
        <w:t xml:space="preserve">13 and Schedule </w:t>
      </w:r>
      <w:r>
        <w:t xml:space="preserve">1 </w:t>
      </w:r>
      <w:r w:rsidRPr="00596052">
        <w:t xml:space="preserve">is aimed at providing a guaranteed level of health protection for New Zealanders. Some activities, </w:t>
      </w:r>
      <w:r>
        <w:t xml:space="preserve">especially </w:t>
      </w:r>
      <w:r w:rsidRPr="00596052">
        <w:t>large industri</w:t>
      </w:r>
      <w:r>
        <w:t>al discharges</w:t>
      </w:r>
      <w:r w:rsidRPr="00596052">
        <w:t xml:space="preserve">, can </w:t>
      </w:r>
      <w:r>
        <w:t>make substantial contributions PM</w:t>
      </w:r>
      <w:r w:rsidRPr="009D282F">
        <w:rPr>
          <w:vertAlign w:val="subscript"/>
        </w:rPr>
        <w:t>10</w:t>
      </w:r>
      <w:r w:rsidRPr="00596052">
        <w:t xml:space="preserve"> </w:t>
      </w:r>
      <w:r>
        <w:t xml:space="preserve">concentrations at a local level, </w:t>
      </w:r>
      <w:r w:rsidRPr="00596052">
        <w:t>either cumulatively</w:t>
      </w:r>
      <w:r>
        <w:t xml:space="preserve"> or </w:t>
      </w:r>
      <w:r w:rsidRPr="00596052">
        <w:t xml:space="preserve">individually. These </w:t>
      </w:r>
      <w:r>
        <w:t>discharges typically</w:t>
      </w:r>
      <w:r w:rsidRPr="00596052">
        <w:t xml:space="preserve"> require resource consents from regional councils.</w:t>
      </w:r>
    </w:p>
    <w:p w14:paraId="654A5742" w14:textId="77777777" w:rsidR="002E1D2A" w:rsidRDefault="002E1D2A" w:rsidP="002E1D2A"/>
    <w:p w14:paraId="7002664D" w14:textId="77777777" w:rsidR="002E1D2A" w:rsidRDefault="002E1D2A" w:rsidP="002E1D2A">
      <w:r>
        <w:t>The 2011 amendments to the Regulations introduced requirements for significant new industrial emissions into polluted airsheds to be ‘offset’ or counterbalanced by the removal of other emissions elsewhere in the airsheds. The intention was to allow new or expanded industrial (and other large) emitters into polluted airsheds, but only where their emissions have a net zero effect on air quality. Offsets were possible under Regulations before the 2011 amendments, but the manner in which o</w:t>
      </w:r>
      <w:r w:rsidRPr="00596052">
        <w:t>ffsets</w:t>
      </w:r>
      <w:r>
        <w:t xml:space="preserve"> should be incorporated into resource consents has</w:t>
      </w:r>
      <w:r w:rsidRPr="00596052">
        <w:t xml:space="preserve"> been substantially modified</w:t>
      </w:r>
      <w:r>
        <w:t xml:space="preserve"> in the amended Regulations</w:t>
      </w:r>
      <w:r w:rsidRPr="00596052">
        <w:t xml:space="preserve">. </w:t>
      </w:r>
    </w:p>
    <w:p w14:paraId="271B8452" w14:textId="77777777" w:rsidR="002E1D2A" w:rsidRDefault="002E1D2A" w:rsidP="002E1D2A"/>
    <w:p w14:paraId="65B00A70" w14:textId="77777777" w:rsidR="002E1D2A" w:rsidRPr="00596052" w:rsidRDefault="002E1D2A" w:rsidP="002E1D2A">
      <w:r w:rsidRPr="002619C0">
        <w:t xml:space="preserve">It </w:t>
      </w:r>
      <w:r>
        <w:t xml:space="preserve">was </w:t>
      </w:r>
      <w:r w:rsidRPr="00406180">
        <w:t>not</w:t>
      </w:r>
      <w:r w:rsidRPr="00D079AE">
        <w:t xml:space="preserve"> </w:t>
      </w:r>
      <w:r w:rsidRPr="002619C0">
        <w:t>intended that the offset requirements penalise industry</w:t>
      </w:r>
      <w:r>
        <w:t xml:space="preserve"> or other large emitters</w:t>
      </w:r>
      <w:r w:rsidRPr="002619C0">
        <w:t xml:space="preserve">. </w:t>
      </w:r>
      <w:r w:rsidR="00980682">
        <w:t>T</w:t>
      </w:r>
      <w:r>
        <w:t>he Regulations allow e</w:t>
      </w:r>
      <w:r w:rsidRPr="002619C0">
        <w:t xml:space="preserve">xisting </w:t>
      </w:r>
      <w:r>
        <w:t xml:space="preserve">emitters to </w:t>
      </w:r>
      <w:r w:rsidRPr="002619C0">
        <w:t>continue to operate without needing to offset</w:t>
      </w:r>
      <w:r>
        <w:t xml:space="preserve"> their emissions. It is only significant </w:t>
      </w:r>
      <w:r w:rsidRPr="002619C0">
        <w:t xml:space="preserve">new </w:t>
      </w:r>
      <w:r>
        <w:t xml:space="preserve">emitters, or those whose emissions are proposed to significantly increase, </w:t>
      </w:r>
      <w:r w:rsidR="00980682">
        <w:t xml:space="preserve">who </w:t>
      </w:r>
      <w:r w:rsidRPr="002619C0">
        <w:t xml:space="preserve">must have a </w:t>
      </w:r>
      <w:r>
        <w:t xml:space="preserve">net </w:t>
      </w:r>
      <w:r w:rsidRPr="002619C0">
        <w:t>zero</w:t>
      </w:r>
      <w:r>
        <w:t xml:space="preserve"> effect on </w:t>
      </w:r>
      <w:r w:rsidRPr="002619C0">
        <w:t>PM</w:t>
      </w:r>
      <w:r w:rsidRPr="002619C0">
        <w:rPr>
          <w:vertAlign w:val="subscript"/>
        </w:rPr>
        <w:t>10</w:t>
      </w:r>
      <w:r w:rsidRPr="002619C0">
        <w:t xml:space="preserve"> </w:t>
      </w:r>
      <w:r>
        <w:t>in an already polluted airshed by</w:t>
      </w:r>
      <w:r w:rsidRPr="002619C0">
        <w:t xml:space="preserve"> offsetting any PM</w:t>
      </w:r>
      <w:r w:rsidRPr="002619C0">
        <w:rPr>
          <w:vertAlign w:val="subscript"/>
        </w:rPr>
        <w:t>10</w:t>
      </w:r>
      <w:r w:rsidRPr="002619C0">
        <w:t xml:space="preserve"> they may discharge.</w:t>
      </w:r>
    </w:p>
    <w:p w14:paraId="2D8D63EC" w14:textId="77777777" w:rsidR="002E1D2A" w:rsidRPr="00596052" w:rsidRDefault="002E1D2A" w:rsidP="002E1D2A"/>
    <w:p w14:paraId="243F2A87" w14:textId="77777777" w:rsidR="002E1D2A" w:rsidRPr="00406180" w:rsidRDefault="002E1D2A" w:rsidP="002E1D2A">
      <w:r>
        <w:t>This section covers matters affecting resource consent applications for discharges of PM</w:t>
      </w:r>
      <w:r w:rsidRPr="00406180">
        <w:rPr>
          <w:vertAlign w:val="subscript"/>
        </w:rPr>
        <w:t>10</w:t>
      </w:r>
      <w:r>
        <w:t xml:space="preserve"> generally as they relate to the Regulations. It focuses primarily on </w:t>
      </w:r>
      <w:r w:rsidR="00980682">
        <w:t xml:space="preserve">Regulation </w:t>
      </w:r>
      <w:r>
        <w:t>17 of the Regulations, which relates to applications for discharge permits for PM</w:t>
      </w:r>
      <w:r w:rsidRPr="00406180">
        <w:rPr>
          <w:vertAlign w:val="subscript"/>
        </w:rPr>
        <w:t>10</w:t>
      </w:r>
      <w:r w:rsidR="002F4277">
        <w:t xml:space="preserve"> in polluted airsheds.</w:t>
      </w:r>
    </w:p>
    <w:p w14:paraId="264F560F" w14:textId="77777777" w:rsidR="002E1D2A" w:rsidRDefault="002E1D2A" w:rsidP="002E1D2A">
      <w:pPr>
        <w:pStyle w:val="Heading3"/>
      </w:pPr>
      <w:r>
        <w:t xml:space="preserve">4.10.1 New </w:t>
      </w:r>
      <w:r w:rsidR="00DD46BC">
        <w:t>R</w:t>
      </w:r>
      <w:r>
        <w:t>egulation 17 inserted in 2011</w:t>
      </w:r>
    </w:p>
    <w:p w14:paraId="4CA54F32" w14:textId="77777777" w:rsidR="002E1D2A" w:rsidRPr="00596052" w:rsidRDefault="002E1D2A" w:rsidP="002E1D2A">
      <w:r>
        <w:t>Regulation 17 states:</w:t>
      </w:r>
    </w:p>
    <w:p w14:paraId="7CDC1185" w14:textId="77777777" w:rsidR="002E1D2A" w:rsidRPr="00596052" w:rsidRDefault="002E1D2A" w:rsidP="002E1D2A"/>
    <w:p w14:paraId="21990BC9"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b/>
          <w:i/>
        </w:rPr>
      </w:pPr>
      <w:r w:rsidRPr="00B008DC">
        <w:rPr>
          <w:rFonts w:ascii="Times New Roman" w:hAnsi="Times New Roman" w:cs="Times New Roman"/>
          <w:b/>
          <w:i/>
        </w:rPr>
        <w:t>17</w:t>
      </w:r>
      <w:r w:rsidRPr="00B008DC">
        <w:rPr>
          <w:rFonts w:ascii="Times New Roman" w:hAnsi="Times New Roman" w:cs="Times New Roman"/>
          <w:b/>
          <w:i/>
        </w:rPr>
        <w:tab/>
        <w:t>Certain applications must be declined unless other PM</w:t>
      </w:r>
      <w:r w:rsidRPr="001E0D1C">
        <w:rPr>
          <w:rFonts w:ascii="Times New Roman" w:hAnsi="Times New Roman" w:cs="Times New Roman"/>
          <w:b/>
          <w:i/>
          <w:vertAlign w:val="subscript"/>
        </w:rPr>
        <w:t>10</w:t>
      </w:r>
      <w:r w:rsidRPr="00B008DC">
        <w:rPr>
          <w:rFonts w:ascii="Times New Roman" w:hAnsi="Times New Roman" w:cs="Times New Roman"/>
          <w:b/>
          <w:i/>
        </w:rPr>
        <w:t xml:space="preserve"> discharges reduced</w:t>
      </w:r>
    </w:p>
    <w:p w14:paraId="0765EA3A"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i/>
        </w:rPr>
      </w:pPr>
      <w:r w:rsidRPr="00B008DC">
        <w:rPr>
          <w:rFonts w:ascii="Times New Roman" w:hAnsi="Times New Roman" w:cs="Times New Roman"/>
          <w:i/>
        </w:rPr>
        <w:t>(1)</w:t>
      </w:r>
      <w:r w:rsidRPr="00B008DC">
        <w:rPr>
          <w:rFonts w:ascii="Times New Roman" w:hAnsi="Times New Roman" w:cs="Times New Roman"/>
          <w:i/>
        </w:rPr>
        <w:tab/>
        <w:t xml:space="preserve">A consent authority must decline an application for a resource consent (the </w:t>
      </w:r>
      <w:r w:rsidRPr="00B008DC">
        <w:rPr>
          <w:rFonts w:ascii="Times New Roman" w:hAnsi="Times New Roman" w:cs="Times New Roman"/>
          <w:b/>
          <w:i/>
        </w:rPr>
        <w:t>proposed consent</w:t>
      </w:r>
      <w:r w:rsidRPr="00B008DC">
        <w:rPr>
          <w:rFonts w:ascii="Times New Roman" w:hAnsi="Times New Roman" w:cs="Times New Roman"/>
          <w:i/>
        </w:rPr>
        <w:t>) to discharge PM</w:t>
      </w:r>
      <w:r w:rsidRPr="00B008DC">
        <w:rPr>
          <w:rFonts w:ascii="Times New Roman" w:hAnsi="Times New Roman" w:cs="Times New Roman"/>
          <w:i/>
          <w:vertAlign w:val="subscript"/>
        </w:rPr>
        <w:t>10</w:t>
      </w:r>
      <w:r w:rsidRPr="00B008DC">
        <w:rPr>
          <w:rFonts w:ascii="Times New Roman" w:hAnsi="Times New Roman" w:cs="Times New Roman"/>
          <w:i/>
        </w:rPr>
        <w:t xml:space="preserve"> if the discharge to be expressly allowed by the consent would be likely, at any time, to increase the concentration of PM</w:t>
      </w:r>
      <w:r w:rsidRPr="00B008DC">
        <w:rPr>
          <w:rFonts w:ascii="Times New Roman" w:hAnsi="Times New Roman" w:cs="Times New Roman"/>
          <w:i/>
          <w:vertAlign w:val="subscript"/>
        </w:rPr>
        <w:t>10</w:t>
      </w:r>
      <w:r w:rsidRPr="00B008DC">
        <w:rPr>
          <w:rFonts w:ascii="Times New Roman" w:hAnsi="Times New Roman" w:cs="Times New Roman"/>
          <w:i/>
        </w:rPr>
        <w:t xml:space="preserve"> (calculated as a 24-hour mean under Schedule 1) by more than 2.5 micrograms per cubic metre in any part of a polluted airshed other than the site on which the consent would be exercised.</w:t>
      </w:r>
    </w:p>
    <w:p w14:paraId="6BD75C21"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i/>
        </w:rPr>
      </w:pPr>
      <w:r w:rsidRPr="00B008DC">
        <w:rPr>
          <w:rFonts w:ascii="Times New Roman" w:hAnsi="Times New Roman" w:cs="Times New Roman"/>
          <w:i/>
        </w:rPr>
        <w:t>(2)</w:t>
      </w:r>
      <w:r w:rsidRPr="00B008DC">
        <w:rPr>
          <w:rFonts w:ascii="Times New Roman" w:hAnsi="Times New Roman" w:cs="Times New Roman"/>
          <w:i/>
        </w:rPr>
        <w:tab/>
        <w:t>However, subclause (1) does not apply if---</w:t>
      </w:r>
    </w:p>
    <w:p w14:paraId="3FF64C82"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(a)</w:t>
      </w:r>
      <w:r w:rsidRPr="00B008DC">
        <w:rPr>
          <w:rFonts w:ascii="Times New Roman" w:hAnsi="Times New Roman" w:cs="Times New Roman"/>
          <w:i/>
        </w:rPr>
        <w:tab/>
        <w:t xml:space="preserve">the proposed consent is for the same activity on the same site as another resource consent (the </w:t>
      </w:r>
      <w:r w:rsidRPr="00B008DC">
        <w:rPr>
          <w:rFonts w:ascii="Times New Roman" w:hAnsi="Times New Roman" w:cs="Times New Roman"/>
          <w:b/>
          <w:i/>
        </w:rPr>
        <w:t>existing consent</w:t>
      </w:r>
      <w:r w:rsidRPr="00B008DC">
        <w:rPr>
          <w:rFonts w:ascii="Times New Roman" w:hAnsi="Times New Roman" w:cs="Times New Roman"/>
          <w:i/>
        </w:rPr>
        <w:t>) held by the applicant when the application was made; and</w:t>
      </w:r>
    </w:p>
    <w:p w14:paraId="66E1EE11"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(b)</w:t>
      </w:r>
      <w:r w:rsidRPr="00B008DC">
        <w:rPr>
          <w:rFonts w:ascii="Times New Roman" w:hAnsi="Times New Roman" w:cs="Times New Roman"/>
          <w:i/>
        </w:rPr>
        <w:tab/>
        <w:t>the amount and rate of PM</w:t>
      </w:r>
      <w:r w:rsidRPr="00B008DC">
        <w:rPr>
          <w:rFonts w:ascii="Times New Roman" w:hAnsi="Times New Roman" w:cs="Times New Roman"/>
          <w:i/>
          <w:vertAlign w:val="subscript"/>
        </w:rPr>
        <w:t>10</w:t>
      </w:r>
      <w:r w:rsidRPr="00B008DC">
        <w:rPr>
          <w:rFonts w:ascii="Times New Roman" w:hAnsi="Times New Roman" w:cs="Times New Roman"/>
          <w:i/>
        </w:rPr>
        <w:t xml:space="preserve"> discharge to be expressly allowed by the proposed consent are the same as or less than under the existing consent; and</w:t>
      </w:r>
    </w:p>
    <w:p w14:paraId="0476F006"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(c)</w:t>
      </w:r>
      <w:r w:rsidRPr="00B008DC">
        <w:rPr>
          <w:rFonts w:ascii="Times New Roman" w:hAnsi="Times New Roman" w:cs="Times New Roman"/>
          <w:i/>
        </w:rPr>
        <w:tab/>
        <w:t>discharges would occur under the proposed consent only when discharges no longer occur under the existing consent.</w:t>
      </w:r>
    </w:p>
    <w:p w14:paraId="61E2D498"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i/>
        </w:rPr>
      </w:pPr>
      <w:r w:rsidRPr="00B008DC">
        <w:rPr>
          <w:rFonts w:ascii="Times New Roman" w:hAnsi="Times New Roman" w:cs="Times New Roman"/>
          <w:i/>
        </w:rPr>
        <w:t>(3)</w:t>
      </w:r>
      <w:r w:rsidRPr="00B008DC">
        <w:rPr>
          <w:rFonts w:ascii="Times New Roman" w:hAnsi="Times New Roman" w:cs="Times New Roman"/>
          <w:i/>
        </w:rPr>
        <w:tab/>
        <w:t>Subclause (1) also does not apply if---</w:t>
      </w:r>
    </w:p>
    <w:p w14:paraId="5602B0D2"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(a)</w:t>
      </w:r>
      <w:r w:rsidRPr="00B008DC">
        <w:rPr>
          <w:rFonts w:ascii="Times New Roman" w:hAnsi="Times New Roman" w:cs="Times New Roman"/>
          <w:i/>
        </w:rPr>
        <w:tab/>
        <w:t>the consent authority is satisfied that the applicant can reduce the PM</w:t>
      </w:r>
      <w:r w:rsidRPr="00B008DC">
        <w:rPr>
          <w:rFonts w:ascii="Times New Roman" w:hAnsi="Times New Roman" w:cs="Times New Roman"/>
          <w:i/>
          <w:vertAlign w:val="subscript"/>
        </w:rPr>
        <w:t>10</w:t>
      </w:r>
      <w:r w:rsidRPr="00B008DC">
        <w:rPr>
          <w:rFonts w:ascii="Times New Roman" w:hAnsi="Times New Roman" w:cs="Times New Roman"/>
          <w:i/>
        </w:rPr>
        <w:t xml:space="preserve"> discharged from another source or sources into each polluted airshed to which subclause (1) applies by the same or greater amount than the amount likely to be discharged into the relevant airshed by the discharge to be expressly allowed by the proposed consent; and</w:t>
      </w:r>
    </w:p>
    <w:p w14:paraId="40464DD1"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(b)</w:t>
      </w:r>
      <w:r w:rsidRPr="00B008DC">
        <w:rPr>
          <w:rFonts w:ascii="Times New Roman" w:hAnsi="Times New Roman" w:cs="Times New Roman"/>
          <w:i/>
        </w:rPr>
        <w:tab/>
        <w:t>the consent authority, if it intends to grant the proposed consent, includes conditions in the consent that require the reduction or reductions to take effect within 12 months after the consent is granted and to then be effective for the remaining duration of the consent.</w:t>
      </w:r>
    </w:p>
    <w:p w14:paraId="6424297C"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i/>
        </w:rPr>
      </w:pPr>
      <w:r w:rsidRPr="00B008DC">
        <w:rPr>
          <w:rFonts w:ascii="Times New Roman" w:hAnsi="Times New Roman" w:cs="Times New Roman"/>
          <w:i/>
        </w:rPr>
        <w:t>(4)</w:t>
      </w:r>
      <w:r w:rsidRPr="00B008DC">
        <w:rPr>
          <w:rFonts w:ascii="Times New Roman" w:hAnsi="Times New Roman" w:cs="Times New Roman"/>
          <w:i/>
        </w:rPr>
        <w:tab/>
        <w:t>For the purposes of this regulation,---</w:t>
      </w:r>
    </w:p>
    <w:p w14:paraId="5A585CBA"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(a)</w:t>
      </w:r>
      <w:r w:rsidRPr="00B008DC">
        <w:rPr>
          <w:rFonts w:ascii="Times New Roman" w:hAnsi="Times New Roman" w:cs="Times New Roman"/>
          <w:i/>
        </w:rPr>
        <w:tab/>
        <w:t>an airshed becomes a polluted airshed on and from 1 September 2012 or any later day if, for the immediately prior 5-year period,---</w:t>
      </w:r>
    </w:p>
    <w:p w14:paraId="0AEA2DE1"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68" w:hanging="567"/>
        <w:rPr>
          <w:rFonts w:ascii="Times New Roman" w:hAnsi="Times New Roman" w:cs="Times New Roman"/>
          <w:i/>
        </w:rPr>
      </w:pPr>
      <w:r w:rsidRPr="00B008DC">
        <w:rPr>
          <w:rFonts w:ascii="Times New Roman" w:hAnsi="Times New Roman" w:cs="Times New Roman"/>
          <w:i/>
        </w:rPr>
        <w:t>(i)</w:t>
      </w:r>
      <w:r w:rsidRPr="00B008DC">
        <w:rPr>
          <w:rFonts w:ascii="Times New Roman" w:hAnsi="Times New Roman" w:cs="Times New Roman"/>
          <w:i/>
        </w:rPr>
        <w:tab/>
        <w:t>the airshed has meaningful PM</w:t>
      </w:r>
      <w:r w:rsidRPr="00B008DC">
        <w:rPr>
          <w:rFonts w:ascii="Times New Roman" w:hAnsi="Times New Roman" w:cs="Times New Roman"/>
          <w:i/>
          <w:vertAlign w:val="subscript"/>
        </w:rPr>
        <w:t>10</w:t>
      </w:r>
      <w:r w:rsidRPr="00B008DC">
        <w:rPr>
          <w:rFonts w:ascii="Times New Roman" w:hAnsi="Times New Roman" w:cs="Times New Roman"/>
          <w:i/>
        </w:rPr>
        <w:t xml:space="preserve"> data for at least a 12-month period; and</w:t>
      </w:r>
    </w:p>
    <w:p w14:paraId="54EED034"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68" w:hanging="567"/>
        <w:rPr>
          <w:rFonts w:ascii="Times New Roman" w:hAnsi="Times New Roman" w:cs="Times New Roman"/>
          <w:i/>
        </w:rPr>
      </w:pPr>
      <w:r w:rsidRPr="00B008DC">
        <w:rPr>
          <w:rFonts w:ascii="Times New Roman" w:hAnsi="Times New Roman" w:cs="Times New Roman"/>
          <w:i/>
        </w:rPr>
        <w:t>(ii)</w:t>
      </w:r>
      <w:r w:rsidRPr="00B008DC">
        <w:rPr>
          <w:rFonts w:ascii="Times New Roman" w:hAnsi="Times New Roman" w:cs="Times New Roman"/>
          <w:i/>
        </w:rPr>
        <w:tab/>
        <w:t>the airshed’s average exceedances of PM</w:t>
      </w:r>
      <w:r w:rsidRPr="00B008DC">
        <w:rPr>
          <w:rFonts w:ascii="Times New Roman" w:hAnsi="Times New Roman" w:cs="Times New Roman"/>
          <w:i/>
          <w:vertAlign w:val="subscript"/>
        </w:rPr>
        <w:t>10</w:t>
      </w:r>
      <w:r w:rsidRPr="00B008DC">
        <w:rPr>
          <w:rFonts w:ascii="Times New Roman" w:hAnsi="Times New Roman" w:cs="Times New Roman"/>
          <w:i/>
        </w:rPr>
        <w:t xml:space="preserve"> (as calculated under regulation 16D) was more than 1 per year; and</w:t>
      </w:r>
    </w:p>
    <w:p w14:paraId="68B62EF5"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(b)</w:t>
      </w:r>
      <w:r w:rsidRPr="00B008DC">
        <w:rPr>
          <w:rFonts w:ascii="Times New Roman" w:hAnsi="Times New Roman" w:cs="Times New Roman"/>
          <w:i/>
        </w:rPr>
        <w:tab/>
        <w:t>an airshed stops being a polluted airshed on and from any day if the PM</w:t>
      </w:r>
      <w:r w:rsidRPr="00B008DC">
        <w:rPr>
          <w:rFonts w:ascii="Times New Roman" w:hAnsi="Times New Roman" w:cs="Times New Roman"/>
          <w:i/>
          <w:vertAlign w:val="subscript"/>
        </w:rPr>
        <w:t>10</w:t>
      </w:r>
      <w:r w:rsidRPr="00B008DC">
        <w:rPr>
          <w:rFonts w:ascii="Times New Roman" w:hAnsi="Times New Roman" w:cs="Times New Roman"/>
          <w:i/>
        </w:rPr>
        <w:t xml:space="preserve"> standard was not breached in the airshed in the immediately prior 5-year period.</w:t>
      </w:r>
    </w:p>
    <w:p w14:paraId="30346591"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008DC">
        <w:rPr>
          <w:rFonts w:ascii="Times New Roman" w:hAnsi="Times New Roman" w:cs="Times New Roman"/>
          <w:i/>
        </w:rPr>
        <w:t>(5)</w:t>
      </w:r>
      <w:r w:rsidRPr="00B008DC">
        <w:rPr>
          <w:rFonts w:ascii="Times New Roman" w:hAnsi="Times New Roman" w:cs="Times New Roman"/>
          <w:i/>
        </w:rPr>
        <w:tab/>
        <w:t>If an airshed is established by notice in the Gazette, the data (if any) that best applies to the new airshed from the 1 or more airsheds from which the new airshed is derived must be treated as if it were the new airshed’s data to determine, under subclause (4),---</w:t>
      </w:r>
    </w:p>
    <w:p w14:paraId="6529291D"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(a)</w:t>
      </w:r>
      <w:r w:rsidRPr="00B008DC">
        <w:rPr>
          <w:rFonts w:ascii="Times New Roman" w:hAnsi="Times New Roman" w:cs="Times New Roman"/>
          <w:i/>
        </w:rPr>
        <w:tab/>
        <w:t>whether the new airshed immediately becomes a polluted airshed; or</w:t>
      </w:r>
    </w:p>
    <w:p w14:paraId="771B3BA3"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(b)</w:t>
      </w:r>
      <w:r w:rsidRPr="00B008DC">
        <w:rPr>
          <w:rFonts w:ascii="Times New Roman" w:hAnsi="Times New Roman" w:cs="Times New Roman"/>
          <w:i/>
        </w:rPr>
        <w:tab/>
        <w:t>whether the new airshed later becomes or stops being a polluted airshed.</w:t>
      </w:r>
    </w:p>
    <w:p w14:paraId="6ACBD0F3"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cs="Times New Roman"/>
          <w:i/>
        </w:rPr>
      </w:pPr>
      <w:r w:rsidRPr="00B008DC">
        <w:rPr>
          <w:rFonts w:ascii="Times New Roman" w:hAnsi="Times New Roman" w:cs="Times New Roman"/>
          <w:i/>
        </w:rPr>
        <w:t>(6)</w:t>
      </w:r>
      <w:r w:rsidRPr="00B008DC">
        <w:rPr>
          <w:rFonts w:ascii="Times New Roman" w:hAnsi="Times New Roman" w:cs="Times New Roman"/>
          <w:i/>
        </w:rPr>
        <w:tab/>
        <w:t>To avoid doubt,---</w:t>
      </w:r>
    </w:p>
    <w:p w14:paraId="281BFA7B"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(a)</w:t>
      </w:r>
      <w:r w:rsidRPr="00B008DC">
        <w:rPr>
          <w:rFonts w:ascii="Times New Roman" w:hAnsi="Times New Roman" w:cs="Times New Roman"/>
          <w:i/>
        </w:rPr>
        <w:tab/>
        <w:t>a polluted airshed to which subclause (1) applies may or may not be an airshed in the region of the consent authority considering an application; and</w:t>
      </w:r>
    </w:p>
    <w:p w14:paraId="5465126E" w14:textId="77777777" w:rsidR="002E1D2A" w:rsidRPr="00B008DC" w:rsidRDefault="002E1D2A" w:rsidP="002E1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hanging="567"/>
        <w:rPr>
          <w:rFonts w:ascii="Times New Roman" w:hAnsi="Times New Roman" w:cs="Times New Roman"/>
          <w:i/>
        </w:rPr>
      </w:pPr>
      <w:r w:rsidRPr="00B008DC">
        <w:rPr>
          <w:rFonts w:ascii="Times New Roman" w:hAnsi="Times New Roman" w:cs="Times New Roman"/>
          <w:i/>
        </w:rPr>
        <w:t>(b)</w:t>
      </w:r>
      <w:r w:rsidRPr="00B008DC">
        <w:rPr>
          <w:rFonts w:ascii="Times New Roman" w:hAnsi="Times New Roman" w:cs="Times New Roman"/>
          <w:i/>
        </w:rPr>
        <w:tab/>
        <w:t>if an airshed stops being a polluted airshed under subclause (4)(b), it may later become a polluted airshed again under subclause (4)(a).</w:t>
      </w:r>
    </w:p>
    <w:p w14:paraId="4480E652" w14:textId="77777777" w:rsidR="002E1D2A" w:rsidRPr="00B008DC" w:rsidRDefault="002E1D2A" w:rsidP="002E1D2A">
      <w:pPr>
        <w:pStyle w:val="HTMLPreformatted"/>
        <w:tabs>
          <w:tab w:val="clear" w:pos="916"/>
          <w:tab w:val="clear" w:pos="7328"/>
          <w:tab w:val="clear" w:pos="8244"/>
          <w:tab w:val="clear" w:pos="9160"/>
          <w:tab w:val="clear" w:pos="10076"/>
          <w:tab w:val="left" w:pos="-2268"/>
        </w:tabs>
        <w:ind w:left="1134" w:hanging="567"/>
        <w:rPr>
          <w:rFonts w:ascii="Times New Roman" w:hAnsi="Times New Roman" w:cs="Times New Roman"/>
          <w:i/>
        </w:rPr>
      </w:pPr>
    </w:p>
    <w:p w14:paraId="2010A1E5" w14:textId="77777777" w:rsidR="002E1D2A" w:rsidRPr="00B008DC" w:rsidRDefault="002E1D2A" w:rsidP="002E1D2A">
      <w:pPr>
        <w:pStyle w:val="HTMLPreformatted"/>
        <w:keepNext/>
        <w:pBdr>
          <w:top w:val="single" w:sz="4" w:space="1" w:color="auto"/>
        </w:pBdr>
        <w:tabs>
          <w:tab w:val="clear" w:pos="916"/>
          <w:tab w:val="clear" w:pos="7328"/>
          <w:tab w:val="clear" w:pos="8244"/>
          <w:tab w:val="clear" w:pos="9160"/>
          <w:tab w:val="clear" w:pos="10076"/>
          <w:tab w:val="left" w:pos="-2268"/>
        </w:tabs>
        <w:ind w:left="1701" w:hanging="567"/>
        <w:rPr>
          <w:rFonts w:ascii="Times New Roman" w:hAnsi="Times New Roman" w:cs="Times New Roman"/>
          <w:b/>
          <w:i/>
        </w:rPr>
      </w:pPr>
      <w:r w:rsidRPr="00B008DC">
        <w:rPr>
          <w:rFonts w:ascii="Times New Roman" w:hAnsi="Times New Roman" w:cs="Times New Roman"/>
          <w:b/>
          <w:i/>
        </w:rPr>
        <w:t>Example</w:t>
      </w:r>
    </w:p>
    <w:p w14:paraId="391F9A52" w14:textId="77777777" w:rsidR="002E1D2A" w:rsidRPr="00B008DC" w:rsidRDefault="002E1D2A" w:rsidP="002E1D2A">
      <w:pPr>
        <w:pStyle w:val="HTMLPreformatted"/>
        <w:keepNext/>
        <w:tabs>
          <w:tab w:val="clear" w:pos="916"/>
          <w:tab w:val="clear" w:pos="1832"/>
          <w:tab w:val="clear" w:pos="7328"/>
          <w:tab w:val="clear" w:pos="8244"/>
          <w:tab w:val="clear" w:pos="9160"/>
          <w:tab w:val="clear" w:pos="10076"/>
          <w:tab w:val="left" w:pos="-2268"/>
          <w:tab w:val="left" w:pos="0"/>
        </w:tabs>
        <w:ind w:left="1134"/>
        <w:rPr>
          <w:rFonts w:ascii="Times New Roman" w:hAnsi="Times New Roman" w:cs="Times New Roman"/>
          <w:i/>
        </w:rPr>
      </w:pPr>
      <w:r w:rsidRPr="00B008DC">
        <w:rPr>
          <w:rFonts w:ascii="Times New Roman" w:hAnsi="Times New Roman" w:cs="Times New Roman"/>
          <w:i/>
        </w:rPr>
        <w:t>An airshed’s average exceedances of PM</w:t>
      </w:r>
      <w:r w:rsidRPr="00B008DC">
        <w:rPr>
          <w:rFonts w:ascii="Times New Roman" w:hAnsi="Times New Roman" w:cs="Times New Roman"/>
          <w:i/>
          <w:vertAlign w:val="subscript"/>
        </w:rPr>
        <w:t>10</w:t>
      </w:r>
      <w:r w:rsidRPr="00B008DC">
        <w:rPr>
          <w:rFonts w:ascii="Times New Roman" w:hAnsi="Times New Roman" w:cs="Times New Roman"/>
          <w:i/>
        </w:rPr>
        <w:t xml:space="preserve"> per year is 1.2 for the 5-year period from 1 Sep</w:t>
      </w:r>
      <w:r w:rsidR="00717297">
        <w:rPr>
          <w:rFonts w:ascii="Times New Roman" w:hAnsi="Times New Roman" w:cs="Times New Roman"/>
          <w:i/>
        </w:rPr>
        <w:t xml:space="preserve">tember 2007 to 31 August 2012. </w:t>
      </w:r>
      <w:r w:rsidRPr="00B008DC">
        <w:rPr>
          <w:rFonts w:ascii="Times New Roman" w:hAnsi="Times New Roman" w:cs="Times New Roman"/>
          <w:i/>
        </w:rPr>
        <w:t>The airshed therefore becomes a polluted airshed on 1 September 2012.</w:t>
      </w:r>
    </w:p>
    <w:p w14:paraId="0C700440" w14:textId="77777777" w:rsidR="002E1D2A" w:rsidRPr="00B008DC" w:rsidRDefault="002E1D2A" w:rsidP="002E1D2A">
      <w:pPr>
        <w:pStyle w:val="HTMLPreformatted"/>
        <w:pBdr>
          <w:bottom w:val="single" w:sz="4" w:space="1" w:color="auto"/>
        </w:pBdr>
        <w:tabs>
          <w:tab w:val="clear" w:pos="916"/>
          <w:tab w:val="clear" w:pos="1832"/>
          <w:tab w:val="clear" w:pos="7328"/>
          <w:tab w:val="clear" w:pos="8244"/>
          <w:tab w:val="clear" w:pos="9160"/>
          <w:tab w:val="clear" w:pos="10076"/>
          <w:tab w:val="left" w:pos="-2268"/>
          <w:tab w:val="left" w:pos="0"/>
        </w:tabs>
        <w:ind w:left="1134"/>
        <w:rPr>
          <w:rFonts w:ascii="Times New Roman" w:hAnsi="Times New Roman" w:cs="Times New Roman"/>
          <w:i/>
        </w:rPr>
      </w:pPr>
      <w:r w:rsidRPr="00B008DC">
        <w:rPr>
          <w:rFonts w:ascii="Times New Roman" w:hAnsi="Times New Roman" w:cs="Times New Roman"/>
          <w:i/>
        </w:rPr>
        <w:t>15 March 2020 is the first day after the end of a 5-year period in which the PM</w:t>
      </w:r>
      <w:r w:rsidRPr="00B008DC">
        <w:rPr>
          <w:rFonts w:ascii="Times New Roman" w:hAnsi="Times New Roman" w:cs="Times New Roman"/>
          <w:i/>
          <w:vertAlign w:val="subscript"/>
        </w:rPr>
        <w:t>10</w:t>
      </w:r>
      <w:r w:rsidRPr="00B008DC">
        <w:rPr>
          <w:rFonts w:ascii="Times New Roman" w:hAnsi="Times New Roman" w:cs="Times New Roman"/>
          <w:i/>
        </w:rPr>
        <w:t xml:space="preserve"> standard wa</w:t>
      </w:r>
      <w:r w:rsidR="00717297">
        <w:rPr>
          <w:rFonts w:ascii="Times New Roman" w:hAnsi="Times New Roman" w:cs="Times New Roman"/>
          <w:i/>
        </w:rPr>
        <w:t xml:space="preserve">s not breached in the airshed. </w:t>
      </w:r>
      <w:r w:rsidRPr="00B008DC">
        <w:rPr>
          <w:rFonts w:ascii="Times New Roman" w:hAnsi="Times New Roman" w:cs="Times New Roman"/>
          <w:i/>
        </w:rPr>
        <w:t>The airshed therefore stops being a polluted airshed on 15 March 2020.</w:t>
      </w:r>
    </w:p>
    <w:p w14:paraId="405FB12A" w14:textId="77777777" w:rsidR="002E1D2A" w:rsidRDefault="002E1D2A" w:rsidP="002E1D2A">
      <w:pPr>
        <w:pStyle w:val="Heading5"/>
        <w:keepNext/>
      </w:pPr>
      <w:r>
        <w:t>Amendments</w:t>
      </w:r>
    </w:p>
    <w:p w14:paraId="321C6EA7" w14:textId="77777777" w:rsidR="002E1D2A" w:rsidRDefault="002E1D2A" w:rsidP="002E1D2A">
      <w:pPr>
        <w:keepNext/>
      </w:pPr>
      <w:r w:rsidRPr="00611D3C">
        <w:t xml:space="preserve">The </w:t>
      </w:r>
      <w:r>
        <w:t>June</w:t>
      </w:r>
      <w:r w:rsidRPr="00611D3C">
        <w:t xml:space="preserve"> 2011 amendments </w:t>
      </w:r>
      <w:r>
        <w:t>repealed provisions for straight line or curved line paths and</w:t>
      </w:r>
      <w:r w:rsidRPr="00611D3C">
        <w:t xml:space="preserve"> replaced </w:t>
      </w:r>
      <w:r>
        <w:t>them</w:t>
      </w:r>
      <w:r w:rsidRPr="00611D3C">
        <w:t xml:space="preserve"> with a new requirement</w:t>
      </w:r>
      <w:r>
        <w:t xml:space="preserve"> for</w:t>
      </w:r>
      <w:r w:rsidRPr="00611D3C">
        <w:t xml:space="preserve"> mandatory offset</w:t>
      </w:r>
      <w:r>
        <w:t>s for</w:t>
      </w:r>
      <w:r w:rsidRPr="00611D3C">
        <w:t xml:space="preserve"> </w:t>
      </w:r>
      <w:r>
        <w:t>significant</w:t>
      </w:r>
      <w:r w:rsidRPr="00611D3C">
        <w:t xml:space="preserve"> new discharges of PM</w:t>
      </w:r>
      <w:r w:rsidRPr="00805E48">
        <w:rPr>
          <w:vertAlign w:val="subscript"/>
        </w:rPr>
        <w:t>10</w:t>
      </w:r>
      <w:r w:rsidRPr="00611D3C">
        <w:t xml:space="preserve"> in a polluted airshed from 1 September 2012. </w:t>
      </w:r>
    </w:p>
    <w:p w14:paraId="07CDC0B5" w14:textId="77777777" w:rsidR="002E1D2A" w:rsidRDefault="002E1D2A" w:rsidP="002E1D2A">
      <w:pPr>
        <w:keepNext/>
      </w:pPr>
    </w:p>
    <w:p w14:paraId="7B669087" w14:textId="77777777" w:rsidR="002E1D2A" w:rsidRPr="00611D3C" w:rsidRDefault="002E1D2A" w:rsidP="002E1D2A">
      <w:pPr>
        <w:keepNext/>
      </w:pPr>
      <w:r>
        <w:t>A discussion of the effect of these amendments on resource consent applications forms the remainder of this section – both in terms of the intention of the legislation, and in practical terms (suggestions on how the provisions of regulation 17 can be implemented</w:t>
      </w:r>
      <w:r>
        <w:rPr>
          <w:rStyle w:val="FootnoteReference"/>
        </w:rPr>
        <w:footnoteReference w:id="15"/>
      </w:r>
      <w:r>
        <w:t xml:space="preserve">). </w:t>
      </w:r>
    </w:p>
    <w:p w14:paraId="28C394C3" w14:textId="77777777" w:rsidR="002E1D2A" w:rsidRPr="00371160" w:rsidRDefault="002E1D2A" w:rsidP="002E1D2A">
      <w:pPr>
        <w:pStyle w:val="Heading3"/>
      </w:pPr>
      <w:r>
        <w:t>4.10</w:t>
      </w:r>
      <w:r w:rsidRPr="00371160">
        <w:t>.</w:t>
      </w:r>
      <w:r>
        <w:t>2</w:t>
      </w:r>
      <w:r>
        <w:tab/>
      </w:r>
      <w:r w:rsidRPr="00371160">
        <w:tab/>
      </w:r>
      <w:r>
        <w:t>‘</w:t>
      </w:r>
      <w:r w:rsidRPr="00371160">
        <w:t>Polluted</w:t>
      </w:r>
      <w:r>
        <w:t>’</w:t>
      </w:r>
      <w:r w:rsidRPr="00371160">
        <w:t xml:space="preserve"> </w:t>
      </w:r>
      <w:r w:rsidR="007414BF">
        <w:t>a</w:t>
      </w:r>
      <w:r w:rsidR="007414BF" w:rsidRPr="00371160">
        <w:t>irsheds</w:t>
      </w:r>
    </w:p>
    <w:p w14:paraId="722ED148" w14:textId="77777777" w:rsidR="002E1D2A" w:rsidRPr="00406180" w:rsidRDefault="002E1D2A" w:rsidP="002E1D2A">
      <w:pPr>
        <w:rPr>
          <w:i/>
        </w:rPr>
      </w:pPr>
      <w:r w:rsidRPr="00F22151">
        <w:t>Regulation 17</w:t>
      </w:r>
      <w:r>
        <w:t xml:space="preserve"> </w:t>
      </w:r>
      <w:r w:rsidRPr="00F22151">
        <w:t xml:space="preserve">requires a new </w:t>
      </w:r>
      <w:r>
        <w:t xml:space="preserve">activity that requires a </w:t>
      </w:r>
      <w:r w:rsidRPr="00F22151">
        <w:t xml:space="preserve">resource consent </w:t>
      </w:r>
      <w:r>
        <w:t xml:space="preserve">for </w:t>
      </w:r>
      <w:r w:rsidRPr="00866B29">
        <w:t>s</w:t>
      </w:r>
      <w:r>
        <w:t>ignificant</w:t>
      </w:r>
      <w:r w:rsidRPr="00866B29">
        <w:t xml:space="preserve"> discharges</w:t>
      </w:r>
      <w:r>
        <w:t xml:space="preserve"> of</w:t>
      </w:r>
      <w:r w:rsidRPr="00F22151">
        <w:t xml:space="preserve"> PM</w:t>
      </w:r>
      <w:r w:rsidRPr="00F22151">
        <w:rPr>
          <w:vertAlign w:val="subscript"/>
        </w:rPr>
        <w:t>10</w:t>
      </w:r>
      <w:r w:rsidRPr="00F22151">
        <w:t xml:space="preserve"> </w:t>
      </w:r>
      <w:r>
        <w:t xml:space="preserve">to </w:t>
      </w:r>
      <w:r w:rsidRPr="00F22151">
        <w:t>offset</w:t>
      </w:r>
      <w:r>
        <w:t xml:space="preserve"> at least</w:t>
      </w:r>
      <w:r w:rsidRPr="00F22151">
        <w:t xml:space="preserve"> all its PM</w:t>
      </w:r>
      <w:r w:rsidRPr="00F22151">
        <w:rPr>
          <w:vertAlign w:val="subscript"/>
        </w:rPr>
        <w:t>10</w:t>
      </w:r>
      <w:r w:rsidRPr="00F22151">
        <w:t xml:space="preserve"> emissions if the activity discharges into a polluted airshed. </w:t>
      </w:r>
      <w:r>
        <w:t xml:space="preserve">These </w:t>
      </w:r>
      <w:r>
        <w:rPr>
          <w:i/>
        </w:rPr>
        <w:t>significant</w:t>
      </w:r>
      <w:r w:rsidRPr="00406180">
        <w:rPr>
          <w:i/>
        </w:rPr>
        <w:t xml:space="preserve"> discharges</w:t>
      </w:r>
      <w:r>
        <w:t xml:space="preserve"> are those whose effect is to </w:t>
      </w:r>
      <w:r w:rsidRPr="00406180">
        <w:rPr>
          <w:b/>
        </w:rPr>
        <w:t>increase the concentration of PM</w:t>
      </w:r>
      <w:r w:rsidRPr="00406180">
        <w:rPr>
          <w:b/>
          <w:vertAlign w:val="subscript"/>
        </w:rPr>
        <w:t xml:space="preserve">10 </w:t>
      </w:r>
      <w:r w:rsidRPr="00406180">
        <w:rPr>
          <w:b/>
        </w:rPr>
        <w:t xml:space="preserve"> by more than 2.5 micrograms per cubic metre in any part of a polluted airshed</w:t>
      </w:r>
      <w:r w:rsidR="00172732" w:rsidRPr="00172732">
        <w:t xml:space="preserve">. </w:t>
      </w:r>
    </w:p>
    <w:p w14:paraId="091FAC33" w14:textId="77777777" w:rsidR="002E1D2A" w:rsidRPr="00003E41" w:rsidRDefault="002E1D2A" w:rsidP="002E1D2A">
      <w:pPr>
        <w:pStyle w:val="Heading4"/>
      </w:pPr>
      <w:r w:rsidRPr="00003E41">
        <w:t>What is a polluted airshed?</w:t>
      </w:r>
    </w:p>
    <w:p w14:paraId="1F1DC984" w14:textId="77777777" w:rsidR="002E1D2A" w:rsidRPr="00116F16" w:rsidRDefault="002E1D2A" w:rsidP="002E1D2A">
      <w:r w:rsidRPr="00116F16">
        <w:t>Any airshed that has more than one exceedance in a 12-month period is not meeting the strict PM</w:t>
      </w:r>
      <w:r w:rsidRPr="00116F16">
        <w:rPr>
          <w:vertAlign w:val="subscript"/>
        </w:rPr>
        <w:t>10</w:t>
      </w:r>
      <w:r w:rsidRPr="00116F16">
        <w:t xml:space="preserve"> standard given in Regulation 13 and therefore</w:t>
      </w:r>
      <w:r w:rsidR="006B015B">
        <w:t xml:space="preserve"> has an air pollution problem. </w:t>
      </w:r>
      <w:r w:rsidRPr="00116F16">
        <w:t>The use of split targets (as allowed under Regulation 16B) only extends the compliance date for meeting the strict standard – it is not intended to imply that there is not an air pollution problem and therefo</w:t>
      </w:r>
      <w:r w:rsidR="006B015B">
        <w:t xml:space="preserve">re that no action is required. </w:t>
      </w:r>
      <w:r w:rsidRPr="00116F16">
        <w:t xml:space="preserve">Therefore, the concept of polluted airsheds has been developed to ensure that </w:t>
      </w:r>
      <w:r>
        <w:t>significant new PM</w:t>
      </w:r>
      <w:r w:rsidRPr="00406180">
        <w:rPr>
          <w:vertAlign w:val="subscript"/>
        </w:rPr>
        <w:t>10</w:t>
      </w:r>
      <w:r>
        <w:t xml:space="preserve"> </w:t>
      </w:r>
      <w:r w:rsidRPr="00116F16">
        <w:t>discharges</w:t>
      </w:r>
      <w:r>
        <w:t xml:space="preserve"> </w:t>
      </w:r>
      <w:r w:rsidRPr="00116F16">
        <w:t>do not make an existing air pollution problem worse.</w:t>
      </w:r>
    </w:p>
    <w:p w14:paraId="54C88E24" w14:textId="77777777" w:rsidR="002E1D2A" w:rsidRPr="00116F16" w:rsidRDefault="002E1D2A" w:rsidP="002E1D2A"/>
    <w:p w14:paraId="2D01D5F8" w14:textId="77777777" w:rsidR="002E1D2A" w:rsidRPr="00116F16" w:rsidRDefault="002E1D2A" w:rsidP="002E1D2A">
      <w:r>
        <w:t xml:space="preserve">The status of being a polluted </w:t>
      </w:r>
      <w:r w:rsidRPr="00116F16">
        <w:t>airshed only relates to PM</w:t>
      </w:r>
      <w:r w:rsidRPr="00116F16">
        <w:rPr>
          <w:vertAlign w:val="subscript"/>
        </w:rPr>
        <w:t>10</w:t>
      </w:r>
      <w:r w:rsidRPr="00116F16">
        <w:t xml:space="preserve"> </w:t>
      </w:r>
      <w:r>
        <w:t xml:space="preserve">(not to other pollutants). It is </w:t>
      </w:r>
      <w:r w:rsidRPr="00116F16">
        <w:t xml:space="preserve">described in </w:t>
      </w:r>
      <w:r w:rsidR="006B015B">
        <w:t>R</w:t>
      </w:r>
      <w:r w:rsidR="006B015B" w:rsidRPr="00116F16">
        <w:t xml:space="preserve">egulation </w:t>
      </w:r>
      <w:r w:rsidRPr="00116F16">
        <w:t xml:space="preserve">17(4) as </w:t>
      </w:r>
      <w:r w:rsidRPr="00116F16">
        <w:rPr>
          <w:b/>
        </w:rPr>
        <w:t>an airshed that has average exceedances of more than one per 12-month period, for the immediately prior 5-year period</w:t>
      </w:r>
      <w:r w:rsidRPr="00116F16">
        <w:t xml:space="preserve">. That is, if an airshed has on average more than one exceedance (as defined using meaningful data – refer </w:t>
      </w:r>
      <w:r>
        <w:t xml:space="preserve">to </w:t>
      </w:r>
      <w:r w:rsidRPr="00116F16">
        <w:t>section 4.6.1) of the ambient PM</w:t>
      </w:r>
      <w:r w:rsidRPr="00116F16">
        <w:rPr>
          <w:vertAlign w:val="subscript"/>
        </w:rPr>
        <w:t>10</w:t>
      </w:r>
      <w:r w:rsidRPr="00116F16">
        <w:t xml:space="preserve"> concentration standard of 50 </w:t>
      </w:r>
      <w:r w:rsidRPr="00116F16">
        <w:rPr>
          <w:rFonts w:ascii="Symbol" w:hAnsi="Symbol"/>
        </w:rPr>
        <w:t></w:t>
      </w:r>
      <w:r w:rsidRPr="00116F16">
        <w:t>g</w:t>
      </w:r>
      <w:r>
        <w:t>/</w:t>
      </w:r>
      <w:r w:rsidRPr="00116F16">
        <w:t>m</w:t>
      </w:r>
      <w:r w:rsidRPr="00116F16">
        <w:rPr>
          <w:vertAlign w:val="superscript"/>
        </w:rPr>
        <w:t>3</w:t>
      </w:r>
      <w:r w:rsidRPr="00116F16">
        <w:t xml:space="preserve"> (24-hour average) </w:t>
      </w:r>
      <w:r>
        <w:t xml:space="preserve">for each of the last 5 years </w:t>
      </w:r>
      <w:r w:rsidRPr="00116F16">
        <w:t>then it is a polluted airshed.</w:t>
      </w:r>
    </w:p>
    <w:p w14:paraId="3A7A4B3C" w14:textId="77777777" w:rsidR="002E1D2A" w:rsidRDefault="002E1D2A" w:rsidP="002E1D2A"/>
    <w:p w14:paraId="00A502DC" w14:textId="77777777" w:rsidR="002E1D2A" w:rsidRDefault="002E1D2A" w:rsidP="002E1D2A">
      <w:r>
        <w:t xml:space="preserve">Regulation 17(5) prescribed requirements if a new </w:t>
      </w:r>
      <w:r w:rsidRPr="00F930B2">
        <w:t>gazetted</w:t>
      </w:r>
      <w:r>
        <w:t xml:space="preserve"> airshed is derived at a later date from existing airsheds (ie, an airshed is created that is a subset of one or more bigger airsheds). This </w:t>
      </w:r>
      <w:r w:rsidR="006B015B">
        <w:t xml:space="preserve">Regulation </w:t>
      </w:r>
      <w:r>
        <w:t xml:space="preserve">requires that any new airshed takes on the data (if any) and the status of the parent airshed/s. </w:t>
      </w:r>
    </w:p>
    <w:p w14:paraId="556B5F07" w14:textId="77777777" w:rsidR="002E1D2A" w:rsidRDefault="002E1D2A" w:rsidP="002E1D2A"/>
    <w:p w14:paraId="132976B9" w14:textId="77777777" w:rsidR="002E1D2A" w:rsidRDefault="002E1D2A" w:rsidP="002E1D2A">
      <w:r>
        <w:t>The parental status will determine whether the new airshed</w:t>
      </w:r>
      <w:r w:rsidR="006B015B">
        <w:t xml:space="preserve"> is a polluted airshed or not. </w:t>
      </w:r>
      <w:r>
        <w:t xml:space="preserve">The parental status also determines whether the newly created airshed becomes, or stops being, a polluted airshed at some later date. </w:t>
      </w:r>
    </w:p>
    <w:p w14:paraId="38BC5AB8" w14:textId="77777777" w:rsidR="002E1D2A" w:rsidRDefault="002E1D2A" w:rsidP="002E1D2A"/>
    <w:p w14:paraId="2CF11192" w14:textId="77777777" w:rsidR="002E1D2A" w:rsidRDefault="002E1D2A" w:rsidP="002E1D2A">
      <w:r>
        <w:t>Regulation 17(5) only applies to the standard for PM</w:t>
      </w:r>
      <w:r w:rsidRPr="00511EFA">
        <w:rPr>
          <w:vertAlign w:val="subscript"/>
        </w:rPr>
        <w:t>10</w:t>
      </w:r>
      <w:r w:rsidRPr="00511EFA">
        <w:t>;</w:t>
      </w:r>
      <w:r>
        <w:t xml:space="preserve"> it does not apply to any of the other ambient pollutant standards.</w:t>
      </w:r>
    </w:p>
    <w:p w14:paraId="373BE7E1" w14:textId="77777777" w:rsidR="002E1D2A" w:rsidRDefault="002E1D2A" w:rsidP="002E1D2A"/>
    <w:p w14:paraId="103B746A" w14:textId="77777777" w:rsidR="002E1D2A" w:rsidRDefault="002E1D2A" w:rsidP="002E1D2A">
      <w:r w:rsidRPr="00D05AA6">
        <w:t xml:space="preserve">If an airshed does not have meaningful data </w:t>
      </w:r>
      <w:r>
        <w:t>for at least 12</w:t>
      </w:r>
      <w:r w:rsidR="00A7207D">
        <w:t xml:space="preserve"> </w:t>
      </w:r>
      <w:r>
        <w:t xml:space="preserve">months </w:t>
      </w:r>
      <w:r w:rsidRPr="00D05AA6">
        <w:t>it cannot be classified as polluted and mandatory offsets cannot be required</w:t>
      </w:r>
      <w:r>
        <w:t xml:space="preserve"> by virtue of the Regulations.</w:t>
      </w:r>
    </w:p>
    <w:p w14:paraId="53EDB988" w14:textId="77777777" w:rsidR="002E1D2A" w:rsidRDefault="002E1D2A" w:rsidP="002E1D2A">
      <w:pPr>
        <w:pStyle w:val="Heading4"/>
      </w:pPr>
      <w:r>
        <w:t>When are airsheds classified as polluted and not polluted?</w:t>
      </w:r>
    </w:p>
    <w:p w14:paraId="61F38AFE" w14:textId="77777777" w:rsidR="002E1D2A" w:rsidRDefault="002E1D2A" w:rsidP="002E1D2A">
      <w:pPr>
        <w:pStyle w:val="BodyText"/>
      </w:pPr>
      <w:r>
        <w:t>An airshed may be classified as polluted for the purposes of Regulation 17</w:t>
      </w:r>
      <w:r w:rsidR="00A7207D">
        <w:t xml:space="preserve"> on, or from </w:t>
      </w:r>
      <w:r w:rsidR="00A7207D">
        <w:br/>
        <w:t xml:space="preserve">1 September 2012. </w:t>
      </w:r>
      <w:r>
        <w:t>An airshed ceases to be polluted when the PM</w:t>
      </w:r>
      <w:r w:rsidRPr="00147582">
        <w:rPr>
          <w:vertAlign w:val="subscript"/>
        </w:rPr>
        <w:t>10</w:t>
      </w:r>
      <w:r>
        <w:t xml:space="preserve"> standard has not been breached in the airshed for 5 years</w:t>
      </w:r>
      <w:r w:rsidRPr="00147582">
        <w:t>.</w:t>
      </w:r>
      <w:r w:rsidR="00A7207D">
        <w:t xml:space="preserve"> </w:t>
      </w:r>
      <w:r w:rsidRPr="00CB224E">
        <w:t>That is,</w:t>
      </w:r>
      <w:r>
        <w:rPr>
          <w:b/>
        </w:rPr>
        <w:t xml:space="preserve"> 5 years with no breaches </w:t>
      </w:r>
      <w:r w:rsidRPr="00CB224E">
        <w:t>(ie, only 1 exceedance of the 24-hour average within a</w:t>
      </w:r>
      <w:r>
        <w:t xml:space="preserve">ny </w:t>
      </w:r>
      <w:r w:rsidRPr="00CB224E">
        <w:t>12-month period</w:t>
      </w:r>
      <w:r>
        <w:t xml:space="preserve"> during that 5 years</w:t>
      </w:r>
      <w:r w:rsidRPr="00CB224E">
        <w:t>) must have occurred before an airshed</w:t>
      </w:r>
      <w:r>
        <w:t xml:space="preserve"> is no longer classed as polluted. </w:t>
      </w:r>
    </w:p>
    <w:p w14:paraId="57282463" w14:textId="77777777" w:rsidR="002E1D2A" w:rsidRDefault="002E1D2A" w:rsidP="002E1D2A">
      <w:pPr>
        <w:pStyle w:val="BodyText"/>
      </w:pPr>
    </w:p>
    <w:p w14:paraId="3A08DC4E" w14:textId="77777777" w:rsidR="002E1D2A" w:rsidRDefault="002E1D2A" w:rsidP="002E1D2A">
      <w:pPr>
        <w:pStyle w:val="BodyText"/>
      </w:pPr>
      <w:r>
        <w:t xml:space="preserve">While an airshed is classified as being polluted, mandatory offsets apply where new emissions breach certain effects thresholds (discussed in section </w:t>
      </w:r>
      <w:r w:rsidRPr="00F241C7">
        <w:t>4.10.2</w:t>
      </w:r>
      <w:r>
        <w:t>)</w:t>
      </w:r>
      <w:r w:rsidRPr="00F241C7">
        <w:t>.</w:t>
      </w:r>
      <w:r>
        <w:t xml:space="preserve"> However, once the airshed is no longer polluted offsets for new activities are no longer mandatory (but still may be deemed necessary by the council to achieve continued compliance with the PM</w:t>
      </w:r>
      <w:r w:rsidRPr="008B3051">
        <w:rPr>
          <w:vertAlign w:val="subscript"/>
        </w:rPr>
        <w:t>10</w:t>
      </w:r>
      <w:r>
        <w:t xml:space="preserve"> standard).</w:t>
      </w:r>
      <w:r w:rsidRPr="00CB224E">
        <w:t xml:space="preserve"> </w:t>
      </w:r>
    </w:p>
    <w:p w14:paraId="00F87D39" w14:textId="77777777" w:rsidR="002E1D2A" w:rsidRPr="00CB224E" w:rsidRDefault="002E1D2A" w:rsidP="002E1D2A"/>
    <w:p w14:paraId="57E8A1DD" w14:textId="77777777" w:rsidR="002E1D2A" w:rsidRDefault="002E1D2A" w:rsidP="002E1D2A">
      <w:r w:rsidRPr="00CB224E">
        <w:t>A</w:t>
      </w:r>
      <w:r>
        <w:t xml:space="preserve">ny airshed can be reclassified as polluted at any date from 1 September 2012 (ie, even after a period of 5 years or more with no breaches) if the average exceedances go back above one </w:t>
      </w:r>
      <w:r w:rsidR="00A7207D">
        <w:br/>
      </w:r>
      <w:r>
        <w:t>24-hour period during any 12 month period (</w:t>
      </w:r>
      <w:r w:rsidR="00A7207D">
        <w:t xml:space="preserve">Regulation </w:t>
      </w:r>
      <w:r>
        <w:t>17(4)(a)). This restarts the requirement for mandatory offsets for resource consents.</w:t>
      </w:r>
    </w:p>
    <w:p w14:paraId="129670EF" w14:textId="77777777" w:rsidR="002E1D2A" w:rsidRDefault="002E1D2A" w:rsidP="002E1D2A">
      <w:pPr>
        <w:pStyle w:val="Heading3"/>
      </w:pPr>
      <w:r>
        <w:t xml:space="preserve">4.10.3 </w:t>
      </w:r>
      <w:r w:rsidRPr="00371160">
        <w:tab/>
      </w:r>
      <w:r>
        <w:t>Offsetting PM</w:t>
      </w:r>
      <w:r w:rsidRPr="00734040">
        <w:rPr>
          <w:vertAlign w:val="subscript"/>
        </w:rPr>
        <w:t>10</w:t>
      </w:r>
      <w:r>
        <w:t xml:space="preserve"> emissions</w:t>
      </w:r>
    </w:p>
    <w:p w14:paraId="30773101" w14:textId="77777777" w:rsidR="002E1D2A" w:rsidRDefault="002E1D2A" w:rsidP="002E1D2A">
      <w:r>
        <w:t xml:space="preserve">Regulation 17 requires offsets in all polluted airsheds </w:t>
      </w:r>
      <w:r>
        <w:rPr>
          <w:b/>
        </w:rPr>
        <w:t>from</w:t>
      </w:r>
      <w:r>
        <w:t xml:space="preserve"> 1 September 2012. In this section (edited and expanded in January 2014), </w:t>
      </w:r>
      <w:r w:rsidR="007166C3">
        <w:t>Regulation 17 is discussed in detail.</w:t>
      </w:r>
      <w:r>
        <w:t xml:space="preserve"> This covers the requirements of the Regulations and provides some additional discussion </w:t>
      </w:r>
      <w:r w:rsidR="007166C3">
        <w:t xml:space="preserve">on </w:t>
      </w:r>
      <w:r>
        <w:t xml:space="preserve">the </w:t>
      </w:r>
      <w:r w:rsidR="007166C3">
        <w:t>way</w:t>
      </w:r>
      <w:r>
        <w:t xml:space="preserve"> offsets could be implemented and enforced in practice. </w:t>
      </w:r>
    </w:p>
    <w:p w14:paraId="679FC555" w14:textId="77777777" w:rsidR="002E1D2A" w:rsidRDefault="002E1D2A" w:rsidP="002E1D2A"/>
    <w:p w14:paraId="77624323" w14:textId="77777777" w:rsidR="002E1D2A" w:rsidRDefault="002E1D2A" w:rsidP="002E1D2A">
      <w:pPr>
        <w:pStyle w:val="Heading4"/>
      </w:pPr>
      <w:r>
        <w:t>What is an offset?</w:t>
      </w:r>
    </w:p>
    <w:p w14:paraId="0FB6A030" w14:textId="77777777" w:rsidR="002E1D2A" w:rsidRDefault="002E1D2A" w:rsidP="002E1D2A">
      <w:pPr>
        <w:rPr>
          <w:highlight w:val="yellow"/>
        </w:rPr>
      </w:pPr>
      <w:r>
        <w:t>Offsets are mitigation measures to counterbalance</w:t>
      </w:r>
      <w:r w:rsidDel="00DE71A2">
        <w:t xml:space="preserve"> </w:t>
      </w:r>
      <w:r w:rsidRPr="003E1D3C">
        <w:t>impacts</w:t>
      </w:r>
      <w:r>
        <w:t xml:space="preserve"> of particulate </w:t>
      </w:r>
      <w:r w:rsidR="007166C3">
        <w:t>matter discharges into the air.</w:t>
      </w:r>
      <w:r>
        <w:t xml:space="preserve"> They achieve this by requiring </w:t>
      </w:r>
      <w:r w:rsidRPr="003E1D3C">
        <w:t>that emiss</w:t>
      </w:r>
      <w:r>
        <w:t xml:space="preserve">ions are </w:t>
      </w:r>
      <w:r w:rsidRPr="003E1D3C">
        <w:t xml:space="preserve">offset by reductions </w:t>
      </w:r>
      <w:r>
        <w:t xml:space="preserve">in </w:t>
      </w:r>
      <w:r w:rsidRPr="003E1D3C">
        <w:t>emission</w:t>
      </w:r>
      <w:r>
        <w:t>s</w:t>
      </w:r>
      <w:r w:rsidR="007166C3">
        <w:t xml:space="preserve"> elsewhere in the airshed. </w:t>
      </w:r>
    </w:p>
    <w:p w14:paraId="6C2BF853" w14:textId="77777777" w:rsidR="002E1D2A" w:rsidRPr="00DF2A5E" w:rsidRDefault="002E1D2A" w:rsidP="002E1D2A"/>
    <w:p w14:paraId="6DE26C67" w14:textId="77777777" w:rsidR="002E1D2A" w:rsidRPr="008C7C92" w:rsidRDefault="00AD4948" w:rsidP="002E1D2A">
      <w:pPr>
        <w:shd w:val="clear" w:color="auto" w:fill="D9D9D9"/>
        <w:ind w:left="567"/>
      </w:pPr>
      <w:r w:rsidRPr="003E1D3C">
        <w:t>In simple terms a</w:t>
      </w:r>
      <w:r>
        <w:t xml:space="preserve"> discharge is </w:t>
      </w:r>
      <w:r w:rsidRPr="003E1D3C">
        <w:t>offset when</w:t>
      </w:r>
      <w:r>
        <w:t xml:space="preserve"> the consent holder </w:t>
      </w:r>
      <w:r w:rsidR="002E1D2A" w:rsidRPr="008C7C92">
        <w:t>removes at least as much PM</w:t>
      </w:r>
      <w:r w:rsidR="002E1D2A" w:rsidRPr="008C7C92">
        <w:rPr>
          <w:vertAlign w:val="subscript"/>
        </w:rPr>
        <w:t>10</w:t>
      </w:r>
      <w:r w:rsidR="002E1D2A" w:rsidRPr="008C7C92">
        <w:t xml:space="preserve"> from other sources in the airshed as it puts into the same airshed when operating.</w:t>
      </w:r>
    </w:p>
    <w:p w14:paraId="2265AD1F" w14:textId="77777777" w:rsidR="002E1D2A" w:rsidRDefault="002E1D2A" w:rsidP="002E1D2A"/>
    <w:p w14:paraId="31AF41EC" w14:textId="77777777" w:rsidR="002E1D2A" w:rsidRDefault="002E1D2A" w:rsidP="002E1D2A">
      <w:r>
        <w:t>The intention of the Regulations is to ensure airsheds that already breach the ambient PM</w:t>
      </w:r>
      <w:r w:rsidRPr="00780C7D">
        <w:rPr>
          <w:vertAlign w:val="subscript"/>
        </w:rPr>
        <w:t>10</w:t>
      </w:r>
      <w:r>
        <w:t xml:space="preserve"> standard (polluted airsheds) can still accommodate significant new emitters without air quality being compromised further. </w:t>
      </w:r>
      <w:r w:rsidRPr="001C43D3">
        <w:t xml:space="preserve">Without </w:t>
      </w:r>
      <w:r>
        <w:t xml:space="preserve">emissions being </w:t>
      </w:r>
      <w:r w:rsidRPr="001C43D3">
        <w:t>offs</w:t>
      </w:r>
      <w:r>
        <w:t>et, new activities would not be able to become established at all as existing emissions would have effectively ‘used up’ the allocation within the airshed.</w:t>
      </w:r>
    </w:p>
    <w:p w14:paraId="2B80D566" w14:textId="77777777" w:rsidR="002E1D2A" w:rsidRDefault="002E1D2A" w:rsidP="002E1D2A"/>
    <w:p w14:paraId="08877BA8" w14:textId="77777777" w:rsidR="002E1D2A" w:rsidRDefault="002E1D2A" w:rsidP="002E1D2A">
      <w:pPr>
        <w:shd w:val="clear" w:color="auto" w:fill="D9D9D9"/>
        <w:ind w:left="567"/>
      </w:pPr>
      <w:r w:rsidRPr="00596052">
        <w:t xml:space="preserve">It is not intended that </w:t>
      </w:r>
      <w:r>
        <w:t>mandatory</w:t>
      </w:r>
      <w:r w:rsidRPr="00596052">
        <w:t xml:space="preserve"> offset</w:t>
      </w:r>
      <w:r>
        <w:t>s</w:t>
      </w:r>
      <w:r w:rsidRPr="00596052">
        <w:t xml:space="preserve"> penalise industry</w:t>
      </w:r>
      <w:r>
        <w:t xml:space="preserve"> or other large emitters</w:t>
      </w:r>
      <w:r w:rsidRPr="00596052">
        <w:t xml:space="preserve">. Rather, </w:t>
      </w:r>
      <w:r>
        <w:t>the intent is that significant new discharges do not make existing air pollution worse</w:t>
      </w:r>
      <w:r w:rsidRPr="00596052">
        <w:t xml:space="preserve">. </w:t>
      </w:r>
      <w:r>
        <w:t>E</w:t>
      </w:r>
      <w:r w:rsidRPr="00596052">
        <w:t>xisting industry can continue to operate without needing to implement offsets</w:t>
      </w:r>
      <w:r>
        <w:t>, but n</w:t>
      </w:r>
      <w:r w:rsidRPr="00596052">
        <w:t xml:space="preserve">ew </w:t>
      </w:r>
      <w:r>
        <w:t xml:space="preserve">significant emitters </w:t>
      </w:r>
      <w:r w:rsidRPr="00596052">
        <w:t>must have a ‘zero</w:t>
      </w:r>
      <w:r>
        <w:t xml:space="preserve"> net effect</w:t>
      </w:r>
      <w:r w:rsidRPr="00596052">
        <w:t>’</w:t>
      </w:r>
      <w:r>
        <w:t xml:space="preserve"> (or better)</w:t>
      </w:r>
      <w:r w:rsidRPr="00596052">
        <w:t xml:space="preserve"> by </w:t>
      </w:r>
      <w:r>
        <w:t xml:space="preserve">removing emissions from elsewhere in the airshed and therefore </w:t>
      </w:r>
      <w:r w:rsidRPr="00596052">
        <w:t>offsetting any PM</w:t>
      </w:r>
      <w:r w:rsidRPr="00987137">
        <w:rPr>
          <w:vertAlign w:val="subscript"/>
        </w:rPr>
        <w:t>10</w:t>
      </w:r>
      <w:r w:rsidRPr="00596052">
        <w:t xml:space="preserve"> that they discharge</w:t>
      </w:r>
      <w:r>
        <w:t xml:space="preserve"> themselves.</w:t>
      </w:r>
    </w:p>
    <w:p w14:paraId="509F8817" w14:textId="77777777" w:rsidR="002E1D2A" w:rsidRDefault="002E1D2A" w:rsidP="002E1D2A"/>
    <w:p w14:paraId="1334ACB4" w14:textId="77777777" w:rsidR="002E1D2A" w:rsidRDefault="002E1D2A" w:rsidP="002E1D2A">
      <w:r>
        <w:t>This section discusses the offset requirements for new consents. Consent renewals and changes to consent conditions are discussed in section 4.10.3.</w:t>
      </w:r>
    </w:p>
    <w:p w14:paraId="66D240C4" w14:textId="77777777" w:rsidR="002E1D2A" w:rsidRDefault="002E1D2A" w:rsidP="002E1D2A">
      <w:pPr>
        <w:pStyle w:val="Heading4"/>
      </w:pPr>
      <w:r>
        <w:t>Suggested definitions of common terminology</w:t>
      </w:r>
    </w:p>
    <w:p w14:paraId="2B0B9511" w14:textId="77777777" w:rsidR="002E1D2A" w:rsidRDefault="002E1D2A" w:rsidP="002E1D2A">
      <w:r w:rsidRPr="00CB42ED">
        <w:t xml:space="preserve">This section of the Users’ </w:t>
      </w:r>
      <w:r w:rsidR="00726A4C">
        <w:t xml:space="preserve">Guide and </w:t>
      </w:r>
      <w:r w:rsidR="00163A2C">
        <w:t xml:space="preserve">Regulation </w:t>
      </w:r>
      <w:r w:rsidR="00726A4C">
        <w:t>17 contain</w:t>
      </w:r>
      <w:r w:rsidRPr="00CB42ED">
        <w:t xml:space="preserve"> a number of key terms which are explained further in the following table (</w:t>
      </w:r>
      <w:r w:rsidR="00163A2C">
        <w:t>t</w:t>
      </w:r>
      <w:r w:rsidR="00163A2C" w:rsidRPr="00CB42ED">
        <w:t xml:space="preserve">able </w:t>
      </w:r>
      <w:r w:rsidRPr="00CB42ED">
        <w:t>7).</w:t>
      </w:r>
    </w:p>
    <w:p w14:paraId="76627C4C" w14:textId="77777777" w:rsidR="002E1D2A" w:rsidRDefault="002E1D2A" w:rsidP="002E1D2A"/>
    <w:p w14:paraId="3B47689F" w14:textId="77777777" w:rsidR="00F26839" w:rsidRDefault="0090025D">
      <w:pPr>
        <w:pStyle w:val="Tableheading"/>
        <w:spacing w:after="0"/>
      </w:pPr>
      <w:bookmarkStart w:id="125" w:name="_Toc377645813"/>
      <w:r w:rsidRPr="00887044">
        <w:t xml:space="preserve">Table </w:t>
      </w:r>
      <w:r w:rsidR="00E7118B" w:rsidRPr="00887044">
        <w:t>7</w:t>
      </w:r>
      <w:r w:rsidRPr="00887044">
        <w:t xml:space="preserve">: </w:t>
      </w:r>
      <w:r w:rsidR="00407749" w:rsidRPr="00887044">
        <w:tab/>
      </w:r>
      <w:r w:rsidRPr="00887044">
        <w:t>Suggested meanings of terms used in this Users' Guide and in the Regulations*</w:t>
      </w:r>
      <w:bookmarkEnd w:id="125"/>
    </w:p>
    <w:tbl>
      <w:tblPr>
        <w:tblpPr w:leftFromText="180" w:rightFromText="180" w:vertAnchor="text" w:horzAnchor="margin" w:tblpXSpec="right"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6513"/>
      </w:tblGrid>
      <w:tr w:rsidR="002E1D2A" w:rsidRPr="00887044" w14:paraId="68054116" w14:textId="77777777" w:rsidTr="002E1D2A">
        <w:tc>
          <w:tcPr>
            <w:tcW w:w="2016" w:type="dxa"/>
            <w:shd w:val="clear" w:color="auto" w:fill="D9D9D9"/>
          </w:tcPr>
          <w:p w14:paraId="3D855CBA" w14:textId="77777777" w:rsidR="002E1D2A" w:rsidRPr="00887044" w:rsidRDefault="002E1D2A" w:rsidP="00887044">
            <w:pPr>
              <w:pStyle w:val="TableText"/>
              <w:keepNext/>
              <w:rPr>
                <w:b/>
              </w:rPr>
            </w:pPr>
            <w:r w:rsidRPr="00887044">
              <w:rPr>
                <w:b/>
              </w:rPr>
              <w:t>Term</w:t>
            </w:r>
          </w:p>
        </w:tc>
        <w:tc>
          <w:tcPr>
            <w:tcW w:w="6704" w:type="dxa"/>
            <w:shd w:val="clear" w:color="auto" w:fill="D9D9D9"/>
          </w:tcPr>
          <w:p w14:paraId="4043118E" w14:textId="77777777" w:rsidR="002E1D2A" w:rsidRPr="00887044" w:rsidRDefault="002E1D2A" w:rsidP="002E1D2A">
            <w:pPr>
              <w:pStyle w:val="TableText"/>
              <w:keepNext/>
              <w:rPr>
                <w:b/>
              </w:rPr>
            </w:pPr>
            <w:r w:rsidRPr="00887044">
              <w:rPr>
                <w:b/>
              </w:rPr>
              <w:t>Discussion and suggested meaning</w:t>
            </w:r>
          </w:p>
        </w:tc>
      </w:tr>
      <w:tr w:rsidR="002E1D2A" w:rsidRPr="00891F93" w14:paraId="12B20C1A" w14:textId="77777777" w:rsidTr="002E1D2A">
        <w:tc>
          <w:tcPr>
            <w:tcW w:w="2016" w:type="dxa"/>
          </w:tcPr>
          <w:p w14:paraId="2C9ED44A" w14:textId="77777777" w:rsidR="002E1D2A" w:rsidRPr="00822B9B" w:rsidRDefault="002E1D2A" w:rsidP="002E1D2A">
            <w:pPr>
              <w:pStyle w:val="TableText"/>
              <w:keepNext/>
            </w:pPr>
            <w:r w:rsidRPr="00822B9B">
              <w:t>‘Offset’</w:t>
            </w:r>
          </w:p>
        </w:tc>
        <w:tc>
          <w:tcPr>
            <w:tcW w:w="6704" w:type="dxa"/>
          </w:tcPr>
          <w:p w14:paraId="6442F8EA" w14:textId="77777777" w:rsidR="002E1D2A" w:rsidRDefault="002E1D2A" w:rsidP="002E1D2A">
            <w:pPr>
              <w:pStyle w:val="TableText"/>
              <w:keepNext/>
            </w:pPr>
            <w:r>
              <w:t xml:space="preserve">Offsetting </w:t>
            </w:r>
            <w:r w:rsidRPr="00822B9B">
              <w:t xml:space="preserve">is the act of </w:t>
            </w:r>
            <w:r>
              <w:t>reducing or removing</w:t>
            </w:r>
            <w:r w:rsidRPr="00822B9B">
              <w:t xml:space="preserve"> a source of PM</w:t>
            </w:r>
            <w:r w:rsidRPr="00406180">
              <w:rPr>
                <w:vertAlign w:val="subscript"/>
              </w:rPr>
              <w:t>10</w:t>
            </w:r>
            <w:r w:rsidRPr="00822B9B">
              <w:t xml:space="preserve"> emissions to remove those emissions from the airshed. </w:t>
            </w:r>
          </w:p>
          <w:p w14:paraId="785427A2" w14:textId="77777777" w:rsidR="002E1D2A" w:rsidRDefault="002E1D2A" w:rsidP="002E1D2A">
            <w:pPr>
              <w:pStyle w:val="TableText"/>
              <w:keepNext/>
            </w:pPr>
            <w:r w:rsidRPr="00822B9B">
              <w:t xml:space="preserve">An offset is </w:t>
            </w:r>
            <w:r w:rsidRPr="00406180">
              <w:rPr>
                <w:i/>
              </w:rPr>
              <w:t>not</w:t>
            </w:r>
            <w:r w:rsidRPr="00822B9B">
              <w:t xml:space="preserve"> whatever is put in place to replace the source or recompense a party for its removal. </w:t>
            </w:r>
          </w:p>
          <w:p w14:paraId="4F817101" w14:textId="77777777" w:rsidR="002E1D2A" w:rsidRPr="00822B9B" w:rsidRDefault="002E1D2A" w:rsidP="002E1D2A">
            <w:pPr>
              <w:pStyle w:val="TableText"/>
              <w:keepNext/>
            </w:pPr>
            <w:r w:rsidRPr="00822B9B">
              <w:t>The offset must remain in place for the duration of the resource consent granted to the new emitter.</w:t>
            </w:r>
          </w:p>
          <w:p w14:paraId="33D916A5" w14:textId="77777777" w:rsidR="002E1D2A" w:rsidRPr="00406180" w:rsidRDefault="002E1D2A" w:rsidP="002E1D2A">
            <w:pPr>
              <w:pStyle w:val="TableText"/>
              <w:keepNext/>
              <w:rPr>
                <w:i/>
              </w:rPr>
            </w:pPr>
            <w:r w:rsidRPr="00406180">
              <w:rPr>
                <w:i/>
              </w:rPr>
              <w:t xml:space="preserve">Example: A company seeking an offset may propose to remove a certain number of domestic woodburners from the airshed. </w:t>
            </w:r>
            <w:r>
              <w:rPr>
                <w:i/>
              </w:rPr>
              <w:t>T</w:t>
            </w:r>
            <w:r w:rsidRPr="00406180">
              <w:rPr>
                <w:i/>
              </w:rPr>
              <w:t xml:space="preserve">he council’s assessment of the offset would </w:t>
            </w:r>
            <w:r>
              <w:rPr>
                <w:i/>
              </w:rPr>
              <w:t xml:space="preserve">likely </w:t>
            </w:r>
            <w:r w:rsidRPr="00406180">
              <w:rPr>
                <w:i/>
              </w:rPr>
              <w:t xml:space="preserve">focus on the matters of: </w:t>
            </w:r>
          </w:p>
          <w:p w14:paraId="2A468545" w14:textId="77777777" w:rsidR="002E1D2A" w:rsidRPr="00406180" w:rsidRDefault="002E1D2A" w:rsidP="00726A4C">
            <w:pPr>
              <w:pStyle w:val="TableText"/>
              <w:keepNext/>
              <w:numPr>
                <w:ilvl w:val="0"/>
                <w:numId w:val="18"/>
              </w:numPr>
              <w:rPr>
                <w:i/>
              </w:rPr>
            </w:pPr>
            <w:r w:rsidRPr="00406180">
              <w:rPr>
                <w:i/>
              </w:rPr>
              <w:t>the decommissioning of woodburners for the duration of the resource consent</w:t>
            </w:r>
            <w:r w:rsidR="00012DDD">
              <w:rPr>
                <w:i/>
              </w:rPr>
              <w:t>,</w:t>
            </w:r>
            <w:r w:rsidR="00012DDD" w:rsidRPr="00406180">
              <w:rPr>
                <w:i/>
              </w:rPr>
              <w:t xml:space="preserve"> </w:t>
            </w:r>
            <w:r w:rsidRPr="00406180">
              <w:rPr>
                <w:i/>
              </w:rPr>
              <w:t xml:space="preserve">and </w:t>
            </w:r>
          </w:p>
          <w:p w14:paraId="6E736CEC" w14:textId="77777777" w:rsidR="002E1D2A" w:rsidRPr="00406180" w:rsidRDefault="002E1D2A" w:rsidP="00726A4C">
            <w:pPr>
              <w:pStyle w:val="TableText"/>
              <w:keepNext/>
              <w:numPr>
                <w:ilvl w:val="0"/>
                <w:numId w:val="18"/>
              </w:numPr>
              <w:rPr>
                <w:i/>
              </w:rPr>
            </w:pPr>
            <w:r w:rsidRPr="00406180">
              <w:rPr>
                <w:i/>
              </w:rPr>
              <w:t xml:space="preserve">the extent to which it is satisfied that the removal of the woodburners offsets the new emissions. </w:t>
            </w:r>
          </w:p>
          <w:p w14:paraId="5D26972A" w14:textId="77777777" w:rsidR="002E1D2A" w:rsidRPr="00406180" w:rsidRDefault="002E1D2A" w:rsidP="002E1D2A">
            <w:pPr>
              <w:pStyle w:val="TableText"/>
              <w:keepNext/>
              <w:rPr>
                <w:i/>
              </w:rPr>
            </w:pPr>
            <w:r w:rsidRPr="00841A4A">
              <w:rPr>
                <w:i/>
              </w:rPr>
              <w:t xml:space="preserve">How the company chooses to achieve </w:t>
            </w:r>
            <w:r w:rsidRPr="00406180">
              <w:rPr>
                <w:i/>
              </w:rPr>
              <w:t xml:space="preserve">the removal of the woodburners </w:t>
            </w:r>
            <w:r w:rsidRPr="00841A4A">
              <w:rPr>
                <w:i/>
              </w:rPr>
              <w:t xml:space="preserve">may be of limited interest to the council. </w:t>
            </w:r>
            <w:r w:rsidRPr="00406180">
              <w:rPr>
                <w:i/>
              </w:rPr>
              <w:t>E</w:t>
            </w:r>
            <w:r w:rsidRPr="00841A4A">
              <w:rPr>
                <w:i/>
              </w:rPr>
              <w:t>xample</w:t>
            </w:r>
            <w:r w:rsidRPr="00406180">
              <w:rPr>
                <w:i/>
              </w:rPr>
              <w:t xml:space="preserve">s of recompense may be that </w:t>
            </w:r>
            <w:r w:rsidRPr="00841A4A">
              <w:rPr>
                <w:i/>
              </w:rPr>
              <w:t xml:space="preserve">homeowners </w:t>
            </w:r>
            <w:r w:rsidRPr="00406180">
              <w:rPr>
                <w:i/>
              </w:rPr>
              <w:t xml:space="preserve">are </w:t>
            </w:r>
            <w:r w:rsidRPr="00841A4A">
              <w:rPr>
                <w:i/>
              </w:rPr>
              <w:t>offered a heat pump</w:t>
            </w:r>
            <w:r w:rsidRPr="00406180">
              <w:rPr>
                <w:i/>
              </w:rPr>
              <w:t xml:space="preserve"> to replace the lost woodburner</w:t>
            </w:r>
            <w:r w:rsidR="00FE23FA">
              <w:rPr>
                <w:i/>
              </w:rPr>
              <w:t xml:space="preserve"> or</w:t>
            </w:r>
            <w:r w:rsidR="00FE23FA" w:rsidRPr="00841A4A">
              <w:rPr>
                <w:i/>
              </w:rPr>
              <w:t xml:space="preserve"> </w:t>
            </w:r>
            <w:r w:rsidRPr="00841A4A">
              <w:rPr>
                <w:i/>
              </w:rPr>
              <w:t xml:space="preserve">financial reimbursement </w:t>
            </w:r>
            <w:r w:rsidRPr="00406180">
              <w:rPr>
                <w:i/>
              </w:rPr>
              <w:t xml:space="preserve">in other forms. However, the </w:t>
            </w:r>
            <w:r>
              <w:rPr>
                <w:i/>
              </w:rPr>
              <w:t>Regulations</w:t>
            </w:r>
            <w:r w:rsidRPr="00406180">
              <w:rPr>
                <w:i/>
              </w:rPr>
              <w:t xml:space="preserve"> require only that “the consent authority is satisfied that the applicant can reduce the PM</w:t>
            </w:r>
            <w:r w:rsidRPr="00406180">
              <w:rPr>
                <w:i/>
                <w:vertAlign w:val="subscript"/>
              </w:rPr>
              <w:t>10</w:t>
            </w:r>
            <w:r w:rsidRPr="00406180">
              <w:rPr>
                <w:i/>
              </w:rPr>
              <w:t xml:space="preserve"> discharged fr</w:t>
            </w:r>
            <w:r w:rsidR="00FE23FA">
              <w:rPr>
                <w:i/>
              </w:rPr>
              <w:t xml:space="preserve">om another source.” </w:t>
            </w:r>
            <w:r w:rsidRPr="00406180">
              <w:rPr>
                <w:i/>
              </w:rPr>
              <w:t>A council’s strict assessment of the application against the terms of the Regulations may not include a consideration of any replacement heat source, except to the extent that a replacement heat source may also emit PM</w:t>
            </w:r>
            <w:r w:rsidRPr="00406180">
              <w:rPr>
                <w:i/>
                <w:vertAlign w:val="subscript"/>
              </w:rPr>
              <w:t>10</w:t>
            </w:r>
            <w:r w:rsidRPr="00406180">
              <w:rPr>
                <w:i/>
              </w:rPr>
              <w:t xml:space="preserve"> into the airshed. Whether or not the agreement between homeowners and the consent applicant provides adequate compensation is not strictly a matter for the council to consider when assessing it against the </w:t>
            </w:r>
            <w:r>
              <w:rPr>
                <w:i/>
              </w:rPr>
              <w:t>Regulations</w:t>
            </w:r>
            <w:r w:rsidRPr="00406180">
              <w:rPr>
                <w:i/>
              </w:rPr>
              <w:t>.</w:t>
            </w:r>
          </w:p>
          <w:p w14:paraId="2C8202CC" w14:textId="77777777" w:rsidR="002E1D2A" w:rsidRPr="00822B9B" w:rsidRDefault="002E1D2A" w:rsidP="002E1D2A">
            <w:pPr>
              <w:pStyle w:val="TableText"/>
              <w:keepNext/>
            </w:pPr>
            <w:r w:rsidRPr="00406180">
              <w:rPr>
                <w:i/>
              </w:rPr>
              <w:t>Despite this, best practice is for councils to encourage warm, dry, healthy homes and councils may also have other statutory considerations that are relevant to their decisions.</w:t>
            </w:r>
            <w:r>
              <w:t xml:space="preserve"> </w:t>
            </w:r>
          </w:p>
        </w:tc>
      </w:tr>
      <w:tr w:rsidR="002E1D2A" w:rsidRPr="00891F93" w14:paraId="2227D0DC" w14:textId="77777777" w:rsidTr="002E1D2A">
        <w:tc>
          <w:tcPr>
            <w:tcW w:w="2016" w:type="dxa"/>
          </w:tcPr>
          <w:p w14:paraId="5386F991" w14:textId="77777777" w:rsidR="002E1D2A" w:rsidRPr="00822B9B" w:rsidRDefault="002E1D2A" w:rsidP="002E1D2A">
            <w:pPr>
              <w:pStyle w:val="TableText"/>
              <w:keepNext/>
            </w:pPr>
            <w:r w:rsidRPr="00822B9B">
              <w:t>‘Activity’</w:t>
            </w:r>
          </w:p>
        </w:tc>
        <w:tc>
          <w:tcPr>
            <w:tcW w:w="6704" w:type="dxa"/>
          </w:tcPr>
          <w:p w14:paraId="7C210B62" w14:textId="77777777" w:rsidR="002E1D2A" w:rsidRPr="00822B9B" w:rsidRDefault="002E1D2A" w:rsidP="002E1D2A">
            <w:pPr>
              <w:pStyle w:val="TableText"/>
              <w:keepNext/>
            </w:pPr>
            <w:r w:rsidRPr="00822B9B">
              <w:t>The Regulations do not apply to land</w:t>
            </w:r>
            <w:r w:rsidR="00FE23FA">
              <w:t>-</w:t>
            </w:r>
            <w:r w:rsidRPr="00822B9B">
              <w:t xml:space="preserve">use activities </w:t>
            </w:r>
            <w:r>
              <w:t>occurring under section 9 of the RMA</w:t>
            </w:r>
            <w:r w:rsidRPr="00822B9B">
              <w:t xml:space="preserve">. </w:t>
            </w:r>
            <w:r>
              <w:t>Regulation 17(1) refers to “an application for resource consent to discharge PM</w:t>
            </w:r>
            <w:r w:rsidRPr="00406180">
              <w:rPr>
                <w:vertAlign w:val="subscript"/>
              </w:rPr>
              <w:t>10</w:t>
            </w:r>
            <w:r>
              <w:t>”</w:t>
            </w:r>
            <w:r w:rsidR="00FE23FA">
              <w:t>.</w:t>
            </w:r>
            <w:r>
              <w:t xml:space="preserve"> The intent is that the Regulations apply to the </w:t>
            </w:r>
            <w:r w:rsidRPr="00822B9B">
              <w:t xml:space="preserve">‘activity’ </w:t>
            </w:r>
            <w:r>
              <w:t xml:space="preserve">of </w:t>
            </w:r>
            <w:r w:rsidRPr="00822B9B">
              <w:t>discharg</w:t>
            </w:r>
            <w:r>
              <w:t>ing</w:t>
            </w:r>
            <w:r w:rsidRPr="00822B9B">
              <w:t xml:space="preserve"> PM</w:t>
            </w:r>
            <w:r w:rsidRPr="00406180">
              <w:rPr>
                <w:vertAlign w:val="subscript"/>
              </w:rPr>
              <w:t>10</w:t>
            </w:r>
            <w:r>
              <w:rPr>
                <w:vertAlign w:val="subscript"/>
              </w:rPr>
              <w:t xml:space="preserve"> </w:t>
            </w:r>
            <w:r w:rsidRPr="00406180">
              <w:t>that requires resource consent</w:t>
            </w:r>
            <w:r w:rsidRPr="00822B9B">
              <w:t xml:space="preserve">, not </w:t>
            </w:r>
            <w:r>
              <w:t xml:space="preserve">to </w:t>
            </w:r>
            <w:r w:rsidRPr="00822B9B">
              <w:t>the land use or industrial process that leads to the discharge, nor any permitted discharges.</w:t>
            </w:r>
            <w:r>
              <w:t xml:space="preserve"> </w:t>
            </w:r>
          </w:p>
          <w:p w14:paraId="1ABEBB65" w14:textId="77777777" w:rsidR="002E1D2A" w:rsidRPr="00406180" w:rsidRDefault="002E1D2A" w:rsidP="00D24F49">
            <w:pPr>
              <w:pStyle w:val="TableText"/>
              <w:keepNext/>
              <w:rPr>
                <w:i/>
              </w:rPr>
            </w:pPr>
            <w:r w:rsidRPr="00406180">
              <w:rPr>
                <w:i/>
              </w:rPr>
              <w:t>Example: A plant produces breadcrumbs</w:t>
            </w:r>
            <w:r>
              <w:rPr>
                <w:i/>
              </w:rPr>
              <w:t xml:space="preserve"> and produces heat for the process with a diesel boiler</w:t>
            </w:r>
            <w:r w:rsidRPr="00406180">
              <w:rPr>
                <w:i/>
              </w:rPr>
              <w:t>. In the relevant regional and district plans, discharges to air from food production and the land</w:t>
            </w:r>
            <w:r w:rsidR="00D24F49">
              <w:rPr>
                <w:i/>
              </w:rPr>
              <w:t>-</w:t>
            </w:r>
            <w:r w:rsidRPr="00406180">
              <w:rPr>
                <w:i/>
              </w:rPr>
              <w:t xml:space="preserve">use activity of industrial food production are both permitted. However, the regional plan </w:t>
            </w:r>
            <w:r>
              <w:rPr>
                <w:i/>
              </w:rPr>
              <w:t xml:space="preserve">states that </w:t>
            </w:r>
            <w:r w:rsidRPr="00406180">
              <w:rPr>
                <w:i/>
              </w:rPr>
              <w:t xml:space="preserve">discharges </w:t>
            </w:r>
            <w:r w:rsidRPr="00460274">
              <w:rPr>
                <w:i/>
              </w:rPr>
              <w:t>of PM</w:t>
            </w:r>
            <w:r w:rsidRPr="00460274">
              <w:rPr>
                <w:i/>
                <w:vertAlign w:val="subscript"/>
              </w:rPr>
              <w:t>10</w:t>
            </w:r>
            <w:r w:rsidRPr="00460274">
              <w:rPr>
                <w:i/>
              </w:rPr>
              <w:t xml:space="preserve"> </w:t>
            </w:r>
            <w:r w:rsidRPr="00406180">
              <w:rPr>
                <w:i/>
              </w:rPr>
              <w:t>to air from diesel boilers require resource consent. This means the plant’s diesel boiler</w:t>
            </w:r>
            <w:r>
              <w:rPr>
                <w:i/>
              </w:rPr>
              <w:t xml:space="preserve"> </w:t>
            </w:r>
            <w:r w:rsidRPr="00406180">
              <w:rPr>
                <w:i/>
              </w:rPr>
              <w:t>needs a discharge permit for PM</w:t>
            </w:r>
            <w:r w:rsidRPr="00406180">
              <w:rPr>
                <w:i/>
                <w:vertAlign w:val="subscript"/>
              </w:rPr>
              <w:t>10</w:t>
            </w:r>
            <w:r w:rsidRPr="00406180">
              <w:rPr>
                <w:i/>
              </w:rPr>
              <w:t xml:space="preserve"> emissions. In this case, the ‘activity’ needing consent is the discharge from the boiler, not the land</w:t>
            </w:r>
            <w:r w:rsidR="00D24F49">
              <w:rPr>
                <w:i/>
              </w:rPr>
              <w:t>-</w:t>
            </w:r>
            <w:r w:rsidRPr="00406180">
              <w:rPr>
                <w:i/>
              </w:rPr>
              <w:t>use activity of making or drying breadcrumbs, no</w:t>
            </w:r>
            <w:r>
              <w:rPr>
                <w:i/>
              </w:rPr>
              <w:t>r</w:t>
            </w:r>
            <w:r w:rsidRPr="00406180">
              <w:rPr>
                <w:i/>
              </w:rPr>
              <w:t xml:space="preserve"> the discharge of odour or water vapour from their production (as these are permitted in the </w:t>
            </w:r>
            <w:r>
              <w:rPr>
                <w:i/>
              </w:rPr>
              <w:t xml:space="preserve">regional </w:t>
            </w:r>
            <w:r w:rsidRPr="00406180">
              <w:rPr>
                <w:i/>
              </w:rPr>
              <w:t>plan and also are not discharges of PM</w:t>
            </w:r>
            <w:r w:rsidRPr="00406180">
              <w:rPr>
                <w:i/>
                <w:vertAlign w:val="subscript"/>
              </w:rPr>
              <w:t>10</w:t>
            </w:r>
            <w:r w:rsidRPr="00406180">
              <w:rPr>
                <w:i/>
              </w:rPr>
              <w:t xml:space="preserve">). </w:t>
            </w:r>
          </w:p>
        </w:tc>
      </w:tr>
      <w:tr w:rsidR="002E1D2A" w:rsidRPr="00891F93" w14:paraId="5006B13D" w14:textId="77777777" w:rsidTr="002E1D2A">
        <w:tc>
          <w:tcPr>
            <w:tcW w:w="2016" w:type="dxa"/>
          </w:tcPr>
          <w:p w14:paraId="6C84401E" w14:textId="77777777" w:rsidR="002E1D2A" w:rsidRPr="00822B9B" w:rsidRDefault="002E1D2A" w:rsidP="002E1D2A">
            <w:pPr>
              <w:pStyle w:val="TableText"/>
              <w:keepNext/>
            </w:pPr>
            <w:r w:rsidRPr="00822B9B">
              <w:t>‘…same activity’</w:t>
            </w:r>
          </w:p>
        </w:tc>
        <w:tc>
          <w:tcPr>
            <w:tcW w:w="6704" w:type="dxa"/>
          </w:tcPr>
          <w:p w14:paraId="289CA195" w14:textId="77777777" w:rsidR="002E1D2A" w:rsidRPr="00822B9B" w:rsidRDefault="002E1D2A" w:rsidP="002E1D2A">
            <w:pPr>
              <w:pStyle w:val="TableText"/>
              <w:keepNext/>
            </w:pPr>
            <w:r w:rsidRPr="00822B9B">
              <w:t xml:space="preserve">For the purpose of </w:t>
            </w:r>
            <w:r w:rsidR="00D24F49">
              <w:t>R</w:t>
            </w:r>
            <w:r w:rsidR="00D24F49" w:rsidRPr="00822B9B">
              <w:t xml:space="preserve">egulation </w:t>
            </w:r>
            <w:r w:rsidRPr="00822B9B">
              <w:t xml:space="preserve">17, the ‘same activity’ </w:t>
            </w:r>
            <w:r>
              <w:t>is an activity, carried out on the same site, that is allowed by an existing resource consent.</w:t>
            </w:r>
          </w:p>
          <w:p w14:paraId="1BEF8D26" w14:textId="77777777" w:rsidR="002E1D2A" w:rsidRPr="00406180" w:rsidRDefault="002E1D2A" w:rsidP="002E1D2A">
            <w:pPr>
              <w:pStyle w:val="TableText"/>
              <w:keepNext/>
              <w:rPr>
                <w:i/>
              </w:rPr>
            </w:pPr>
            <w:r w:rsidRPr="00406180">
              <w:rPr>
                <w:i/>
              </w:rPr>
              <w:t>Example: The plant in the above example shifts from making breadcrumbs to making soup</w:t>
            </w:r>
            <w:r>
              <w:rPr>
                <w:i/>
              </w:rPr>
              <w:t>, and the soup-making process uses the same amount of heat from the diesel boiler as did the breadcrumb production</w:t>
            </w:r>
            <w:r w:rsidRPr="00406180">
              <w:rPr>
                <w:i/>
              </w:rPr>
              <w:t>. Any discharge from the food production is still permitted</w:t>
            </w:r>
            <w:r>
              <w:rPr>
                <w:i/>
              </w:rPr>
              <w:t>,</w:t>
            </w:r>
            <w:r w:rsidRPr="00406180">
              <w:rPr>
                <w:i/>
              </w:rPr>
              <w:t xml:space="preserve"> and the change makes no difference to the discharge arising from the boiler. While the process of food production has changed, the discharge </w:t>
            </w:r>
            <w:r>
              <w:rPr>
                <w:i/>
              </w:rPr>
              <w:t xml:space="preserve">from the diesel boiler </w:t>
            </w:r>
            <w:r w:rsidRPr="00406180">
              <w:rPr>
                <w:i/>
              </w:rPr>
              <w:t xml:space="preserve">has not. </w:t>
            </w:r>
            <w:r>
              <w:rPr>
                <w:i/>
              </w:rPr>
              <w:t>Therefore</w:t>
            </w:r>
            <w:r w:rsidR="00D24F49">
              <w:rPr>
                <w:i/>
              </w:rPr>
              <w:t>,</w:t>
            </w:r>
            <w:r>
              <w:rPr>
                <w:i/>
              </w:rPr>
              <w:t xml:space="preserve"> the discharges from the boiler would require a consent renewal and not a new consent as the activity remains the same.</w:t>
            </w:r>
          </w:p>
        </w:tc>
      </w:tr>
      <w:tr w:rsidR="002E1D2A" w:rsidRPr="00891F93" w14:paraId="595F57D5" w14:textId="77777777" w:rsidTr="002E1D2A">
        <w:trPr>
          <w:trHeight w:val="1204"/>
        </w:trPr>
        <w:tc>
          <w:tcPr>
            <w:tcW w:w="2016" w:type="dxa"/>
          </w:tcPr>
          <w:p w14:paraId="2BCA411C" w14:textId="77777777" w:rsidR="002E1D2A" w:rsidRPr="00822B9B" w:rsidRDefault="002E1D2A" w:rsidP="002E1D2A">
            <w:pPr>
              <w:pStyle w:val="TableText"/>
              <w:keepNext/>
            </w:pPr>
            <w:r w:rsidRPr="00822B9B">
              <w:t>‘Permitted activity’</w:t>
            </w:r>
          </w:p>
        </w:tc>
        <w:tc>
          <w:tcPr>
            <w:tcW w:w="6704" w:type="dxa"/>
          </w:tcPr>
          <w:p w14:paraId="0930A1BF" w14:textId="77777777" w:rsidR="002E1D2A" w:rsidRPr="00822B9B" w:rsidRDefault="002E1D2A" w:rsidP="002E1D2A">
            <w:pPr>
              <w:pStyle w:val="TableText"/>
              <w:keepNext/>
            </w:pPr>
            <w:r w:rsidRPr="00822B9B">
              <w:t>Regulation</w:t>
            </w:r>
            <w:r>
              <w:t xml:space="preserve"> 17 states that</w:t>
            </w:r>
            <w:r w:rsidRPr="00822B9B">
              <w:t xml:space="preserve"> offsets are required only </w:t>
            </w:r>
            <w:r>
              <w:t xml:space="preserve">where a resource consent application has been made for discharges of </w:t>
            </w:r>
            <w:r w:rsidRPr="00822B9B">
              <w:t>PM</w:t>
            </w:r>
            <w:r w:rsidRPr="00406180">
              <w:rPr>
                <w:vertAlign w:val="subscript"/>
              </w:rPr>
              <w:t>10</w:t>
            </w:r>
            <w:r w:rsidRPr="00822B9B">
              <w:t xml:space="preserve">. </w:t>
            </w:r>
          </w:p>
          <w:p w14:paraId="29B9D64F" w14:textId="77777777" w:rsidR="002E1D2A" w:rsidRPr="00822B9B" w:rsidRDefault="002E1D2A" w:rsidP="00D24F49">
            <w:pPr>
              <w:pStyle w:val="TableText"/>
              <w:keepNext/>
            </w:pPr>
            <w:r w:rsidRPr="00822B9B">
              <w:t>This means a permitted activity that discharges PM</w:t>
            </w:r>
            <w:r w:rsidRPr="00406180">
              <w:rPr>
                <w:vertAlign w:val="subscript"/>
              </w:rPr>
              <w:t>10</w:t>
            </w:r>
            <w:r w:rsidRPr="00822B9B">
              <w:t xml:space="preserve"> would not be covered by the offset provisions in </w:t>
            </w:r>
            <w:r w:rsidR="00D24F49">
              <w:t>R</w:t>
            </w:r>
            <w:r w:rsidR="00D24F49" w:rsidRPr="00822B9B">
              <w:t xml:space="preserve">egulation </w:t>
            </w:r>
            <w:r w:rsidRPr="00822B9B">
              <w:t xml:space="preserve">17. An offset </w:t>
            </w:r>
            <w:r>
              <w:t xml:space="preserve">can be required only </w:t>
            </w:r>
            <w:r w:rsidRPr="00822B9B">
              <w:t xml:space="preserve">if a </w:t>
            </w:r>
            <w:r>
              <w:t xml:space="preserve">resource </w:t>
            </w:r>
            <w:r w:rsidRPr="00822B9B">
              <w:t>consent is required to discharge PM</w:t>
            </w:r>
            <w:r w:rsidRPr="00406180">
              <w:rPr>
                <w:vertAlign w:val="subscript"/>
              </w:rPr>
              <w:t>10</w:t>
            </w:r>
            <w:r w:rsidRPr="00822B9B">
              <w:t>.</w:t>
            </w:r>
          </w:p>
        </w:tc>
      </w:tr>
      <w:tr w:rsidR="002E1D2A" w:rsidRPr="00891F93" w14:paraId="4FD146DB" w14:textId="77777777" w:rsidTr="002E1D2A">
        <w:tc>
          <w:tcPr>
            <w:tcW w:w="2016" w:type="dxa"/>
          </w:tcPr>
          <w:p w14:paraId="39B97CFE" w14:textId="77777777" w:rsidR="002E1D2A" w:rsidRPr="00822B9B" w:rsidRDefault="002E1D2A" w:rsidP="002E1D2A">
            <w:pPr>
              <w:pStyle w:val="TableText"/>
              <w:keepNext/>
            </w:pPr>
            <w:r w:rsidRPr="00822B9B">
              <w:t>‘Fugitive emissions’</w:t>
            </w:r>
          </w:p>
        </w:tc>
        <w:tc>
          <w:tcPr>
            <w:tcW w:w="6704" w:type="dxa"/>
          </w:tcPr>
          <w:p w14:paraId="1BFCE45B" w14:textId="77777777" w:rsidR="002E1D2A" w:rsidRPr="00822B9B" w:rsidRDefault="002E1D2A" w:rsidP="002E1D2A">
            <w:pPr>
              <w:pStyle w:val="TableText"/>
              <w:keepNext/>
            </w:pPr>
            <w:r w:rsidRPr="00822B9B">
              <w:t>Some activities have ‘fugitive emissions’, meaning those emissions which could not reasonably pass through a stack, chimney, vent, or other functionally equi</w:t>
            </w:r>
            <w:r w:rsidR="005466AB">
              <w:t xml:space="preserve">valent opening. </w:t>
            </w:r>
            <w:r w:rsidRPr="00822B9B">
              <w:t>These emissions can occur from, for example, compost making, coal bunkers or storage yards). Fugitive emissions of PM</w:t>
            </w:r>
            <w:r w:rsidRPr="00406180">
              <w:rPr>
                <w:vertAlign w:val="subscript"/>
              </w:rPr>
              <w:t>10</w:t>
            </w:r>
            <w:r w:rsidRPr="00822B9B">
              <w:t xml:space="preserve"> may be associated with a new activity, but these need only be offset if the regional plan requires consent for these discharges.</w:t>
            </w:r>
          </w:p>
        </w:tc>
      </w:tr>
      <w:tr w:rsidR="002E1D2A" w:rsidRPr="00891F93" w14:paraId="281784EC" w14:textId="77777777" w:rsidTr="002E1D2A">
        <w:tc>
          <w:tcPr>
            <w:tcW w:w="2016" w:type="dxa"/>
          </w:tcPr>
          <w:p w14:paraId="2A982A8F" w14:textId="77777777" w:rsidR="002E1D2A" w:rsidRPr="00822B9B" w:rsidRDefault="002E1D2A" w:rsidP="002E1D2A">
            <w:pPr>
              <w:pStyle w:val="TableText"/>
              <w:keepNext/>
            </w:pPr>
            <w:r w:rsidRPr="00822B9B">
              <w:t>Polluted airshed</w:t>
            </w:r>
          </w:p>
        </w:tc>
        <w:tc>
          <w:tcPr>
            <w:tcW w:w="6704" w:type="dxa"/>
          </w:tcPr>
          <w:p w14:paraId="2AA5721D" w14:textId="77777777" w:rsidR="002E1D2A" w:rsidRPr="00822B9B" w:rsidRDefault="002E1D2A" w:rsidP="005466AB">
            <w:pPr>
              <w:pStyle w:val="TableText"/>
              <w:keepNext/>
            </w:pPr>
            <w:r w:rsidRPr="00822B9B">
              <w:t xml:space="preserve">Polluted airsheds are those </w:t>
            </w:r>
            <w:r>
              <w:t>airsheds where the average number of exceedance of the</w:t>
            </w:r>
            <w:r w:rsidRPr="00822B9B">
              <w:t xml:space="preserve"> PM</w:t>
            </w:r>
            <w:r w:rsidRPr="00406180">
              <w:rPr>
                <w:vertAlign w:val="subscript"/>
              </w:rPr>
              <w:t>10</w:t>
            </w:r>
            <w:r w:rsidRPr="00822B9B">
              <w:t xml:space="preserve"> standard </w:t>
            </w:r>
            <w:r>
              <w:t>over</w:t>
            </w:r>
            <w:r w:rsidRPr="00822B9B">
              <w:t xml:space="preserve"> the preceding five years </w:t>
            </w:r>
            <w:r>
              <w:t>was more than one per year (</w:t>
            </w:r>
            <w:r w:rsidRPr="00822B9B">
              <w:t xml:space="preserve">as measured and calculated in accordance with the requirements of </w:t>
            </w:r>
            <w:r w:rsidR="005466AB">
              <w:t>R</w:t>
            </w:r>
            <w:r w:rsidR="005466AB" w:rsidRPr="00822B9B">
              <w:t xml:space="preserve">egulations </w:t>
            </w:r>
            <w:r w:rsidRPr="00822B9B">
              <w:t>16C and 16D</w:t>
            </w:r>
            <w:r>
              <w:t>)</w:t>
            </w:r>
            <w:r w:rsidRPr="00822B9B">
              <w:t>.</w:t>
            </w:r>
          </w:p>
        </w:tc>
      </w:tr>
      <w:tr w:rsidR="002E1D2A" w:rsidRPr="00891F93" w14:paraId="7CDE46A6" w14:textId="77777777" w:rsidTr="002E1D2A">
        <w:tc>
          <w:tcPr>
            <w:tcW w:w="2016" w:type="dxa"/>
          </w:tcPr>
          <w:p w14:paraId="29532907" w14:textId="77777777" w:rsidR="002E1D2A" w:rsidRPr="00822B9B" w:rsidRDefault="002E1D2A" w:rsidP="002E1D2A">
            <w:pPr>
              <w:pStyle w:val="TableText"/>
              <w:keepNext/>
            </w:pPr>
            <w:r w:rsidRPr="00822B9B">
              <w:t>“…increase the concentration of PM</w:t>
            </w:r>
            <w:r w:rsidRPr="00406180">
              <w:rPr>
                <w:vertAlign w:val="subscript"/>
              </w:rPr>
              <w:t>10</w:t>
            </w:r>
            <w:r w:rsidRPr="00822B9B">
              <w:t xml:space="preserve"> … by more than 2.5 micrograms per cubic metre…”</w:t>
            </w:r>
          </w:p>
        </w:tc>
        <w:tc>
          <w:tcPr>
            <w:tcW w:w="6704" w:type="dxa"/>
          </w:tcPr>
          <w:p w14:paraId="7659BC78" w14:textId="77777777" w:rsidR="002E1D2A" w:rsidRDefault="002E1D2A" w:rsidP="002E1D2A">
            <w:pPr>
              <w:pStyle w:val="TableText"/>
              <w:keepNext/>
            </w:pPr>
            <w:r w:rsidRPr="00822B9B">
              <w:t>The ‘2.5 µg/m</w:t>
            </w:r>
            <w:r w:rsidRPr="00406180">
              <w:rPr>
                <w:vertAlign w:val="superscript"/>
              </w:rPr>
              <w:t>3</w:t>
            </w:r>
            <w:r w:rsidRPr="00822B9B">
              <w:t xml:space="preserve">’ relates to the offsite effects of the activity’s discharge. </w:t>
            </w:r>
          </w:p>
          <w:p w14:paraId="6BA03A02" w14:textId="77777777" w:rsidR="002E1D2A" w:rsidRPr="00EB2692" w:rsidRDefault="002E1D2A" w:rsidP="002E1D2A">
            <w:pPr>
              <w:rPr>
                <w:rFonts w:ascii="Arial" w:hAnsi="Arial" w:cs="Arial"/>
                <w:sz w:val="16"/>
                <w:szCs w:val="16"/>
              </w:rPr>
            </w:pPr>
            <w:r>
              <w:rPr>
                <w:rFonts w:ascii="Arial" w:hAnsi="Arial" w:cs="Arial"/>
                <w:sz w:val="16"/>
                <w:szCs w:val="16"/>
              </w:rPr>
              <w:t xml:space="preserve">For applications to increase or change conditions for </w:t>
            </w:r>
            <w:r w:rsidRPr="00EB2692">
              <w:rPr>
                <w:rFonts w:ascii="Arial" w:hAnsi="Arial" w:cs="Arial"/>
                <w:sz w:val="16"/>
                <w:szCs w:val="16"/>
              </w:rPr>
              <w:t>existing discharges, the 2.5</w:t>
            </w:r>
            <w:r>
              <w:rPr>
                <w:rFonts w:ascii="Arial" w:hAnsi="Arial" w:cs="Arial"/>
                <w:sz w:val="16"/>
                <w:szCs w:val="16"/>
              </w:rPr>
              <w:t> </w:t>
            </w:r>
            <w:r w:rsidRPr="00EB2692">
              <w:rPr>
                <w:rFonts w:ascii="Arial" w:hAnsi="Arial" w:cs="Arial"/>
                <w:sz w:val="16"/>
                <w:szCs w:val="16"/>
              </w:rPr>
              <w:t xml:space="preserve">micrograms threshold is intended to refer to any </w:t>
            </w:r>
            <w:r w:rsidRPr="00EB2692">
              <w:rPr>
                <w:rFonts w:ascii="Arial" w:hAnsi="Arial" w:cs="Arial"/>
                <w:i/>
                <w:sz w:val="16"/>
                <w:szCs w:val="16"/>
              </w:rPr>
              <w:t>additional effect</w:t>
            </w:r>
            <w:r w:rsidRPr="00EB2692">
              <w:rPr>
                <w:rFonts w:ascii="Arial" w:hAnsi="Arial" w:cs="Arial"/>
                <w:sz w:val="16"/>
                <w:szCs w:val="16"/>
              </w:rPr>
              <w:t xml:space="preserve"> of </w:t>
            </w:r>
            <w:r>
              <w:rPr>
                <w:rFonts w:ascii="Arial" w:hAnsi="Arial" w:cs="Arial"/>
                <w:sz w:val="16"/>
                <w:szCs w:val="16"/>
              </w:rPr>
              <w:t xml:space="preserve">the </w:t>
            </w:r>
            <w:r w:rsidRPr="00EB2692">
              <w:rPr>
                <w:rFonts w:ascii="Arial" w:hAnsi="Arial" w:cs="Arial"/>
                <w:sz w:val="16"/>
                <w:szCs w:val="16"/>
              </w:rPr>
              <w:t xml:space="preserve">increased or </w:t>
            </w:r>
            <w:r>
              <w:rPr>
                <w:rFonts w:ascii="Arial" w:hAnsi="Arial" w:cs="Arial"/>
                <w:sz w:val="16"/>
                <w:szCs w:val="16"/>
              </w:rPr>
              <w:t>modified</w:t>
            </w:r>
            <w:r w:rsidRPr="00EB2692">
              <w:rPr>
                <w:rFonts w:ascii="Arial" w:hAnsi="Arial" w:cs="Arial"/>
                <w:sz w:val="16"/>
                <w:szCs w:val="16"/>
              </w:rPr>
              <w:t xml:space="preserve"> discharges. </w:t>
            </w:r>
            <w:r>
              <w:rPr>
                <w:rFonts w:ascii="Arial" w:hAnsi="Arial" w:cs="Arial"/>
                <w:sz w:val="16"/>
                <w:szCs w:val="16"/>
              </w:rPr>
              <w:t>W</w:t>
            </w:r>
            <w:r w:rsidRPr="00EB2692">
              <w:rPr>
                <w:rFonts w:ascii="Arial" w:hAnsi="Arial" w:cs="Arial"/>
                <w:sz w:val="16"/>
                <w:szCs w:val="16"/>
              </w:rPr>
              <w:t xml:space="preserve">here a new consent is sought </w:t>
            </w:r>
            <w:r>
              <w:rPr>
                <w:rFonts w:ascii="Arial" w:hAnsi="Arial" w:cs="Arial"/>
                <w:sz w:val="16"/>
                <w:szCs w:val="16"/>
              </w:rPr>
              <w:t>to increase or modify a consented discharge</w:t>
            </w:r>
            <w:r w:rsidRPr="00EB2692">
              <w:rPr>
                <w:rFonts w:ascii="Arial" w:hAnsi="Arial" w:cs="Arial"/>
                <w:sz w:val="16"/>
                <w:szCs w:val="16"/>
              </w:rPr>
              <w:t>, the policy intent is</w:t>
            </w:r>
            <w:r w:rsidRPr="00D4590A">
              <w:rPr>
                <w:rFonts w:ascii="Arial" w:hAnsi="Arial" w:cs="Arial"/>
                <w:sz w:val="16"/>
                <w:szCs w:val="16"/>
              </w:rPr>
              <w:t xml:space="preserve"> </w:t>
            </w:r>
            <w:r w:rsidRPr="00EB2692">
              <w:rPr>
                <w:rFonts w:ascii="Arial" w:hAnsi="Arial" w:cs="Arial"/>
                <w:sz w:val="16"/>
                <w:szCs w:val="16"/>
              </w:rPr>
              <w:t xml:space="preserve">that only any additional discharge </w:t>
            </w:r>
            <w:r>
              <w:rPr>
                <w:rFonts w:ascii="Arial" w:hAnsi="Arial" w:cs="Arial"/>
                <w:sz w:val="16"/>
                <w:szCs w:val="16"/>
              </w:rPr>
              <w:t>requires</w:t>
            </w:r>
            <w:r w:rsidRPr="00EB2692">
              <w:rPr>
                <w:rFonts w:ascii="Arial" w:hAnsi="Arial" w:cs="Arial"/>
                <w:sz w:val="16"/>
                <w:szCs w:val="16"/>
              </w:rPr>
              <w:t xml:space="preserve"> offset</w:t>
            </w:r>
            <w:r>
              <w:rPr>
                <w:rFonts w:ascii="Arial" w:hAnsi="Arial" w:cs="Arial"/>
                <w:sz w:val="16"/>
                <w:szCs w:val="16"/>
              </w:rPr>
              <w:t>ting</w:t>
            </w:r>
            <w:r w:rsidRPr="00EB2692">
              <w:rPr>
                <w:rFonts w:ascii="Arial" w:hAnsi="Arial" w:cs="Arial"/>
                <w:sz w:val="16"/>
                <w:szCs w:val="16"/>
              </w:rPr>
              <w:t xml:space="preserve"> (ie, emissions additional to those already authorised by a resource consent), and not the whole discharge.</w:t>
            </w:r>
            <w:r>
              <w:rPr>
                <w:rFonts w:ascii="Arial" w:hAnsi="Arial" w:cs="Arial"/>
                <w:sz w:val="16"/>
                <w:szCs w:val="16"/>
              </w:rPr>
              <w:t xml:space="preserve"> This is because </w:t>
            </w:r>
            <w:r w:rsidRPr="00D4590A">
              <w:rPr>
                <w:rFonts w:ascii="Arial" w:hAnsi="Arial" w:cs="Arial"/>
                <w:sz w:val="16"/>
                <w:szCs w:val="16"/>
              </w:rPr>
              <w:t>the existing consent</w:t>
            </w:r>
            <w:r>
              <w:rPr>
                <w:rFonts w:ascii="Arial" w:hAnsi="Arial" w:cs="Arial"/>
                <w:sz w:val="16"/>
                <w:szCs w:val="16"/>
              </w:rPr>
              <w:t>ed discharge</w:t>
            </w:r>
            <w:r w:rsidRPr="00D4590A">
              <w:rPr>
                <w:rFonts w:ascii="Arial" w:hAnsi="Arial" w:cs="Arial"/>
                <w:sz w:val="16"/>
                <w:szCs w:val="16"/>
              </w:rPr>
              <w:t xml:space="preserve"> forms part of the background PM</w:t>
            </w:r>
            <w:r w:rsidRPr="00D4590A">
              <w:rPr>
                <w:rFonts w:ascii="Arial" w:hAnsi="Arial" w:cs="Arial"/>
                <w:sz w:val="16"/>
                <w:szCs w:val="16"/>
                <w:vertAlign w:val="subscript"/>
              </w:rPr>
              <w:t>10</w:t>
            </w:r>
            <w:r w:rsidRPr="00D4590A">
              <w:rPr>
                <w:rFonts w:ascii="Arial" w:hAnsi="Arial" w:cs="Arial"/>
                <w:sz w:val="16"/>
                <w:szCs w:val="16"/>
              </w:rPr>
              <w:t xml:space="preserve"> concentration for an airshed</w:t>
            </w:r>
            <w:r>
              <w:rPr>
                <w:rFonts w:ascii="Arial" w:hAnsi="Arial" w:cs="Arial"/>
                <w:sz w:val="16"/>
                <w:szCs w:val="16"/>
              </w:rPr>
              <w:t>.</w:t>
            </w:r>
          </w:p>
        </w:tc>
      </w:tr>
    </w:tbl>
    <w:p w14:paraId="76494C1B" w14:textId="77777777" w:rsidR="002E1D2A" w:rsidRDefault="002E1D2A" w:rsidP="002E1D2A"/>
    <w:p w14:paraId="74F9A71C" w14:textId="77777777" w:rsidR="002E1D2A" w:rsidRDefault="002E1D2A" w:rsidP="00E7118B">
      <w:pPr>
        <w:pStyle w:val="BodyText"/>
      </w:pPr>
      <w:r w:rsidRPr="00FE5450">
        <w:t xml:space="preserve">* Note: </w:t>
      </w:r>
      <w:r w:rsidR="008221B3">
        <w:t>T</w:t>
      </w:r>
      <w:r w:rsidRPr="00FE5450">
        <w:t xml:space="preserve">his table reflects policy intention only and does not constitute legal advice (see disclaimer </w:t>
      </w:r>
      <w:r>
        <w:t>at the beginning of this Users’ Guide</w:t>
      </w:r>
      <w:r w:rsidRPr="00FE5450">
        <w:t>)</w:t>
      </w:r>
      <w:r w:rsidR="008221B3">
        <w:t>.</w:t>
      </w:r>
    </w:p>
    <w:p w14:paraId="288CCE64" w14:textId="77777777" w:rsidR="002E1D2A" w:rsidRDefault="002E1D2A" w:rsidP="002E1D2A">
      <w:pPr>
        <w:pStyle w:val="Heading4"/>
      </w:pPr>
      <w:r>
        <w:t xml:space="preserve">What does </w:t>
      </w:r>
      <w:r w:rsidR="005466AB">
        <w:t xml:space="preserve">Regulation </w:t>
      </w:r>
      <w:r>
        <w:t>17 require?</w:t>
      </w:r>
    </w:p>
    <w:p w14:paraId="3CD6977D" w14:textId="77777777" w:rsidR="00F26839" w:rsidRDefault="002E1D2A">
      <w:pPr>
        <w:pStyle w:val="Heading5"/>
      </w:pPr>
      <w:r>
        <w:t>W</w:t>
      </w:r>
      <w:r w:rsidRPr="00406180">
        <w:t xml:space="preserve">hen </w:t>
      </w:r>
      <w:r w:rsidR="005466AB">
        <w:t>R</w:t>
      </w:r>
      <w:r w:rsidR="005466AB" w:rsidRPr="00406180">
        <w:t xml:space="preserve">egulation </w:t>
      </w:r>
      <w:r w:rsidRPr="00406180">
        <w:t>17 applies</w:t>
      </w:r>
      <w:r>
        <w:t xml:space="preserve"> – an overview</w:t>
      </w:r>
    </w:p>
    <w:p w14:paraId="0F7E62FD" w14:textId="77777777" w:rsidR="002E1D2A" w:rsidRDefault="002E1D2A" w:rsidP="002E1D2A">
      <w:pPr>
        <w:pStyle w:val="BodyText"/>
      </w:pPr>
      <w:r>
        <w:t>Regulation 17(1)</w:t>
      </w:r>
      <w:r w:rsidRPr="00406180">
        <w:t xml:space="preserve"> sets out the circumstances in which the </w:t>
      </w:r>
      <w:r>
        <w:t xml:space="preserve">offsetting requirements </w:t>
      </w:r>
      <w:r w:rsidRPr="00406180">
        <w:t>appl</w:t>
      </w:r>
      <w:r>
        <w:t>y</w:t>
      </w:r>
      <w:r w:rsidRPr="00406180">
        <w:t>. These are:</w:t>
      </w:r>
    </w:p>
    <w:p w14:paraId="7EA84FCF" w14:textId="77777777" w:rsidR="00F26839" w:rsidRDefault="007F65C6">
      <w:pPr>
        <w:pStyle w:val="Bullet"/>
        <w:numPr>
          <w:ilvl w:val="0"/>
          <w:numId w:val="13"/>
        </w:numPr>
      </w:pPr>
      <w:r>
        <w:t>t</w:t>
      </w:r>
      <w:r w:rsidRPr="00406180">
        <w:t xml:space="preserve">he </w:t>
      </w:r>
      <w:r w:rsidR="002E1D2A" w:rsidRPr="00406180">
        <w:t>resource consent application is one that seeks to authorise the discharge of PM</w:t>
      </w:r>
      <w:r w:rsidR="00172732" w:rsidRPr="00866F64">
        <w:rPr>
          <w:vertAlign w:val="subscript"/>
        </w:rPr>
        <w:t>10</w:t>
      </w:r>
      <w:r w:rsidR="002E1D2A" w:rsidRPr="00406180">
        <w:t xml:space="preserve"> </w:t>
      </w:r>
    </w:p>
    <w:p w14:paraId="1A0AB87B" w14:textId="77777777" w:rsidR="00F26839" w:rsidRDefault="007F65C6">
      <w:pPr>
        <w:pStyle w:val="Bullet"/>
        <w:numPr>
          <w:ilvl w:val="0"/>
          <w:numId w:val="13"/>
        </w:numPr>
      </w:pPr>
      <w:r>
        <w:t xml:space="preserve">the </w:t>
      </w:r>
      <w:r w:rsidR="002E1D2A">
        <w:t xml:space="preserve">same activity is not already authorised by a resource consent, held by the applicant at the time the new application is lodged with the consent authority </w:t>
      </w:r>
    </w:p>
    <w:p w14:paraId="2853F8F6" w14:textId="77777777" w:rsidR="00F26839" w:rsidRDefault="007F65C6">
      <w:pPr>
        <w:pStyle w:val="Bullet"/>
        <w:numPr>
          <w:ilvl w:val="0"/>
          <w:numId w:val="13"/>
        </w:numPr>
      </w:pPr>
      <w:r>
        <w:t>t</w:t>
      </w:r>
      <w:r w:rsidRPr="00406180">
        <w:t xml:space="preserve">he </w:t>
      </w:r>
      <w:r w:rsidR="002E1D2A" w:rsidRPr="00406180">
        <w:t>discharge would be likely at any time to increase the average 24</w:t>
      </w:r>
      <w:r>
        <w:t>-</w:t>
      </w:r>
      <w:r w:rsidR="002E1D2A" w:rsidRPr="00406180">
        <w:t>hour concentration of PM</w:t>
      </w:r>
      <w:r w:rsidR="00172732" w:rsidRPr="00261A2A">
        <w:rPr>
          <w:vertAlign w:val="subscript"/>
        </w:rPr>
        <w:t>10</w:t>
      </w:r>
      <w:r w:rsidR="002E1D2A" w:rsidRPr="00261A2A">
        <w:rPr>
          <w:vertAlign w:val="subscript"/>
        </w:rPr>
        <w:t xml:space="preserve"> </w:t>
      </w:r>
      <w:r w:rsidR="002E1D2A" w:rsidRPr="00406180">
        <w:t>by more than 2.5 micrograms per cubic metre in any part of a polluted airshed (other than</w:t>
      </w:r>
      <w:r w:rsidR="002E1D2A">
        <w:t xml:space="preserve"> at</w:t>
      </w:r>
      <w:r w:rsidR="002E1D2A" w:rsidRPr="00406180">
        <w:t xml:space="preserve"> the </w:t>
      </w:r>
      <w:r w:rsidR="002E1D2A">
        <w:t>site where the discharge will occur)</w:t>
      </w:r>
      <w:r>
        <w:t>.</w:t>
      </w:r>
    </w:p>
    <w:p w14:paraId="3882CAA3" w14:textId="77777777" w:rsidR="002E1D2A" w:rsidRPr="00406180" w:rsidRDefault="002E1D2A" w:rsidP="002E1D2A">
      <w:pPr>
        <w:pStyle w:val="BodyText"/>
      </w:pPr>
      <w:r w:rsidRPr="00406180">
        <w:t xml:space="preserve">The first point to consider when determining whether or not a discharge needs to be offset, is whether a resource consent (a discharge permit) is needed for the discharge to be authorised. The </w:t>
      </w:r>
      <w:r w:rsidR="007F65C6">
        <w:t>R</w:t>
      </w:r>
      <w:r w:rsidR="007F65C6" w:rsidRPr="00406180">
        <w:t xml:space="preserve">egulation </w:t>
      </w:r>
      <w:r w:rsidRPr="00406180">
        <w:t xml:space="preserve">is not intended to require the offsetting of emissions that are permitted activities according to regional plans. </w:t>
      </w:r>
    </w:p>
    <w:p w14:paraId="0CA49DD1" w14:textId="77777777" w:rsidR="002E1D2A" w:rsidRPr="00406180" w:rsidRDefault="002E1D2A" w:rsidP="002E1D2A">
      <w:pPr>
        <w:pStyle w:val="BodyText"/>
      </w:pPr>
    </w:p>
    <w:p w14:paraId="22472329" w14:textId="77777777" w:rsidR="002E1D2A" w:rsidRPr="00406180" w:rsidRDefault="002E1D2A" w:rsidP="002E1D2A">
      <w:pPr>
        <w:pStyle w:val="BodyText"/>
      </w:pPr>
      <w:r w:rsidRPr="00307C42">
        <w:t xml:space="preserve">The second policy intent of the </w:t>
      </w:r>
      <w:r w:rsidR="00BF776B">
        <w:t>R</w:t>
      </w:r>
      <w:r w:rsidR="00BF776B" w:rsidRPr="00307C42">
        <w:t xml:space="preserve">egulation </w:t>
      </w:r>
      <w:r w:rsidRPr="00307C42">
        <w:t xml:space="preserve">is that </w:t>
      </w:r>
      <w:r w:rsidR="00BF776B">
        <w:t xml:space="preserve">it </w:t>
      </w:r>
      <w:r w:rsidRPr="00307C42">
        <w:t>should apply only to applications for new or increased discharges of PM</w:t>
      </w:r>
      <w:r w:rsidRPr="00307C42">
        <w:rPr>
          <w:vertAlign w:val="subscript"/>
        </w:rPr>
        <w:t>10</w:t>
      </w:r>
      <w:r w:rsidRPr="00307C42">
        <w:t xml:space="preserve"> (where they trigger a specific threshold). The requirement to offset emissions does not apply if the consent holder already holds a discharge permit for the same activity. An example of this is where the applicant holds a discharge permit and is seeking to replace it before it expires </w:t>
      </w:r>
      <w:r w:rsidR="00BF776B">
        <w:t>–</w:t>
      </w:r>
      <w:r w:rsidRPr="00307C42">
        <w:t xml:space="preserve"> only where the discharge itself has not changed from that authorised by the existing consent. In this regard, the policy intent is that </w:t>
      </w:r>
      <w:r w:rsidRPr="00406180">
        <w:t xml:space="preserve">the “same activity” is the discharge </w:t>
      </w:r>
      <w:r w:rsidRPr="00406180">
        <w:rPr>
          <w:i/>
        </w:rPr>
        <w:t>per se</w:t>
      </w:r>
      <w:r w:rsidRPr="00406180">
        <w:t xml:space="preserve"> (the discharge of PM</w:t>
      </w:r>
      <w:r w:rsidRPr="00406180">
        <w:rPr>
          <w:vertAlign w:val="subscript"/>
        </w:rPr>
        <w:t>10</w:t>
      </w:r>
      <w:r w:rsidRPr="00406180">
        <w:t xml:space="preserve"> to air), and not the land</w:t>
      </w:r>
      <w:r w:rsidR="00BF776B">
        <w:t>-</w:t>
      </w:r>
      <w:r w:rsidRPr="00406180">
        <w:t>use activity tha</w:t>
      </w:r>
      <w:r>
        <w:t>t brings about the discharge (eg,</w:t>
      </w:r>
      <w:r w:rsidRPr="00406180">
        <w:t xml:space="preserve"> the operation of a wood processing facility, a hospital, food processing plant, or other land</w:t>
      </w:r>
      <w:r w:rsidR="00BF776B">
        <w:t>-</w:t>
      </w:r>
      <w:r w:rsidRPr="00406180">
        <w:t xml:space="preserve">use activity). Those activities in themselves are not subject to section 15 of the RMA and </w:t>
      </w:r>
      <w:r>
        <w:t>the Regulations</w:t>
      </w:r>
      <w:r w:rsidRPr="00406180">
        <w:t xml:space="preserve">, even though any discharges that arise from them are. </w:t>
      </w:r>
    </w:p>
    <w:p w14:paraId="1E1C9345" w14:textId="77777777" w:rsidR="002E1D2A" w:rsidRDefault="002E1D2A" w:rsidP="002E1D2A">
      <w:pPr>
        <w:pStyle w:val="BodyText"/>
      </w:pPr>
    </w:p>
    <w:p w14:paraId="494A7A75" w14:textId="77777777" w:rsidR="002E1D2A" w:rsidRDefault="002E1D2A" w:rsidP="002E1D2A">
      <w:pPr>
        <w:pStyle w:val="BodyText"/>
      </w:pPr>
      <w:r w:rsidRPr="00406180">
        <w:t>The threshold of 2.5 micrograms per cubic metre as a 24</w:t>
      </w:r>
      <w:r w:rsidR="00BF776B">
        <w:t>-</w:t>
      </w:r>
      <w:r w:rsidRPr="00406180">
        <w:t>hour average relates to the effect of discharges on PM</w:t>
      </w:r>
      <w:r w:rsidRPr="00406180">
        <w:rPr>
          <w:vertAlign w:val="subscript"/>
        </w:rPr>
        <w:t>10</w:t>
      </w:r>
      <w:r w:rsidRPr="00406180">
        <w:t xml:space="preserve"> and is a trigger point for distinguishing those emissions that are more significant for the airshed (and thus need offsetting) from those that are </w:t>
      </w:r>
      <w:r w:rsidR="002F4277">
        <w:t>less significant (and do not).</w:t>
      </w:r>
    </w:p>
    <w:p w14:paraId="4948C3C7" w14:textId="77777777" w:rsidR="002E1D2A" w:rsidRDefault="002E1D2A" w:rsidP="002E1D2A">
      <w:pPr>
        <w:pStyle w:val="BodyText"/>
      </w:pPr>
    </w:p>
    <w:p w14:paraId="078B8B01" w14:textId="77777777" w:rsidR="002E1D2A" w:rsidRPr="00406180" w:rsidRDefault="002E1D2A" w:rsidP="002E1D2A">
      <w:pPr>
        <w:pStyle w:val="BodyText"/>
      </w:pPr>
      <w:r w:rsidRPr="00406180">
        <w:t xml:space="preserve">How to calculate whether the discharge could cause a concentration exceeding the </w:t>
      </w:r>
      <w:r w:rsidR="00BF776B">
        <w:br/>
      </w:r>
      <w:r w:rsidRPr="00406180">
        <w:t xml:space="preserve">2.5 microgram threshold is discussed later. However, it is important to note the qualifying term used in the </w:t>
      </w:r>
      <w:r>
        <w:t>Regulations</w:t>
      </w:r>
      <w:r w:rsidRPr="007B27E9">
        <w:t>: t</w:t>
      </w:r>
      <w:r w:rsidRPr="00406180">
        <w:t>his is that the discharge must be “likely, at any time” to bring about an increase of PM</w:t>
      </w:r>
      <w:r w:rsidRPr="00406180">
        <w:rPr>
          <w:vertAlign w:val="subscript"/>
        </w:rPr>
        <w:t>10</w:t>
      </w:r>
      <w:r w:rsidRPr="00406180">
        <w:t xml:space="preserve"> concentrations to this degree or more.</w:t>
      </w:r>
      <w:r w:rsidRPr="007B27E9">
        <w:t xml:space="preserve"> </w:t>
      </w:r>
      <w:r w:rsidRPr="00406180">
        <w:t>This means that new emissions that breach this threshold — which add 2.5 micrograms PM</w:t>
      </w:r>
      <w:r w:rsidRPr="00406180">
        <w:rPr>
          <w:vertAlign w:val="subscript"/>
        </w:rPr>
        <w:t>10</w:t>
      </w:r>
      <w:r w:rsidRPr="00406180">
        <w:t xml:space="preserve"> or more to the background PM</w:t>
      </w:r>
      <w:r w:rsidRPr="00997E01">
        <w:rPr>
          <w:vertAlign w:val="subscript"/>
        </w:rPr>
        <w:t>10</w:t>
      </w:r>
      <w:r w:rsidRPr="00406180">
        <w:t xml:space="preserve"> concentrations — are intended to be offset as a whole.</w:t>
      </w:r>
    </w:p>
    <w:p w14:paraId="0F605373" w14:textId="77777777" w:rsidR="002E1D2A" w:rsidRDefault="002E1D2A" w:rsidP="002E1D2A">
      <w:pPr>
        <w:pStyle w:val="BodyText"/>
      </w:pPr>
    </w:p>
    <w:p w14:paraId="7D6E0B16" w14:textId="77777777" w:rsidR="002E1D2A" w:rsidRPr="00406180" w:rsidRDefault="002E1D2A" w:rsidP="002E1D2A">
      <w:pPr>
        <w:pStyle w:val="BodyText"/>
      </w:pPr>
      <w:r w:rsidRPr="00406180">
        <w:t xml:space="preserve">For existing discharges where a new consent is sought, the policy intent is slightly different. This is because, as stated above, the intent is not that existing emitters are penalised by the </w:t>
      </w:r>
      <w:r>
        <w:t>Regulations</w:t>
      </w:r>
      <w:r w:rsidRPr="00406180">
        <w:t xml:space="preserve">. </w:t>
      </w:r>
      <w:r>
        <w:t>Existing discharges are already part of the existing environment and will not bring about further reductions in air quality as a result of being granted without an offset.</w:t>
      </w:r>
      <w:r>
        <w:rPr>
          <w:rStyle w:val="FootnoteReference"/>
        </w:rPr>
        <w:footnoteReference w:id="16"/>
      </w:r>
      <w:r w:rsidR="00263213">
        <w:t xml:space="preserve"> </w:t>
      </w:r>
      <w:r>
        <w:t xml:space="preserve">This means that in cases of existing discharges, </w:t>
      </w:r>
      <w:r w:rsidRPr="00406180">
        <w:t>the 2.5 micrograms</w:t>
      </w:r>
      <w:r>
        <w:t xml:space="preserve"> threshold is intended to </w:t>
      </w:r>
      <w:r w:rsidRPr="00406180">
        <w:t xml:space="preserve">refer to any </w:t>
      </w:r>
      <w:r w:rsidRPr="00406180">
        <w:rPr>
          <w:i/>
        </w:rPr>
        <w:t>additional effect</w:t>
      </w:r>
      <w:r w:rsidRPr="00406180">
        <w:t xml:space="preserve"> of increased or different discharges. In other words, where a new consent is sought (or the applicant applies to change the conditions of their consent), the policy intent is that only any ad</w:t>
      </w:r>
      <w:r w:rsidRPr="00256225">
        <w:t>ditional discharge is offset (i</w:t>
      </w:r>
      <w:r w:rsidRPr="00406180">
        <w:t>e</w:t>
      </w:r>
      <w:r>
        <w:t>,</w:t>
      </w:r>
      <w:r w:rsidRPr="00406180">
        <w:t xml:space="preserve"> emissions additional to those already authorised by a resource consent), and not the whole discharge. </w:t>
      </w:r>
    </w:p>
    <w:p w14:paraId="01AC408F" w14:textId="77777777" w:rsidR="002E1D2A" w:rsidRDefault="002E1D2A" w:rsidP="002E1D2A">
      <w:pPr>
        <w:pStyle w:val="BodyText"/>
        <w:rPr>
          <w:highlight w:val="yellow"/>
        </w:rPr>
      </w:pPr>
    </w:p>
    <w:p w14:paraId="48356146" w14:textId="77777777" w:rsidR="002E1D2A" w:rsidRDefault="002E1D2A" w:rsidP="002E1D2A">
      <w:pPr>
        <w:pStyle w:val="BodyText"/>
      </w:pPr>
      <w:r>
        <w:t>Another parameter in this assessment is the likelihood that a discharge will exceed the threshold. This is a matter for the consent authority to determine, based on the evidence available to them and the</w:t>
      </w:r>
      <w:r w:rsidR="00263213">
        <w:t>ir assessment of that evidence.</w:t>
      </w:r>
      <w:r>
        <w:t xml:space="preserve"> In many cases this evidence will be in the form of dispersion modelling (from one or more models) that uses assumptions about the emissions and their behaviour in the environment once discharged into the air.</w:t>
      </w:r>
      <w:r>
        <w:rPr>
          <w:rStyle w:val="FootnoteReference"/>
        </w:rPr>
        <w:footnoteReference w:id="17"/>
      </w:r>
      <w:r>
        <w:t xml:space="preserve"> In many cases it will be clear that a particular discharge will breach this threshold, but in others it may not be so clear. In any case, the policy intent is that when requiring a discharge to be offset, the consent authority decides this because it is satisfied the threshold is </w:t>
      </w:r>
      <w:r w:rsidRPr="00406180">
        <w:rPr>
          <w:i/>
        </w:rPr>
        <w:t>likely</w:t>
      </w:r>
      <w:r>
        <w:t xml:space="preserve"> to be breached.</w:t>
      </w:r>
    </w:p>
    <w:p w14:paraId="42E1A488" w14:textId="77777777" w:rsidR="002E1D2A" w:rsidRPr="00406180" w:rsidRDefault="002E1D2A" w:rsidP="002E1D2A">
      <w:pPr>
        <w:pStyle w:val="BodyText"/>
      </w:pPr>
    </w:p>
    <w:p w14:paraId="6571C7AD" w14:textId="77777777" w:rsidR="002E1D2A" w:rsidRDefault="002E1D2A" w:rsidP="002E1D2A">
      <w:pPr>
        <w:pStyle w:val="BodyText"/>
      </w:pPr>
      <w:r>
        <w:t>R</w:t>
      </w:r>
      <w:r w:rsidRPr="00406180">
        <w:t xml:space="preserve">egulation 17 </w:t>
      </w:r>
      <w:r>
        <w:t xml:space="preserve">also states that the 2.5 microgram threshold applies to “any part of a polluted airshed” – which could mean a </w:t>
      </w:r>
      <w:r w:rsidRPr="00406180">
        <w:t>neighbouring airshed</w:t>
      </w:r>
      <w:r>
        <w:t>. O</w:t>
      </w:r>
      <w:r w:rsidRPr="00406180">
        <w:t>ffsets will be needed</w:t>
      </w:r>
      <w:r>
        <w:t xml:space="preserve"> in the affected airshed, even if it is not the airshed where the discharge is occurring, and </w:t>
      </w:r>
      <w:r w:rsidRPr="00406180">
        <w:t xml:space="preserve">if that airshed is managed by a different regional council. </w:t>
      </w:r>
    </w:p>
    <w:p w14:paraId="5906229F" w14:textId="77777777" w:rsidR="002E1D2A" w:rsidRPr="00406180" w:rsidRDefault="002E1D2A" w:rsidP="002E1D2A">
      <w:pPr>
        <w:pStyle w:val="BodyText"/>
      </w:pPr>
    </w:p>
    <w:p w14:paraId="5B6B0161" w14:textId="77777777" w:rsidR="00F26839" w:rsidRDefault="002E1D2A">
      <w:pPr>
        <w:pStyle w:val="Heading5"/>
      </w:pPr>
      <w:r w:rsidRPr="00406180">
        <w:t xml:space="preserve">What </w:t>
      </w:r>
      <w:r w:rsidRPr="005F4E3D">
        <w:t>constitutes</w:t>
      </w:r>
      <w:r w:rsidRPr="00406180">
        <w:t xml:space="preserve"> a</w:t>
      </w:r>
      <w:r>
        <w:t xml:space="preserve"> </w:t>
      </w:r>
      <w:r w:rsidRPr="00D54B90">
        <w:t>discharge</w:t>
      </w:r>
      <w:r>
        <w:t xml:space="preserve"> that has been </w:t>
      </w:r>
      <w:r w:rsidRPr="00406180">
        <w:t>‘offset’?</w:t>
      </w:r>
    </w:p>
    <w:p w14:paraId="3320DB5A" w14:textId="77777777" w:rsidR="002E1D2A" w:rsidRDefault="002E1D2A" w:rsidP="002E1D2A">
      <w:pPr>
        <w:pStyle w:val="BodyText"/>
      </w:pPr>
      <w:r>
        <w:t xml:space="preserve">If the consent authority is satisfied that </w:t>
      </w:r>
      <w:r w:rsidR="00433CD8">
        <w:t xml:space="preserve">Regulation </w:t>
      </w:r>
      <w:r>
        <w:t xml:space="preserve">17 applies to the consent application, consent can only be granted if, as in </w:t>
      </w:r>
      <w:r w:rsidR="00433CD8">
        <w:t xml:space="preserve">Regulation </w:t>
      </w:r>
      <w:r>
        <w:t>17(3)(a):</w:t>
      </w:r>
    </w:p>
    <w:p w14:paraId="0E8BE1DE" w14:textId="77777777" w:rsidR="002E1D2A" w:rsidRDefault="002E1D2A" w:rsidP="002E1D2A">
      <w:pPr>
        <w:pStyle w:val="BodyText"/>
      </w:pPr>
    </w:p>
    <w:p w14:paraId="2764B0C8" w14:textId="77777777" w:rsidR="002E1D2A" w:rsidRDefault="002E1D2A" w:rsidP="002E1D2A">
      <w:pPr>
        <w:pStyle w:val="BodyText"/>
        <w:ind w:left="397"/>
        <w:rPr>
          <w:i/>
        </w:rPr>
      </w:pPr>
      <w:r w:rsidRPr="00406180">
        <w:rPr>
          <w:i/>
        </w:rPr>
        <w:t>the consent authority is satisfied that the applicant can reduce the PM</w:t>
      </w:r>
      <w:r w:rsidRPr="00406180">
        <w:rPr>
          <w:i/>
          <w:vertAlign w:val="subscript"/>
        </w:rPr>
        <w:t>10</w:t>
      </w:r>
      <w:r w:rsidRPr="00406180">
        <w:rPr>
          <w:i/>
        </w:rPr>
        <w:t> discharged from another source or sources into each polluted airshed to which subclause (1) applies by the same or a greater amount than the amount likely to be discharged into the relevant airshed by the discharge to be expressly allowed by the proposed consent</w:t>
      </w:r>
      <w:r w:rsidR="00433CD8">
        <w:rPr>
          <w:i/>
        </w:rPr>
        <w:t>.</w:t>
      </w:r>
    </w:p>
    <w:p w14:paraId="5CDEA5CC" w14:textId="77777777" w:rsidR="002E1D2A" w:rsidRDefault="002E1D2A" w:rsidP="002E1D2A">
      <w:pPr>
        <w:pStyle w:val="BodyText"/>
      </w:pPr>
    </w:p>
    <w:p w14:paraId="648B6557" w14:textId="77777777" w:rsidR="002E1D2A" w:rsidRDefault="002E1D2A" w:rsidP="002E1D2A">
      <w:pPr>
        <w:pStyle w:val="BodyText"/>
      </w:pPr>
      <w:r>
        <w:t xml:space="preserve">The intent of this subclause is that emissions from other sources are reduced or removed to the extent that emissions from the new (or increased) emitter are offset. It is important to note that the terms of the subclause are different from those that trigger </w:t>
      </w:r>
      <w:r w:rsidR="0025213D">
        <w:t>the requirement for an offset. T</w:t>
      </w:r>
      <w:r>
        <w:t>he trigger is in terms of the concentration of PM</w:t>
      </w:r>
      <w:r w:rsidRPr="00406180">
        <w:rPr>
          <w:vertAlign w:val="subscript"/>
        </w:rPr>
        <w:t>10</w:t>
      </w:r>
      <w:r>
        <w:t xml:space="preserve"> expected to occur as a result of the discharge (ie, the increase in PM</w:t>
      </w:r>
      <w:r w:rsidRPr="00406180">
        <w:rPr>
          <w:vertAlign w:val="subscript"/>
        </w:rPr>
        <w:t>10</w:t>
      </w:r>
      <w:r>
        <w:t xml:space="preserve"> concentrations likely to be caused beyond the boundary of the site in question). The offset itself is required to be a reduction in mass of PM</w:t>
      </w:r>
      <w:r w:rsidRPr="00406180">
        <w:rPr>
          <w:vertAlign w:val="subscript"/>
        </w:rPr>
        <w:t>10</w:t>
      </w:r>
      <w:r>
        <w:t xml:space="preserve"> emissions from elsewhere in the airshed. The mass of PM</w:t>
      </w:r>
      <w:r w:rsidRPr="00406180">
        <w:rPr>
          <w:vertAlign w:val="subscript"/>
        </w:rPr>
        <w:t>10</w:t>
      </w:r>
      <w:r>
        <w:t xml:space="preserve"> that constitutes this offset is ‘</w:t>
      </w:r>
      <w:r w:rsidRPr="00103F4F">
        <w:rPr>
          <w:i/>
        </w:rPr>
        <w:t>the same or a greater amount than the amount likely to be discharged</w:t>
      </w:r>
      <w:r>
        <w:rPr>
          <w:i/>
        </w:rPr>
        <w:t>’</w:t>
      </w:r>
      <w:r>
        <w:t xml:space="preserve"> by the new emission.  </w:t>
      </w:r>
    </w:p>
    <w:p w14:paraId="52BB9977" w14:textId="77777777" w:rsidR="002E1D2A" w:rsidRDefault="002E1D2A" w:rsidP="002E1D2A">
      <w:pPr>
        <w:pStyle w:val="BodyText"/>
      </w:pPr>
    </w:p>
    <w:p w14:paraId="01FB426D" w14:textId="77777777" w:rsidR="002E1D2A" w:rsidRDefault="002E1D2A" w:rsidP="002E1D2A">
      <w:pPr>
        <w:pStyle w:val="BodyText"/>
      </w:pPr>
      <w:r>
        <w:t>The mass of PM</w:t>
      </w:r>
      <w:r w:rsidRPr="00406180">
        <w:rPr>
          <w:vertAlign w:val="subscript"/>
        </w:rPr>
        <w:t>10</w:t>
      </w:r>
      <w:r>
        <w:t xml:space="preserve"> that is the amount ‘likely to be discharged’ by this new emitter is a matter for th</w:t>
      </w:r>
      <w:r w:rsidR="0025213D">
        <w:t xml:space="preserve">e consent authority to decide. </w:t>
      </w:r>
      <w:r>
        <w:t xml:space="preserve">There is no direction given by </w:t>
      </w:r>
      <w:r w:rsidR="0025213D">
        <w:t xml:space="preserve">Regulation </w:t>
      </w:r>
      <w:r>
        <w:t>17(3)(a) as to the time period of emissions that should be considered in making this decision. Importantly, emissions can vary considerably over time. Consent conditions can take account of this by restricting emission rates across a range of circumstances, and depending on the time period under consideration. For example, conditions may require a maximum emission rate of 0.1 kg PM</w:t>
      </w:r>
      <w:r w:rsidRPr="00406180">
        <w:rPr>
          <w:vertAlign w:val="subscript"/>
        </w:rPr>
        <w:t>10</w:t>
      </w:r>
      <w:r>
        <w:t xml:space="preserve"> per hour, but also a maximum of 1.2 kg PM</w:t>
      </w:r>
      <w:r w:rsidRPr="00406180">
        <w:rPr>
          <w:vertAlign w:val="subscript"/>
        </w:rPr>
        <w:t>10</w:t>
      </w:r>
      <w:r>
        <w:t xml:space="preserve"> in any 24</w:t>
      </w:r>
      <w:r w:rsidR="0025213D">
        <w:t>-</w:t>
      </w:r>
      <w:r>
        <w:t xml:space="preserve">hour period. In this way conditions can take account of the wide variability in emission rates that can characterise some types of discharges.  </w:t>
      </w:r>
    </w:p>
    <w:p w14:paraId="1F2FFB0F" w14:textId="77777777" w:rsidR="002E1D2A" w:rsidRDefault="002E1D2A" w:rsidP="002E1D2A">
      <w:pPr>
        <w:pStyle w:val="BodyText"/>
      </w:pPr>
    </w:p>
    <w:p w14:paraId="0EBF2F6B" w14:textId="77777777" w:rsidR="002E1D2A" w:rsidRDefault="002E1D2A" w:rsidP="002E1D2A">
      <w:pPr>
        <w:pStyle w:val="BodyText"/>
      </w:pPr>
      <w:r>
        <w:t>This means that the amount of PM</w:t>
      </w:r>
      <w:r w:rsidRPr="00406180">
        <w:rPr>
          <w:vertAlign w:val="subscript"/>
        </w:rPr>
        <w:t>10</w:t>
      </w:r>
      <w:r>
        <w:t xml:space="preserve"> ‘likely to be discharged’ may or may not be </w:t>
      </w:r>
      <w:r w:rsidR="0025213D">
        <w:t xml:space="preserve">the </w:t>
      </w:r>
      <w:r>
        <w:t>same amount as the maximum rate(s) of discharge allowed by the consent conditions. Applicants should be clear in their applications about the projected variability of their emission rates over time, but ultimately it will be for the consent authority to decide what is the amount of PM</w:t>
      </w:r>
      <w:r w:rsidRPr="00406180">
        <w:rPr>
          <w:vertAlign w:val="subscript"/>
        </w:rPr>
        <w:t>10</w:t>
      </w:r>
      <w:r>
        <w:t xml:space="preserve"> likely to be discharged and, correspondingly, how much PM</w:t>
      </w:r>
      <w:r w:rsidRPr="00406180">
        <w:rPr>
          <w:vertAlign w:val="subscript"/>
        </w:rPr>
        <w:t>10</w:t>
      </w:r>
      <w:r>
        <w:t xml:space="preserve"> needs to be removed from the airshed from other sources.  </w:t>
      </w:r>
    </w:p>
    <w:p w14:paraId="578AD27E" w14:textId="77777777" w:rsidR="002E1D2A" w:rsidRDefault="002E1D2A" w:rsidP="002E1D2A">
      <w:pPr>
        <w:pStyle w:val="BodyText"/>
      </w:pPr>
    </w:p>
    <w:p w14:paraId="03BA1594" w14:textId="77777777" w:rsidR="002E1D2A" w:rsidRDefault="002E1D2A" w:rsidP="002E1D2A">
      <w:pPr>
        <w:pStyle w:val="BodyText"/>
      </w:pPr>
      <w:r>
        <w:t xml:space="preserve">The other most significant determinations required to be made by </w:t>
      </w:r>
      <w:r w:rsidR="0025213D">
        <w:t xml:space="preserve">Regulation </w:t>
      </w:r>
      <w:r>
        <w:t>17 are that:</w:t>
      </w:r>
    </w:p>
    <w:p w14:paraId="14DA6E2A" w14:textId="77777777" w:rsidR="002E1D2A" w:rsidRPr="00F82F14" w:rsidRDefault="002E1D2A" w:rsidP="00726A4C">
      <w:pPr>
        <w:pStyle w:val="Bullet"/>
        <w:numPr>
          <w:ilvl w:val="0"/>
          <w:numId w:val="14"/>
        </w:numPr>
      </w:pPr>
      <w:r w:rsidRPr="00406180">
        <w:t>the applicant can reduce the PM</w:t>
      </w:r>
      <w:r w:rsidRPr="00997E01">
        <w:rPr>
          <w:vertAlign w:val="subscript"/>
        </w:rPr>
        <w:t>10</w:t>
      </w:r>
      <w:r w:rsidRPr="00406180">
        <w:t> discharged from another source or sources</w:t>
      </w:r>
    </w:p>
    <w:p w14:paraId="1AC0F8DB" w14:textId="77777777" w:rsidR="002E1D2A" w:rsidRDefault="002E1D2A" w:rsidP="00726A4C">
      <w:pPr>
        <w:pStyle w:val="Bullet"/>
        <w:numPr>
          <w:ilvl w:val="0"/>
          <w:numId w:val="14"/>
        </w:numPr>
      </w:pPr>
      <w:r>
        <w:t xml:space="preserve">the consent authority </w:t>
      </w:r>
      <w:r w:rsidRPr="00830866">
        <w:t>is satisfied</w:t>
      </w:r>
      <w:r w:rsidRPr="00406180">
        <w:t xml:space="preserve"> that </w:t>
      </w:r>
      <w:r>
        <w:t>this can be done for the duration of the consent.</w:t>
      </w:r>
    </w:p>
    <w:p w14:paraId="7817BADA" w14:textId="77777777" w:rsidR="002E1D2A" w:rsidRDefault="002E1D2A" w:rsidP="002E1D2A">
      <w:pPr>
        <w:pStyle w:val="BodyText"/>
        <w:ind w:left="720"/>
      </w:pPr>
    </w:p>
    <w:p w14:paraId="41684078" w14:textId="77777777" w:rsidR="002E1D2A" w:rsidRDefault="002E1D2A" w:rsidP="002E1D2A">
      <w:pPr>
        <w:pStyle w:val="Heading4"/>
      </w:pPr>
      <w:r>
        <w:t>Where d</w:t>
      </w:r>
      <w:r w:rsidRPr="007F16BA">
        <w:t>o offsets apply?</w:t>
      </w:r>
    </w:p>
    <w:p w14:paraId="577E1E6C" w14:textId="77777777" w:rsidR="002E1D2A" w:rsidRDefault="002E1D2A" w:rsidP="002E1D2A">
      <w:r w:rsidRPr="007F16BA">
        <w:t xml:space="preserve">Offsets </w:t>
      </w:r>
      <w:r>
        <w:t xml:space="preserve">are </w:t>
      </w:r>
      <w:r w:rsidRPr="007F16BA">
        <w:t xml:space="preserve">only </w:t>
      </w:r>
      <w:r>
        <w:t>mandatory</w:t>
      </w:r>
      <w:r w:rsidRPr="007F16BA">
        <w:t xml:space="preserve"> in airsheds that have been classified as polluted airsheds</w:t>
      </w:r>
      <w:r>
        <w:t xml:space="preserve"> </w:t>
      </w:r>
      <w:r w:rsidR="003C4929">
        <w:br/>
      </w:r>
      <w:r>
        <w:t>(ie, airsheds that have breached the PM</w:t>
      </w:r>
      <w:r w:rsidRPr="004319D4">
        <w:rPr>
          <w:vertAlign w:val="subscript"/>
        </w:rPr>
        <w:t>10</w:t>
      </w:r>
      <w:r>
        <w:t xml:space="preserve"> standard)</w:t>
      </w:r>
      <w:r w:rsidR="003C4929">
        <w:t xml:space="preserve">. </w:t>
      </w:r>
      <w:r>
        <w:t>Other than this, the location of the</w:t>
      </w:r>
      <w:r w:rsidRPr="001F5AA0">
        <w:t xml:space="preserve"> breach is relatively broadly defined, </w:t>
      </w:r>
      <w:r>
        <w:t xml:space="preserve">simply needing to be in any part of </w:t>
      </w:r>
      <w:r w:rsidRPr="001F5AA0">
        <w:t>a polluted airshed. ‘Polluted airsheds’ are readily identified by way of their history of breaches to the PM</w:t>
      </w:r>
      <w:r w:rsidRPr="001F5AA0">
        <w:rPr>
          <w:vertAlign w:val="subscript"/>
        </w:rPr>
        <w:t>10</w:t>
      </w:r>
      <w:r w:rsidRPr="001F5AA0">
        <w:t xml:space="preserve"> standard</w:t>
      </w:r>
      <w:r>
        <w:t>,</w:t>
      </w:r>
      <w:r>
        <w:rPr>
          <w:rStyle w:val="FootnoteReference"/>
        </w:rPr>
        <w:footnoteReference w:id="18"/>
      </w:r>
      <w:r w:rsidRPr="001F5AA0">
        <w:t xml:space="preserve"> but note that the threshold for offsetting emissions is not specific to the airshed where the proposed emitter is located. All airsheds have distinct boundaries with other airsheds, so discharges that occur relatively close to these boundaries may have effects on neighbouring airsheds. </w:t>
      </w:r>
    </w:p>
    <w:p w14:paraId="1C62057B" w14:textId="77777777" w:rsidR="002E1D2A" w:rsidRDefault="002E1D2A" w:rsidP="002E1D2A"/>
    <w:p w14:paraId="7778F6E7" w14:textId="77777777" w:rsidR="002E1D2A" w:rsidRPr="007F16BA" w:rsidRDefault="002E1D2A" w:rsidP="002E1D2A">
      <w:r>
        <w:t xml:space="preserve">Importantly, Regulation 17 is </w:t>
      </w:r>
      <w:r w:rsidRPr="004319D4">
        <w:t>effects</w:t>
      </w:r>
      <w:r>
        <w:t>-</w:t>
      </w:r>
      <w:r w:rsidRPr="004319D4">
        <w:t>based</w:t>
      </w:r>
      <w:r>
        <w:t>. It contains provisions to ensure that offsets occur in the airshed in which the PM</w:t>
      </w:r>
      <w:r w:rsidRPr="004435E0">
        <w:rPr>
          <w:vertAlign w:val="subscript"/>
        </w:rPr>
        <w:t>10</w:t>
      </w:r>
      <w:r>
        <w:t xml:space="preserve"> discharges are causing a significant effect. The discharge itself</w:t>
      </w:r>
      <w:r w:rsidR="003C4929">
        <w:t xml:space="preserve"> </w:t>
      </w:r>
      <w:r w:rsidR="003C4929" w:rsidRPr="007F16BA">
        <w:t xml:space="preserve">may not be </w:t>
      </w:r>
      <w:r w:rsidR="003C4929">
        <w:t xml:space="preserve">located in </w:t>
      </w:r>
      <w:r w:rsidR="003C4929" w:rsidRPr="007F16BA">
        <w:t>the</w:t>
      </w:r>
      <w:r>
        <w:t>:</w:t>
      </w:r>
    </w:p>
    <w:p w14:paraId="76A4F719" w14:textId="77777777" w:rsidR="002E1D2A" w:rsidRPr="007F16BA" w:rsidRDefault="002E1D2A" w:rsidP="00726A4C">
      <w:pPr>
        <w:pStyle w:val="Bullet"/>
        <w:numPr>
          <w:ilvl w:val="0"/>
          <w:numId w:val="14"/>
        </w:numPr>
      </w:pPr>
      <w:r w:rsidRPr="007F16BA">
        <w:t xml:space="preserve">airshed </w:t>
      </w:r>
      <w:r>
        <w:t>in which the effect occurs</w:t>
      </w:r>
      <w:r w:rsidR="003C4929">
        <w:t xml:space="preserve">, </w:t>
      </w:r>
      <w:r>
        <w:t>and/or</w:t>
      </w:r>
    </w:p>
    <w:p w14:paraId="31A86B99" w14:textId="77777777" w:rsidR="002E1D2A" w:rsidRPr="007F16BA" w:rsidRDefault="002E1D2A" w:rsidP="00726A4C">
      <w:pPr>
        <w:pStyle w:val="Bullet"/>
        <w:numPr>
          <w:ilvl w:val="0"/>
          <w:numId w:val="14"/>
        </w:numPr>
      </w:pPr>
      <w:r w:rsidRPr="007F16BA">
        <w:t xml:space="preserve">same region </w:t>
      </w:r>
      <w:r>
        <w:t>in which the effect occurs</w:t>
      </w:r>
      <w:r w:rsidRPr="007F16BA">
        <w:t>.</w:t>
      </w:r>
    </w:p>
    <w:p w14:paraId="2534AD9E" w14:textId="77777777" w:rsidR="002E1D2A" w:rsidRPr="007F16BA" w:rsidRDefault="002E1D2A" w:rsidP="002E1D2A"/>
    <w:p w14:paraId="70F5427D" w14:textId="77777777" w:rsidR="002E1D2A" w:rsidRDefault="002E1D2A" w:rsidP="002E1D2A">
      <w:r>
        <w:t>For example, i</w:t>
      </w:r>
      <w:r w:rsidRPr="007F16BA">
        <w:t>f a</w:t>
      </w:r>
      <w:r>
        <w:t xml:space="preserve"> </w:t>
      </w:r>
      <w:r w:rsidRPr="007F16BA">
        <w:t>n</w:t>
      </w:r>
      <w:r>
        <w:t>ew</w:t>
      </w:r>
      <w:r w:rsidRPr="007F16BA">
        <w:t xml:space="preserve"> activity </w:t>
      </w:r>
      <w:r>
        <w:t>in one airshed will</w:t>
      </w:r>
      <w:r w:rsidRPr="007F16BA">
        <w:t xml:space="preserve"> caus</w:t>
      </w:r>
      <w:r>
        <w:t>e</w:t>
      </w:r>
      <w:r w:rsidRPr="007F16BA">
        <w:t xml:space="preserve"> </w:t>
      </w:r>
      <w:r>
        <w:t xml:space="preserve">significant </w:t>
      </w:r>
      <w:r w:rsidRPr="007F16BA">
        <w:t>PM</w:t>
      </w:r>
      <w:r w:rsidRPr="008E27D6">
        <w:rPr>
          <w:vertAlign w:val="subscript"/>
        </w:rPr>
        <w:t>10</w:t>
      </w:r>
      <w:r w:rsidRPr="007F16BA">
        <w:t xml:space="preserve"> effects in a</w:t>
      </w:r>
      <w:r>
        <w:t xml:space="preserve">nother polluted </w:t>
      </w:r>
      <w:r w:rsidRPr="007F16BA">
        <w:t>airshed</w:t>
      </w:r>
      <w:r>
        <w:t>, even another airshed</w:t>
      </w:r>
      <w:r w:rsidRPr="007F16BA">
        <w:t xml:space="preserve"> in another region</w:t>
      </w:r>
      <w:r>
        <w:t>,</w:t>
      </w:r>
      <w:r w:rsidRPr="007F16BA">
        <w:t xml:space="preserve"> </w:t>
      </w:r>
      <w:r>
        <w:t xml:space="preserve">then mandatory offsets apply. </w:t>
      </w:r>
      <w:r w:rsidR="00C15C6E">
        <w:t>I</w:t>
      </w:r>
      <w:r w:rsidRPr="007F16BA">
        <w:t>t will</w:t>
      </w:r>
      <w:r>
        <w:t>, therefore,</w:t>
      </w:r>
      <w:r w:rsidRPr="007F16BA">
        <w:t xml:space="preserve"> be very important for </w:t>
      </w:r>
      <w:r>
        <w:t xml:space="preserve">the relevant </w:t>
      </w:r>
      <w:r w:rsidRPr="007F16BA">
        <w:t>regional councils to work together</w:t>
      </w:r>
      <w:r>
        <w:t>,</w:t>
      </w:r>
      <w:r w:rsidRPr="007F16BA">
        <w:t xml:space="preserve"> to ensure the </w:t>
      </w:r>
      <w:r>
        <w:t xml:space="preserve">Regulations are </w:t>
      </w:r>
      <w:r w:rsidRPr="007F16BA">
        <w:t>implemented effectively.</w:t>
      </w:r>
      <w:r w:rsidRPr="005159BC">
        <w:t xml:space="preserve"> </w:t>
      </w:r>
      <w:r w:rsidRPr="00EE429F">
        <w:t>The intention of this is to offset the emissions of PM</w:t>
      </w:r>
      <w:r w:rsidRPr="00EE429F">
        <w:rPr>
          <w:vertAlign w:val="subscript"/>
        </w:rPr>
        <w:t>10</w:t>
      </w:r>
      <w:r w:rsidRPr="00EE429F">
        <w:t xml:space="preserve"> where the effect of the PM</w:t>
      </w:r>
      <w:r w:rsidRPr="00EE429F">
        <w:rPr>
          <w:vertAlign w:val="subscript"/>
        </w:rPr>
        <w:t>10</w:t>
      </w:r>
      <w:r w:rsidRPr="00EE429F">
        <w:t xml:space="preserve"> is </w:t>
      </w:r>
      <w:r>
        <w:t>occurring (and the airshed is already polluted) rather than</w:t>
      </w:r>
      <w:r w:rsidRPr="00EE429F">
        <w:t xml:space="preserve"> w</w:t>
      </w:r>
      <w:r>
        <w:t>h</w:t>
      </w:r>
      <w:r w:rsidRPr="00EE429F">
        <w:t xml:space="preserve">ere the discharge is </w:t>
      </w:r>
      <w:r>
        <w:t>being emitted</w:t>
      </w:r>
      <w:r w:rsidRPr="00EE429F">
        <w:t>.</w:t>
      </w:r>
    </w:p>
    <w:p w14:paraId="0C04A92E" w14:textId="77777777" w:rsidR="002E1D2A" w:rsidRDefault="002E1D2A" w:rsidP="002E1D2A"/>
    <w:p w14:paraId="29DAEF40" w14:textId="77777777" w:rsidR="002E1D2A" w:rsidRPr="00A74F05" w:rsidRDefault="002E1D2A" w:rsidP="00DE50FB">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B65773">
        <w:rPr>
          <w:rStyle w:val="SubtleEmphasis"/>
          <w:b/>
          <w:color w:val="auto"/>
          <w:sz w:val="20"/>
        </w:rPr>
        <w:t>Example 4.4</w:t>
      </w:r>
    </w:p>
    <w:p w14:paraId="4F19442A" w14:textId="77777777" w:rsidR="002E1D2A" w:rsidRDefault="002E1D2A" w:rsidP="002E1D2A">
      <w:pPr>
        <w:keepNext/>
        <w:pBdr>
          <w:top w:val="single" w:sz="4" w:space="1" w:color="auto"/>
          <w:left w:val="single" w:sz="4" w:space="4" w:color="auto"/>
          <w:bottom w:val="single" w:sz="4" w:space="1" w:color="auto"/>
          <w:right w:val="single" w:sz="4" w:space="4" w:color="auto"/>
        </w:pBdr>
        <w:rPr>
          <w:i/>
          <w:sz w:val="20"/>
        </w:rPr>
      </w:pPr>
      <w:r>
        <w:rPr>
          <w:i/>
          <w:sz w:val="20"/>
        </w:rPr>
        <w:t>Oval Packaging has applied for consent to operate a new plant in the Weka Airshed. The Weka Airshed is not a polluted airshed. The Assessment of Environmental Effects identifies that the discharge of PM</w:t>
      </w:r>
      <w:r w:rsidRPr="00734040">
        <w:rPr>
          <w:i/>
          <w:sz w:val="20"/>
          <w:vertAlign w:val="subscript"/>
        </w:rPr>
        <w:t>10</w:t>
      </w:r>
      <w:r>
        <w:rPr>
          <w:i/>
          <w:sz w:val="20"/>
        </w:rPr>
        <w:t xml:space="preserve"> from Oval Packaging will impact on the neighbouring Takahē Airshed with maximum levels between </w:t>
      </w:r>
      <w:r w:rsidR="00C15C6E">
        <w:rPr>
          <w:i/>
          <w:sz w:val="20"/>
        </w:rPr>
        <w:br/>
      </w:r>
      <w:r>
        <w:rPr>
          <w:i/>
          <w:sz w:val="20"/>
        </w:rPr>
        <w:t>7 and 10 µg.m</w:t>
      </w:r>
      <w:r w:rsidRPr="00600104">
        <w:rPr>
          <w:i/>
          <w:sz w:val="20"/>
          <w:vertAlign w:val="superscript"/>
        </w:rPr>
        <w:t>-3</w:t>
      </w:r>
      <w:r>
        <w:rPr>
          <w:i/>
          <w:sz w:val="20"/>
        </w:rPr>
        <w:t xml:space="preserve"> as a 24-hour average. The Takahē Airshed is a polluted airshed. Therefore</w:t>
      </w:r>
      <w:r w:rsidR="00C15C6E">
        <w:rPr>
          <w:i/>
          <w:sz w:val="20"/>
        </w:rPr>
        <w:t xml:space="preserve"> offsets</w:t>
      </w:r>
      <w:r>
        <w:rPr>
          <w:i/>
          <w:sz w:val="20"/>
        </w:rPr>
        <w:t>:</w:t>
      </w:r>
    </w:p>
    <w:p w14:paraId="1758D7E7" w14:textId="77777777" w:rsidR="002E1D2A" w:rsidRDefault="002E1D2A" w:rsidP="002E1D2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120"/>
        <w:ind w:left="284" w:hanging="284"/>
        <w:contextualSpacing w:val="0"/>
        <w:rPr>
          <w:i/>
          <w:sz w:val="20"/>
        </w:rPr>
      </w:pPr>
      <w:r>
        <w:rPr>
          <w:i/>
          <w:sz w:val="20"/>
        </w:rPr>
        <w:t>are not required in the Weka Airshed</w:t>
      </w:r>
    </w:p>
    <w:p w14:paraId="465F67D3" w14:textId="77777777" w:rsidR="002E1D2A" w:rsidRPr="00734040" w:rsidRDefault="002E1D2A" w:rsidP="002E1D2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284" w:hanging="284"/>
        <w:contextualSpacing w:val="0"/>
        <w:rPr>
          <w:i/>
          <w:sz w:val="20"/>
        </w:rPr>
      </w:pPr>
      <w:r>
        <w:rPr>
          <w:i/>
          <w:sz w:val="20"/>
        </w:rPr>
        <w:t>are required in the Takahē Airshed.</w:t>
      </w:r>
    </w:p>
    <w:p w14:paraId="551ED840" w14:textId="77777777" w:rsidR="002E1D2A" w:rsidRDefault="002E1D2A" w:rsidP="002E1D2A"/>
    <w:p w14:paraId="1B5AFDD9" w14:textId="77777777" w:rsidR="002E1D2A" w:rsidRDefault="002E1D2A" w:rsidP="002E1D2A">
      <w:r>
        <w:t xml:space="preserve">This does not preclude the use of offsets elsewhere (eg, in airsheds that are not polluted so they do not become polluted) – only that they are not mandatory. Offsets are an important mitigation tool (eg, for resource consents and/or airshed action plans) that could be useful in a variety of applications. </w:t>
      </w:r>
    </w:p>
    <w:p w14:paraId="0CC92535" w14:textId="77777777" w:rsidR="002E1D2A" w:rsidRDefault="002E1D2A" w:rsidP="002E1D2A">
      <w:pPr>
        <w:pStyle w:val="Heading4"/>
      </w:pPr>
      <w:r>
        <w:t>How long do offsets apply?</w:t>
      </w:r>
    </w:p>
    <w:p w14:paraId="1BA51EA6" w14:textId="77777777" w:rsidR="002E1D2A" w:rsidRDefault="002E1D2A" w:rsidP="002E1D2A">
      <w:r>
        <w:t>Regulation 17(3)(b) requires offsets to take effect within 12 months of the granting of the consent and to be effective for the remaining term of the consent.</w:t>
      </w:r>
    </w:p>
    <w:p w14:paraId="28958938" w14:textId="77777777" w:rsidR="002E1D2A" w:rsidRDefault="002E1D2A" w:rsidP="002E1D2A"/>
    <w:p w14:paraId="0BBDE4B1" w14:textId="77777777" w:rsidR="002E1D2A" w:rsidRDefault="002E1D2A" w:rsidP="002E1D2A">
      <w:r>
        <w:t>Offsets are not required for new consent applications once an airshed is no longer polluted. However</w:t>
      </w:r>
      <w:r w:rsidR="00C719C1">
        <w:t>,</w:t>
      </w:r>
      <w:r>
        <w:t xml:space="preserve"> consents that have already been granted with offset requirements must continue undertaking offsets until such time as thei</w:t>
      </w:r>
      <w:r w:rsidR="0056389F">
        <w:t xml:space="preserve">r consent expires. </w:t>
      </w:r>
      <w:r>
        <w:t>Otherwise, the airshed may become polluted again.</w:t>
      </w:r>
    </w:p>
    <w:p w14:paraId="0EFB0863" w14:textId="77777777" w:rsidR="002E1D2A" w:rsidRDefault="002E1D2A" w:rsidP="002E1D2A">
      <w:pPr>
        <w:pStyle w:val="Heading4"/>
      </w:pPr>
      <w:r>
        <w:t>Do other pollutants need to be offset (not just PM</w:t>
      </w:r>
      <w:r w:rsidRPr="007543B2">
        <w:rPr>
          <w:vertAlign w:val="subscript"/>
        </w:rPr>
        <w:t>10</w:t>
      </w:r>
      <w:r>
        <w:t>)?</w:t>
      </w:r>
    </w:p>
    <w:p w14:paraId="4F7D6647" w14:textId="77777777" w:rsidR="002E1D2A" w:rsidRDefault="002E1D2A" w:rsidP="002E1D2A">
      <w:r>
        <w:t>The Regulations only require offsets to be undertaken for PM</w:t>
      </w:r>
      <w:r w:rsidRPr="007543B2">
        <w:rPr>
          <w:vertAlign w:val="subscript"/>
        </w:rPr>
        <w:t>10</w:t>
      </w:r>
      <w:r>
        <w:t>. However, a regional council may require offsetting of other contaminants under the consent process.</w:t>
      </w:r>
    </w:p>
    <w:p w14:paraId="18C980FF" w14:textId="77777777" w:rsidR="002E1D2A" w:rsidRDefault="002E1D2A" w:rsidP="002E1D2A">
      <w:pPr>
        <w:pStyle w:val="Heading4"/>
      </w:pPr>
      <w:r>
        <w:t>Principles to consider when looking for potential offsets</w:t>
      </w:r>
    </w:p>
    <w:p w14:paraId="056669E4" w14:textId="77777777" w:rsidR="002E1D2A" w:rsidRDefault="002E1D2A" w:rsidP="002E1D2A">
      <w:r>
        <w:t>The Regulations do not provide criteria for the types of discharges that can be removed from an airshed to provide</w:t>
      </w:r>
      <w:r w:rsidR="000B77B9">
        <w:t xml:space="preserve"> an offset for a new discharge.</w:t>
      </w:r>
      <w:r>
        <w:t xml:space="preserve"> In essence, the Regulations only require that the consent authority is satisfied the offset will be effective, will take effect within 12 months of the consent being granted, and the offsetting arrangement is put in place with conditions on the resource consent. The Regulations recognise that councils are in the best position to identify the potential sources of offsets in their airsheds (for example, identifying how many woodburners or small coal fired boilers could be available to be removed or replaced by a new activity seeking a significant discharge permit in a polluted airshed). </w:t>
      </w:r>
    </w:p>
    <w:p w14:paraId="44F90C98" w14:textId="77777777" w:rsidR="002E1D2A" w:rsidRDefault="002E1D2A" w:rsidP="002E1D2A"/>
    <w:p w14:paraId="216508F9" w14:textId="77777777" w:rsidR="002E1D2A" w:rsidRDefault="002E1D2A" w:rsidP="002E1D2A">
      <w:r>
        <w:t xml:space="preserve">Despite this absence of criteria in the Regulations, a number of principles could be considered by consent applicants and councils </w:t>
      </w:r>
      <w:r w:rsidR="000B77B9">
        <w:t>–</w:t>
      </w:r>
      <w:r>
        <w:t xml:space="preserve"> not only when faced with a need to offset emissions </w:t>
      </w:r>
      <w:r w:rsidR="000B77B9">
        <w:br/>
      </w:r>
      <w:r>
        <w:t xml:space="preserve">(ie, from a new consent), but also when identifying potential sources of </w:t>
      </w:r>
      <w:r w:rsidRPr="00406180">
        <w:t>offsets or designing management programmes</w:t>
      </w:r>
      <w:r w:rsidRPr="00256225">
        <w:t xml:space="preserve">. </w:t>
      </w:r>
      <w:r w:rsidRPr="00406180">
        <w:t>Following these principles can su</w:t>
      </w:r>
      <w:r>
        <w:t xml:space="preserve">pport the equitable implementation of the offset provisions of the Regulations. </w:t>
      </w:r>
    </w:p>
    <w:p w14:paraId="3C16058F" w14:textId="77777777" w:rsidR="002E1D2A" w:rsidRDefault="002E1D2A" w:rsidP="002E1D2A"/>
    <w:p w14:paraId="33E01545" w14:textId="77777777" w:rsidR="002E1D2A" w:rsidRDefault="002E1D2A" w:rsidP="002E1D2A">
      <w:r w:rsidRPr="00D54B90">
        <w:t xml:space="preserve">To be viable, an offset </w:t>
      </w:r>
      <w:r>
        <w:t>should</w:t>
      </w:r>
      <w:r w:rsidRPr="00D54B90">
        <w:t xml:space="preserve"> </w:t>
      </w:r>
      <w:r>
        <w:t>be:</w:t>
      </w:r>
      <w:r w:rsidRPr="00D54B90">
        <w:t xml:space="preserve"> </w:t>
      </w:r>
    </w:p>
    <w:p w14:paraId="369CB522" w14:textId="77777777" w:rsidR="002E1D2A" w:rsidRDefault="00B57E2F" w:rsidP="009950C6">
      <w:pPr>
        <w:pStyle w:val="Bullet"/>
        <w:numPr>
          <w:ilvl w:val="0"/>
          <w:numId w:val="14"/>
        </w:numPr>
      </w:pPr>
      <w:r w:rsidRPr="009950C6">
        <w:rPr>
          <w:b/>
        </w:rPr>
        <w:t>real</w:t>
      </w:r>
      <w:r w:rsidRPr="00D54B90">
        <w:t xml:space="preserve"> </w:t>
      </w:r>
      <w:r w:rsidR="002E1D2A" w:rsidRPr="00D54B90">
        <w:t xml:space="preserve">– </w:t>
      </w:r>
      <w:r w:rsidR="002E1D2A">
        <w:t>they must reduce emissions ‘</w:t>
      </w:r>
      <w:r w:rsidR="002E1D2A" w:rsidRPr="001A5778">
        <w:t>discharged from another source or sources’ (</w:t>
      </w:r>
      <w:r w:rsidR="000B77B9">
        <w:t>R</w:t>
      </w:r>
      <w:r w:rsidR="000B77B9" w:rsidRPr="001A5778">
        <w:t xml:space="preserve">egulation </w:t>
      </w:r>
      <w:r w:rsidR="002E1D2A" w:rsidRPr="001A5778">
        <w:t xml:space="preserve">17(3)(a) </w:t>
      </w:r>
      <w:r>
        <w:t>–</w:t>
      </w:r>
      <w:r w:rsidR="002E1D2A" w:rsidRPr="001A5778">
        <w:t xml:space="preserve"> not emissions that might potentially be discharged</w:t>
      </w:r>
      <w:r w:rsidR="002E1D2A">
        <w:t xml:space="preserve"> </w:t>
      </w:r>
    </w:p>
    <w:p w14:paraId="34DDB49D" w14:textId="77777777" w:rsidR="002E1D2A" w:rsidRDefault="00B57E2F" w:rsidP="009950C6">
      <w:pPr>
        <w:pStyle w:val="Bullet"/>
        <w:numPr>
          <w:ilvl w:val="0"/>
          <w:numId w:val="14"/>
        </w:numPr>
      </w:pPr>
      <w:r w:rsidRPr="009950C6">
        <w:rPr>
          <w:b/>
        </w:rPr>
        <w:t>enforceable</w:t>
      </w:r>
      <w:r w:rsidRPr="00D54B90">
        <w:t xml:space="preserve"> </w:t>
      </w:r>
      <w:r w:rsidR="002E1D2A" w:rsidRPr="00D54B90">
        <w:t xml:space="preserve">– </w:t>
      </w:r>
      <w:r w:rsidR="002E1D2A">
        <w:t>the reduction in emissions must be demonstrable, calculable and able to be shown to have occurred, either by measurement, monitoring or other robust means</w:t>
      </w:r>
    </w:p>
    <w:p w14:paraId="3866CE04" w14:textId="77777777" w:rsidR="002E1D2A" w:rsidRDefault="00B57E2F" w:rsidP="009950C6">
      <w:pPr>
        <w:pStyle w:val="Bullet"/>
        <w:numPr>
          <w:ilvl w:val="0"/>
          <w:numId w:val="14"/>
        </w:numPr>
      </w:pPr>
      <w:r w:rsidRPr="009950C6">
        <w:rPr>
          <w:b/>
        </w:rPr>
        <w:t>calculated</w:t>
      </w:r>
      <w:r>
        <w:t xml:space="preserve"> </w:t>
      </w:r>
      <w:r w:rsidR="002E1D2A">
        <w:t>using long</w:t>
      </w:r>
      <w:r>
        <w:t>-</w:t>
      </w:r>
      <w:r w:rsidR="002E1D2A">
        <w:t>term mass emission rates</w:t>
      </w:r>
    </w:p>
    <w:p w14:paraId="5AFA4745" w14:textId="77777777" w:rsidR="002E1D2A" w:rsidRDefault="00B57E2F" w:rsidP="009950C6">
      <w:pPr>
        <w:pStyle w:val="Bullet"/>
        <w:numPr>
          <w:ilvl w:val="0"/>
          <w:numId w:val="14"/>
        </w:numPr>
      </w:pPr>
      <w:r w:rsidRPr="009950C6">
        <w:rPr>
          <w:b/>
        </w:rPr>
        <w:t>located</w:t>
      </w:r>
      <w:r w:rsidRPr="00D54B90">
        <w:t xml:space="preserve"> </w:t>
      </w:r>
      <w:r w:rsidR="002E1D2A" w:rsidRPr="00D54B90">
        <w:t>within the polluted airshed affected by the new discharge</w:t>
      </w:r>
      <w:r w:rsidR="002E1D2A">
        <w:t xml:space="preserve"> (and not necessarily the airshed where the new discharge is occurring) </w:t>
      </w:r>
    </w:p>
    <w:p w14:paraId="4E8CF769" w14:textId="77777777" w:rsidR="002E1D2A" w:rsidRDefault="00B57E2F" w:rsidP="009950C6">
      <w:pPr>
        <w:pStyle w:val="Bullet"/>
        <w:numPr>
          <w:ilvl w:val="0"/>
          <w:numId w:val="14"/>
        </w:numPr>
      </w:pPr>
      <w:r w:rsidRPr="009950C6">
        <w:rPr>
          <w:b/>
        </w:rPr>
        <w:t>greater</w:t>
      </w:r>
      <w:r>
        <w:t xml:space="preserve"> </w:t>
      </w:r>
      <w:r w:rsidR="002E1D2A">
        <w:t xml:space="preserve">than any </w:t>
      </w:r>
      <w:r w:rsidR="002E1D2A" w:rsidRPr="00D54B90">
        <w:t>decreases that would otherwise occur during the term of the consent</w:t>
      </w:r>
      <w:r w:rsidR="002E1D2A">
        <w:t xml:space="preserve"> (ie, emissions reductions that would be achieved through ‘business as usual’ anyway)</w:t>
      </w:r>
      <w:r w:rsidR="002E1D2A" w:rsidRPr="009950C6">
        <w:rPr>
          <w:vertAlign w:val="superscript"/>
        </w:rPr>
        <w:footnoteReference w:id="19"/>
      </w:r>
    </w:p>
    <w:p w14:paraId="10FC4CB7" w14:textId="77777777" w:rsidR="002E1D2A" w:rsidRDefault="00B57E2F" w:rsidP="009950C6">
      <w:pPr>
        <w:pStyle w:val="Bullet"/>
        <w:numPr>
          <w:ilvl w:val="0"/>
          <w:numId w:val="14"/>
        </w:numPr>
      </w:pPr>
      <w:r w:rsidRPr="009950C6">
        <w:rPr>
          <w:b/>
        </w:rPr>
        <w:t>reduce</w:t>
      </w:r>
      <w:r>
        <w:t xml:space="preserve"> </w:t>
      </w:r>
      <w:r w:rsidR="002E1D2A">
        <w:t xml:space="preserve">emissions into the affected airshed </w:t>
      </w:r>
      <w:r w:rsidR="002E1D2A" w:rsidRPr="001A5778">
        <w:t xml:space="preserve">by the same or a greater amount than </w:t>
      </w:r>
      <w:r w:rsidR="002E1D2A">
        <w:t>is ‘</w:t>
      </w:r>
      <w:r w:rsidR="002E1D2A" w:rsidRPr="009950C6">
        <w:rPr>
          <w:i/>
        </w:rPr>
        <w:t>likely to be discharged into the relevant airshed</w:t>
      </w:r>
      <w:r w:rsidR="002E1D2A" w:rsidRPr="001A5778">
        <w:t xml:space="preserve">’ </w:t>
      </w:r>
      <w:r w:rsidR="002E1D2A">
        <w:t xml:space="preserve">(regulation 17(3)(a)) </w:t>
      </w:r>
      <w:r w:rsidR="002E1D2A" w:rsidRPr="001A5778">
        <w:t xml:space="preserve">by the </w:t>
      </w:r>
      <w:r w:rsidR="002E1D2A">
        <w:t>new emitter seeking consent</w:t>
      </w:r>
    </w:p>
    <w:p w14:paraId="3A17CC97" w14:textId="77777777" w:rsidR="002E1D2A" w:rsidRPr="001A5778" w:rsidRDefault="00B57E2F" w:rsidP="009950C6">
      <w:pPr>
        <w:pStyle w:val="Bullet"/>
        <w:numPr>
          <w:ilvl w:val="0"/>
          <w:numId w:val="14"/>
        </w:numPr>
      </w:pPr>
      <w:r w:rsidRPr="009950C6">
        <w:rPr>
          <w:b/>
        </w:rPr>
        <w:t>certain</w:t>
      </w:r>
      <w:r>
        <w:t xml:space="preserve"> </w:t>
      </w:r>
      <w:r w:rsidR="002E1D2A">
        <w:t xml:space="preserve">to be in effect for the duration of the resource consent. </w:t>
      </w:r>
    </w:p>
    <w:p w14:paraId="3E109AF7" w14:textId="77777777" w:rsidR="002E1D2A" w:rsidRDefault="002E1D2A" w:rsidP="002E1D2A"/>
    <w:p w14:paraId="1E15D4F7" w14:textId="77777777" w:rsidR="002E1D2A" w:rsidRDefault="002E1D2A" w:rsidP="002E1D2A">
      <w:r>
        <w:t>Other considerations are that:</w:t>
      </w:r>
    </w:p>
    <w:p w14:paraId="4697DC66" w14:textId="77777777" w:rsidR="002E1D2A" w:rsidRDefault="00B57E2F" w:rsidP="009950C6">
      <w:pPr>
        <w:pStyle w:val="Bullet"/>
        <w:numPr>
          <w:ilvl w:val="0"/>
          <w:numId w:val="14"/>
        </w:numPr>
      </w:pPr>
      <w:r>
        <w:t xml:space="preserve">all </w:t>
      </w:r>
      <w:r w:rsidR="002E1D2A">
        <w:t>PM</w:t>
      </w:r>
      <w:r w:rsidR="002E1D2A" w:rsidRPr="00261A2A">
        <w:rPr>
          <w:vertAlign w:val="subscript"/>
        </w:rPr>
        <w:t>10</w:t>
      </w:r>
      <w:r w:rsidR="002E1D2A">
        <w:t xml:space="preserve"> should be treated equally (discussed later)</w:t>
      </w:r>
    </w:p>
    <w:p w14:paraId="4AEF18A2" w14:textId="77777777" w:rsidR="002E1D2A" w:rsidRPr="00850F9F" w:rsidRDefault="00B57E2F" w:rsidP="009950C6">
      <w:pPr>
        <w:pStyle w:val="Bullet"/>
        <w:numPr>
          <w:ilvl w:val="0"/>
          <w:numId w:val="14"/>
        </w:numPr>
      </w:pPr>
      <w:r>
        <w:t xml:space="preserve">to </w:t>
      </w:r>
      <w:r w:rsidR="002E1D2A">
        <w:t>be most effective in improving air quality, the offset should be as close as possible to the area affected by the new discharge of PM</w:t>
      </w:r>
      <w:r w:rsidR="002E1D2A" w:rsidRPr="009950C6">
        <w:rPr>
          <w:vertAlign w:val="subscript"/>
        </w:rPr>
        <w:t>10</w:t>
      </w:r>
      <w:r w:rsidR="002E1D2A">
        <w:t>.</w:t>
      </w:r>
    </w:p>
    <w:p w14:paraId="5190E80D" w14:textId="77777777" w:rsidR="002E1D2A" w:rsidRDefault="002E1D2A" w:rsidP="002E1D2A"/>
    <w:p w14:paraId="3F231576" w14:textId="77777777" w:rsidR="002E1D2A" w:rsidRPr="00406180" w:rsidRDefault="002E1D2A" w:rsidP="002E1D2A">
      <w:pPr>
        <w:pStyle w:val="Heading4"/>
      </w:pPr>
      <w:bookmarkStart w:id="126" w:name="_Toc211431942"/>
      <w:r w:rsidRPr="00406180">
        <w:t xml:space="preserve">Types of activity that offer </w:t>
      </w:r>
      <w:r>
        <w:t xml:space="preserve">offset </w:t>
      </w:r>
      <w:r w:rsidRPr="00406180">
        <w:t xml:space="preserve">opportunities </w:t>
      </w:r>
      <w:bookmarkEnd w:id="126"/>
    </w:p>
    <w:p w14:paraId="3FFB286F" w14:textId="77777777" w:rsidR="002E1D2A" w:rsidRDefault="002E1D2A" w:rsidP="002E1D2A">
      <w:r w:rsidRPr="00406180">
        <w:t xml:space="preserve">One of the </w:t>
      </w:r>
      <w:r>
        <w:t>key sources in most polluted airsheds, and a likely source of emissions for an offset of PM</w:t>
      </w:r>
      <w:r w:rsidRPr="0054729C">
        <w:rPr>
          <w:vertAlign w:val="subscript"/>
        </w:rPr>
        <w:t>10</w:t>
      </w:r>
      <w:r>
        <w:t>, is the collective discharge of the numerous solid-fuel burning domestic fires present around New Zealand. Domestic fires consume around 1.5 to 5 tonnes of fuel per year. Depending on the appliance type, they emit anywhere from 20 – 150 kg/year per unit which, when considered cumulatively, can be large.</w:t>
      </w:r>
      <w:r>
        <w:rPr>
          <w:rStyle w:val="FootnoteReference"/>
        </w:rPr>
        <w:footnoteReference w:id="20"/>
      </w:r>
      <w:r>
        <w:t xml:space="preserve"> Domestic fires are also abundant</w:t>
      </w:r>
      <w:r w:rsidDel="000924EE">
        <w:t xml:space="preserve"> </w:t>
      </w:r>
      <w:r>
        <w:t>and relatively straightforward to remove. Other potential offset options are vehicles (especially buses which are disproportionately high polluters) or other industrial discharges (eg, replacing a small coal-fired boiler with gas).</w:t>
      </w:r>
    </w:p>
    <w:p w14:paraId="214AF8A0" w14:textId="77777777" w:rsidR="002E1D2A" w:rsidRDefault="002E1D2A" w:rsidP="002E1D2A"/>
    <w:p w14:paraId="5430E4D8" w14:textId="77777777" w:rsidR="002E1D2A" w:rsidRPr="00406180" w:rsidRDefault="002E1D2A" w:rsidP="002E1D2A">
      <w:r>
        <w:t>At least five</w:t>
      </w:r>
      <w:r w:rsidRPr="00406180">
        <w:t xml:space="preserve"> categories of </w:t>
      </w:r>
      <w:r>
        <w:t xml:space="preserve">emissions may present </w:t>
      </w:r>
      <w:r w:rsidRPr="00406180">
        <w:t xml:space="preserve">viable </w:t>
      </w:r>
      <w:r>
        <w:t xml:space="preserve">sources </w:t>
      </w:r>
      <w:r w:rsidRPr="00406180">
        <w:t>to offset new emissions of PM</w:t>
      </w:r>
      <w:r w:rsidRPr="00406180">
        <w:rPr>
          <w:vertAlign w:val="subscript"/>
        </w:rPr>
        <w:t>10</w:t>
      </w:r>
      <w:r w:rsidRPr="00406180">
        <w:t xml:space="preserve"> into a polluted airshed</w:t>
      </w:r>
      <w:r>
        <w:t xml:space="preserve">, as shown in </w:t>
      </w:r>
      <w:r w:rsidR="00276188">
        <w:t>t</w:t>
      </w:r>
      <w:r w:rsidR="00276188" w:rsidRPr="000D6592">
        <w:t xml:space="preserve">able </w:t>
      </w:r>
      <w:r w:rsidRPr="000D6592">
        <w:t>8.</w:t>
      </w:r>
      <w:r w:rsidRPr="00406180">
        <w:t xml:space="preserve"> </w:t>
      </w:r>
    </w:p>
    <w:p w14:paraId="72C820AF" w14:textId="77777777" w:rsidR="002E1D2A" w:rsidRDefault="002E1D2A" w:rsidP="002E1D2A"/>
    <w:p w14:paraId="029AE133" w14:textId="77777777" w:rsidR="00F26839" w:rsidRDefault="00223019">
      <w:pPr>
        <w:pStyle w:val="Tableheading"/>
      </w:pPr>
      <w:bookmarkStart w:id="127" w:name="_Toc377645814"/>
      <w:r w:rsidRPr="00887044">
        <w:t xml:space="preserve">Table 8: </w:t>
      </w:r>
      <w:r w:rsidR="00407749" w:rsidRPr="00887044">
        <w:tab/>
      </w:r>
      <w:r w:rsidRPr="00887044">
        <w:t>Categories of activity which may offer viable offsets</w:t>
      </w:r>
      <w:bookmarkEnd w:id="127"/>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6006"/>
      </w:tblGrid>
      <w:tr w:rsidR="00001D99" w:rsidRPr="00891F93" w14:paraId="536BE356" w14:textId="77777777" w:rsidTr="00001D99">
        <w:trPr>
          <w:tblHeader/>
        </w:trPr>
        <w:tc>
          <w:tcPr>
            <w:tcW w:w="2540" w:type="dxa"/>
            <w:shd w:val="clear" w:color="auto" w:fill="D9D9D9"/>
          </w:tcPr>
          <w:p w14:paraId="0ABE0C51" w14:textId="77777777" w:rsidR="00001D99" w:rsidRPr="00276188" w:rsidRDefault="00001D99" w:rsidP="00001D99">
            <w:pPr>
              <w:pStyle w:val="TableText"/>
              <w:keepNext/>
              <w:rPr>
                <w:b/>
              </w:rPr>
            </w:pPr>
            <w:r w:rsidRPr="00276188">
              <w:rPr>
                <w:b/>
              </w:rPr>
              <w:t>Category of activity</w:t>
            </w:r>
          </w:p>
        </w:tc>
        <w:tc>
          <w:tcPr>
            <w:tcW w:w="6180" w:type="dxa"/>
            <w:shd w:val="clear" w:color="auto" w:fill="D9D9D9"/>
          </w:tcPr>
          <w:p w14:paraId="37EB280A" w14:textId="77777777" w:rsidR="00001D99" w:rsidRPr="00276188" w:rsidRDefault="00001D99" w:rsidP="00001D99">
            <w:pPr>
              <w:pStyle w:val="TableText"/>
              <w:keepNext/>
              <w:rPr>
                <w:b/>
              </w:rPr>
            </w:pPr>
            <w:r w:rsidRPr="00276188">
              <w:rPr>
                <w:b/>
              </w:rPr>
              <w:t>Description</w:t>
            </w:r>
          </w:p>
        </w:tc>
      </w:tr>
      <w:tr w:rsidR="00001D99" w:rsidRPr="00891F93" w14:paraId="3A692074" w14:textId="77777777" w:rsidTr="00001D99">
        <w:tc>
          <w:tcPr>
            <w:tcW w:w="2540" w:type="dxa"/>
          </w:tcPr>
          <w:p w14:paraId="6CFD3162" w14:textId="77777777" w:rsidR="00001D99" w:rsidRPr="00CE236D" w:rsidRDefault="00001D99" w:rsidP="00001D99">
            <w:pPr>
              <w:pStyle w:val="TableText"/>
              <w:keepNext/>
            </w:pPr>
            <w:r w:rsidRPr="00CE236D">
              <w:t>Home heating</w:t>
            </w:r>
            <w:r>
              <w:t xml:space="preserve"> (removal or replacement)</w:t>
            </w:r>
          </w:p>
        </w:tc>
        <w:tc>
          <w:tcPr>
            <w:tcW w:w="6180" w:type="dxa"/>
          </w:tcPr>
          <w:p w14:paraId="485C5FF5" w14:textId="77777777" w:rsidR="00001D99" w:rsidRDefault="00001D99" w:rsidP="00001D99">
            <w:pPr>
              <w:pStyle w:val="TableText"/>
              <w:keepNext/>
            </w:pPr>
            <w:r w:rsidRPr="00CE236D">
              <w:t xml:space="preserve">Involves removing </w:t>
            </w:r>
            <w:r>
              <w:t>solid fuelled domestic fires (e</w:t>
            </w:r>
            <w:r w:rsidRPr="00CE236D">
              <w:t>g</w:t>
            </w:r>
            <w:r>
              <w:t>,</w:t>
            </w:r>
            <w:r w:rsidRPr="00CE236D">
              <w:t xml:space="preserve"> open fires, woodburners, coal burners and multi-fuel burners). This offset will need an adjustment factor </w:t>
            </w:r>
            <w:r>
              <w:t xml:space="preserve">the offset is to be achieved by replacing </w:t>
            </w:r>
            <w:r w:rsidRPr="00CE236D">
              <w:t xml:space="preserve">more-polluting </w:t>
            </w:r>
            <w:r>
              <w:t xml:space="preserve">fires with </w:t>
            </w:r>
            <w:r w:rsidRPr="00CE236D">
              <w:t>less-polluting ones</w:t>
            </w:r>
            <w:r>
              <w:t xml:space="preserve">, </w:t>
            </w:r>
            <w:r w:rsidRPr="00CE236D">
              <w:t xml:space="preserve">rather than </w:t>
            </w:r>
            <w:r>
              <w:t>by decommissioning of fireplaces</w:t>
            </w:r>
            <w:r w:rsidRPr="00CE236D">
              <w:t>.</w:t>
            </w:r>
          </w:p>
          <w:p w14:paraId="1ADA0E73" w14:textId="77777777" w:rsidR="00001D99" w:rsidRPr="00CE236D" w:rsidRDefault="00001D99" w:rsidP="00001D99">
            <w:pPr>
              <w:pStyle w:val="TableText"/>
              <w:keepNext/>
            </w:pPr>
            <w:r>
              <w:t xml:space="preserve">Note that the supply of a replacement heating source for the relevant homeowners is not strictly required by the Regulations – only the removal of the emissions from the airshed for the duration of the new emitter’s consent. </w:t>
            </w:r>
          </w:p>
        </w:tc>
      </w:tr>
      <w:tr w:rsidR="00001D99" w:rsidRPr="00891F93" w14:paraId="141DD77A" w14:textId="77777777" w:rsidTr="00001D99">
        <w:tc>
          <w:tcPr>
            <w:tcW w:w="2540" w:type="dxa"/>
          </w:tcPr>
          <w:p w14:paraId="6E0ED156" w14:textId="77777777" w:rsidR="00001D99" w:rsidRPr="00CE236D" w:rsidRDefault="00001D99" w:rsidP="00001D99">
            <w:pPr>
              <w:pStyle w:val="TableText"/>
              <w:keepNext/>
            </w:pPr>
            <w:r>
              <w:t xml:space="preserve">Existing large discharges (modification or removal) </w:t>
            </w:r>
          </w:p>
        </w:tc>
        <w:tc>
          <w:tcPr>
            <w:tcW w:w="6180" w:type="dxa"/>
          </w:tcPr>
          <w:p w14:paraId="4981D038" w14:textId="77777777" w:rsidR="00001D99" w:rsidRPr="00CE236D" w:rsidRDefault="00001D99" w:rsidP="00001D99">
            <w:pPr>
              <w:pStyle w:val="TableText"/>
              <w:keepNext/>
            </w:pPr>
            <w:r w:rsidRPr="00CE236D">
              <w:t xml:space="preserve">Involves a </w:t>
            </w:r>
            <w:r>
              <w:t xml:space="preserve">potential </w:t>
            </w:r>
            <w:r w:rsidRPr="00CE236D">
              <w:t xml:space="preserve">new emitter reaching an agreement with an existing emitter(s) to decrease </w:t>
            </w:r>
            <w:r>
              <w:t xml:space="preserve">or cease </w:t>
            </w:r>
            <w:r w:rsidRPr="00CE236D">
              <w:t>the</w:t>
            </w:r>
            <w:r>
              <w:t>ir</w:t>
            </w:r>
            <w:r w:rsidRPr="00CE236D">
              <w:t xml:space="preserve"> existing discharges.</w:t>
            </w:r>
            <w:r>
              <w:t xml:space="preserve"> This can apply to commercial / industrial emitters as well as private or public institutions (eg, </w:t>
            </w:r>
            <w:r w:rsidRPr="00CE236D">
              <w:t>schools, hospitals, universities and community facilities</w:t>
            </w:r>
            <w:r>
              <w:t xml:space="preserve"> </w:t>
            </w:r>
            <w:r w:rsidRPr="00CE236D">
              <w:t>such as swimming pools)</w:t>
            </w:r>
            <w:r>
              <w:t>. Options include the reduction of emissions achieved through heat plant improvements or replacements, by or total removal of emissions (eg, through the surrender of consent held by the existing emitter)</w:t>
            </w:r>
            <w:r w:rsidRPr="00CE236D">
              <w:t>.</w:t>
            </w:r>
            <w:r>
              <w:t xml:space="preserve"> Note that the existing emissions to be removed or replaced may be permitted activities, so assurance would need to be provided that those emissions would not re-start following the grant of consent for the new discharge.</w:t>
            </w:r>
          </w:p>
        </w:tc>
      </w:tr>
      <w:tr w:rsidR="00001D99" w:rsidRPr="00891F93" w14:paraId="418AD3A9" w14:textId="77777777" w:rsidTr="00001D99">
        <w:tc>
          <w:tcPr>
            <w:tcW w:w="2540" w:type="dxa"/>
          </w:tcPr>
          <w:p w14:paraId="57E022B5" w14:textId="77777777" w:rsidR="00001D99" w:rsidRPr="00CE236D" w:rsidRDefault="00001D99" w:rsidP="00001D99">
            <w:pPr>
              <w:pStyle w:val="TableText"/>
              <w:keepNext/>
            </w:pPr>
            <w:r>
              <w:t>Reducing emissions from land t</w:t>
            </w:r>
            <w:r w:rsidRPr="00CE236D">
              <w:t>ransport</w:t>
            </w:r>
          </w:p>
        </w:tc>
        <w:tc>
          <w:tcPr>
            <w:tcW w:w="6180" w:type="dxa"/>
          </w:tcPr>
          <w:p w14:paraId="4CA06D38" w14:textId="77777777" w:rsidR="00001D99" w:rsidRPr="00CE236D" w:rsidRDefault="00001D99" w:rsidP="00001D99">
            <w:pPr>
              <w:pStyle w:val="TableText"/>
              <w:keepNext/>
            </w:pPr>
            <w:r w:rsidRPr="00CE236D">
              <w:t>Includes improving/reducing emissions from the urban bus fleet, commercial trucks, school buses and private transport.</w:t>
            </w:r>
          </w:p>
        </w:tc>
      </w:tr>
      <w:tr w:rsidR="00001D99" w:rsidRPr="00891F93" w14:paraId="0ABA6DFE" w14:textId="77777777" w:rsidTr="00001D99">
        <w:tc>
          <w:tcPr>
            <w:tcW w:w="2540" w:type="dxa"/>
          </w:tcPr>
          <w:p w14:paraId="05E6DDD4" w14:textId="77777777" w:rsidR="00001D99" w:rsidRPr="00CE236D" w:rsidRDefault="00001D99" w:rsidP="00001D99">
            <w:pPr>
              <w:pStyle w:val="TableText"/>
              <w:keepNext/>
            </w:pPr>
            <w:r>
              <w:t>Reducing emissions from s</w:t>
            </w:r>
            <w:r w:rsidRPr="00CE236D">
              <w:t>hip</w:t>
            </w:r>
            <w:r>
              <w:t>s on harbour or at berth</w:t>
            </w:r>
          </w:p>
        </w:tc>
        <w:tc>
          <w:tcPr>
            <w:tcW w:w="6180" w:type="dxa"/>
          </w:tcPr>
          <w:p w14:paraId="04D8C2EB" w14:textId="77777777" w:rsidR="00001D99" w:rsidRPr="00CE236D" w:rsidRDefault="00001D99" w:rsidP="00001D99">
            <w:pPr>
              <w:pStyle w:val="TableText"/>
              <w:keepNext/>
            </w:pPr>
            <w:r>
              <w:t>Ships emit PM</w:t>
            </w:r>
            <w:r w:rsidRPr="00406180">
              <w:rPr>
                <w:vertAlign w:val="subscript"/>
              </w:rPr>
              <w:t>10</w:t>
            </w:r>
            <w:r>
              <w:t xml:space="preserve"> during manoeuvring and while at berth. This option involves the provision of </w:t>
            </w:r>
            <w:r w:rsidRPr="00CE236D">
              <w:t xml:space="preserve">alternative power sources and/or cleaner fuels for ships while they are </w:t>
            </w:r>
            <w:r>
              <w:t>at berth, thus preventing or reducing discharges of PM</w:t>
            </w:r>
            <w:r w:rsidRPr="00172732">
              <w:rPr>
                <w:vertAlign w:val="subscript"/>
              </w:rPr>
              <w:t>10</w:t>
            </w:r>
            <w:r>
              <w:t xml:space="preserve"> from manoeuvring or auxiliary engines at and around ports</w:t>
            </w:r>
            <w:r>
              <w:rPr>
                <w:rStyle w:val="FootnoteReference"/>
              </w:rPr>
              <w:footnoteReference w:id="21"/>
            </w:r>
            <w:r w:rsidRPr="00CE236D">
              <w:t>.</w:t>
            </w:r>
            <w:r>
              <w:t xml:space="preserve"> </w:t>
            </w:r>
          </w:p>
        </w:tc>
      </w:tr>
      <w:tr w:rsidR="00001D99" w:rsidRPr="00891F93" w14:paraId="07D3F494" w14:textId="77777777" w:rsidTr="00001D99">
        <w:tc>
          <w:tcPr>
            <w:tcW w:w="2540" w:type="dxa"/>
          </w:tcPr>
          <w:p w14:paraId="2D1A5ABA" w14:textId="77777777" w:rsidR="00001D99" w:rsidRPr="00CE236D" w:rsidRDefault="00001D99" w:rsidP="00001D99">
            <w:pPr>
              <w:pStyle w:val="TableText"/>
              <w:keepNext/>
            </w:pPr>
            <w:r w:rsidRPr="00CE236D">
              <w:t>Other</w:t>
            </w:r>
          </w:p>
        </w:tc>
        <w:tc>
          <w:tcPr>
            <w:tcW w:w="6180" w:type="dxa"/>
          </w:tcPr>
          <w:p w14:paraId="671766E9" w14:textId="77777777" w:rsidR="00001D99" w:rsidRPr="00CE236D" w:rsidRDefault="00001D99" w:rsidP="00001D99">
            <w:pPr>
              <w:pStyle w:val="TableText"/>
              <w:keepNext/>
            </w:pPr>
            <w:r w:rsidRPr="00CE236D">
              <w:t>Other viable offsetting opportunities may be available in a polluted airshed</w:t>
            </w:r>
            <w:r>
              <w:t xml:space="preserve"> with </w:t>
            </w:r>
            <w:r w:rsidRPr="00CE236D">
              <w:t xml:space="preserve">particular attributes. In determining whether these are viable, councils will need to be satisfied the proposed offset is real, can occur for the duration of the proposed consent, and will be located within the polluted airshed. </w:t>
            </w:r>
          </w:p>
        </w:tc>
      </w:tr>
    </w:tbl>
    <w:p w14:paraId="695A95E0" w14:textId="77777777" w:rsidR="000D6592" w:rsidRDefault="000D6592" w:rsidP="002E1D2A">
      <w:pPr>
        <w:rPr>
          <w:rFonts w:ascii="Cambria" w:hAnsi="Cambria"/>
        </w:rPr>
      </w:pPr>
    </w:p>
    <w:p w14:paraId="5334907C" w14:textId="77777777" w:rsidR="002E1D2A" w:rsidRDefault="002E1D2A" w:rsidP="002E1D2A">
      <w:r w:rsidRPr="00406180">
        <w:t xml:space="preserve">Which activity is deemed most suitable as an offset in any given situation will largely be influenced by </w:t>
      </w:r>
      <w:r>
        <w:t>the mass of PM</w:t>
      </w:r>
      <w:r w:rsidRPr="00406180">
        <w:rPr>
          <w:vertAlign w:val="subscript"/>
        </w:rPr>
        <w:t>10</w:t>
      </w:r>
      <w:r>
        <w:t xml:space="preserve"> </w:t>
      </w:r>
      <w:r w:rsidRPr="00406180">
        <w:t xml:space="preserve">emissions needing to be offset and the </w:t>
      </w:r>
      <w:r>
        <w:t>availability of emitters whose emissions can feasibly be remo</w:t>
      </w:r>
      <w:r w:rsidR="002D6123">
        <w:t xml:space="preserve">ved or reduced in the airshed. </w:t>
      </w:r>
      <w:r>
        <w:t xml:space="preserve">Issues that might arise around the feasibility of each option are discussed in </w:t>
      </w:r>
      <w:r w:rsidR="002D6123">
        <w:t>t</w:t>
      </w:r>
      <w:r w:rsidR="002D6123" w:rsidRPr="000D6592">
        <w:t xml:space="preserve">able </w:t>
      </w:r>
      <w:r w:rsidRPr="000D6592">
        <w:t>9</w:t>
      </w:r>
      <w:r>
        <w:t xml:space="preserve"> below.</w:t>
      </w:r>
    </w:p>
    <w:p w14:paraId="2297C448" w14:textId="77777777" w:rsidR="002E1D2A" w:rsidRPr="00406180" w:rsidRDefault="002E1D2A" w:rsidP="002E1D2A"/>
    <w:p w14:paraId="3351D2D4" w14:textId="77777777" w:rsidR="00F04FC5" w:rsidRDefault="00F04FC5">
      <w:pPr>
        <w:jc w:val="left"/>
        <w:rPr>
          <w:rFonts w:ascii="Arial" w:hAnsi="Arial"/>
          <w:b/>
          <w:sz w:val="20"/>
        </w:rPr>
      </w:pPr>
      <w:bookmarkStart w:id="128" w:name="_Toc377645815"/>
      <w:r>
        <w:br w:type="page"/>
      </w:r>
    </w:p>
    <w:tbl>
      <w:tblPr>
        <w:tblpPr w:leftFromText="180" w:rightFromText="180" w:vertAnchor="text" w:horzAnchor="page" w:tblpX="1828" w:tblpY="422"/>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0"/>
        <w:gridCol w:w="3995"/>
      </w:tblGrid>
      <w:tr w:rsidR="00001D99" w:rsidRPr="00891F93" w14:paraId="76D4DCA1" w14:textId="77777777" w:rsidTr="00001D99">
        <w:tc>
          <w:tcPr>
            <w:tcW w:w="9275" w:type="dxa"/>
            <w:gridSpan w:val="2"/>
            <w:shd w:val="clear" w:color="auto" w:fill="D9D9D9"/>
          </w:tcPr>
          <w:p w14:paraId="6511CC3B" w14:textId="77777777" w:rsidR="00001D99" w:rsidRPr="002D6123" w:rsidRDefault="00001D99" w:rsidP="00001D99">
            <w:pPr>
              <w:pStyle w:val="TableText"/>
              <w:keepNext/>
              <w:rPr>
                <w:b/>
              </w:rPr>
            </w:pPr>
            <w:r w:rsidRPr="00172732">
              <w:rPr>
                <w:b/>
              </w:rPr>
              <w:t>Home heating</w:t>
            </w:r>
          </w:p>
        </w:tc>
      </w:tr>
      <w:tr w:rsidR="00001D99" w:rsidRPr="00891F93" w14:paraId="05850769" w14:textId="77777777" w:rsidTr="00001D99">
        <w:tc>
          <w:tcPr>
            <w:tcW w:w="9275" w:type="dxa"/>
            <w:gridSpan w:val="2"/>
          </w:tcPr>
          <w:p w14:paraId="5F210D97" w14:textId="77777777" w:rsidR="00001D99" w:rsidRDefault="00001D99" w:rsidP="00001D99">
            <w:pPr>
              <w:pStyle w:val="TableText"/>
              <w:keepNext/>
            </w:pPr>
            <w:r w:rsidRPr="00D54B90">
              <w:t>Reducing emissions from home heating is likely to have the biggest single positive effect on air quality in most polluted airsheds</w:t>
            </w:r>
            <w:r>
              <w:t>. It may have additional benefits if the removal of open fires or older woodburners is accompanied by their replacement with cleaner heat sources and additional measures such as improvements to home insulation.</w:t>
            </w:r>
          </w:p>
          <w:p w14:paraId="12133280" w14:textId="77777777" w:rsidR="00001D99" w:rsidRDefault="00001D99" w:rsidP="00001D99">
            <w:pPr>
              <w:pStyle w:val="TableText"/>
              <w:keepNext/>
            </w:pPr>
            <w:r>
              <w:t>R</w:t>
            </w:r>
            <w:r w:rsidRPr="00D54B90">
              <w:t xml:space="preserve">egional councils and unitary authorities </w:t>
            </w:r>
            <w:r>
              <w:t xml:space="preserve">could </w:t>
            </w:r>
            <w:r w:rsidRPr="00D54B90">
              <w:t xml:space="preserve">establish a registry of </w:t>
            </w:r>
            <w:r>
              <w:t>homeowners who might consider entering into an offset scheme.</w:t>
            </w:r>
            <w:r w:rsidRPr="00D54B90">
              <w:t xml:space="preserve"> This </w:t>
            </w:r>
            <w:r>
              <w:t xml:space="preserve">might help new emitters (eg. a new industrial emitter) </w:t>
            </w:r>
            <w:r w:rsidRPr="00D54B90">
              <w:t>to identify sources and improve overall transparency.</w:t>
            </w:r>
          </w:p>
        </w:tc>
      </w:tr>
      <w:tr w:rsidR="00001D99" w:rsidRPr="00891F93" w14:paraId="3100AB1E" w14:textId="77777777" w:rsidTr="00001D99">
        <w:tc>
          <w:tcPr>
            <w:tcW w:w="5280" w:type="dxa"/>
          </w:tcPr>
          <w:p w14:paraId="5B79EF61" w14:textId="77777777" w:rsidR="00001D99" w:rsidRDefault="00001D99" w:rsidP="00001D99">
            <w:pPr>
              <w:pStyle w:val="TableText"/>
              <w:keepNext/>
            </w:pPr>
            <w:r w:rsidRPr="00D54B90">
              <w:t>Advantages</w:t>
            </w:r>
          </w:p>
        </w:tc>
        <w:tc>
          <w:tcPr>
            <w:tcW w:w="3995" w:type="dxa"/>
          </w:tcPr>
          <w:p w14:paraId="6FE14AD4" w14:textId="77777777" w:rsidR="00001D99" w:rsidRDefault="00001D99" w:rsidP="00001D99">
            <w:pPr>
              <w:pStyle w:val="TableText"/>
              <w:keepNext/>
            </w:pPr>
            <w:r w:rsidRPr="00D54B90">
              <w:t>Disadvantages</w:t>
            </w:r>
          </w:p>
        </w:tc>
      </w:tr>
      <w:tr w:rsidR="00001D99" w:rsidRPr="00891F93" w14:paraId="783CCCB0" w14:textId="77777777" w:rsidTr="00001D99">
        <w:tc>
          <w:tcPr>
            <w:tcW w:w="5280" w:type="dxa"/>
          </w:tcPr>
          <w:p w14:paraId="01B15A5F" w14:textId="77777777" w:rsidR="00001D99" w:rsidRDefault="00001D99" w:rsidP="00001D99">
            <w:pPr>
              <w:pStyle w:val="TableText"/>
              <w:keepNext/>
            </w:pPr>
            <w:r w:rsidRPr="00D54B90">
              <w:t>Targets the main source of PM</w:t>
            </w:r>
            <w:r w:rsidRPr="00406180">
              <w:rPr>
                <w:vertAlign w:val="subscript"/>
              </w:rPr>
              <w:t>10</w:t>
            </w:r>
            <w:r w:rsidRPr="00D54B90">
              <w:t xml:space="preserve"> in most airsheds, so would have the greatest effect.</w:t>
            </w:r>
          </w:p>
          <w:p w14:paraId="0BE49208" w14:textId="77777777" w:rsidR="00001D99" w:rsidRDefault="00001D99" w:rsidP="00001D99">
            <w:pPr>
              <w:pStyle w:val="TableText"/>
              <w:keepNext/>
            </w:pPr>
            <w:r w:rsidRPr="00D54B90">
              <w:t>Funding assistance may be available.</w:t>
            </w:r>
          </w:p>
          <w:p w14:paraId="5AC2F421" w14:textId="77777777" w:rsidR="00001D99" w:rsidRDefault="00001D99" w:rsidP="00001D99">
            <w:pPr>
              <w:pStyle w:val="TableText"/>
              <w:keepNext/>
            </w:pPr>
            <w:r w:rsidRPr="00D54B90">
              <w:t xml:space="preserve">Capital costs </w:t>
            </w:r>
            <w:r>
              <w:t xml:space="preserve">may be </w:t>
            </w:r>
            <w:r w:rsidRPr="00D54B90">
              <w:t>easy to quantify.</w:t>
            </w:r>
            <w:r>
              <w:t xml:space="preserve"> I</w:t>
            </w:r>
            <w:r w:rsidRPr="00D54B90">
              <w:t xml:space="preserve">mmediate socio-economic benefits if conversions </w:t>
            </w:r>
            <w:r>
              <w:t xml:space="preserve">include wider home improvements (eg, insulation) and </w:t>
            </w:r>
            <w:r w:rsidRPr="00D54B90">
              <w:t>are targeted at low socio-economic households.</w:t>
            </w:r>
          </w:p>
          <w:p w14:paraId="041C81CE" w14:textId="77777777" w:rsidR="00001D99" w:rsidRDefault="00001D99" w:rsidP="00001D99">
            <w:pPr>
              <w:pStyle w:val="TableText"/>
              <w:keepNext/>
            </w:pPr>
          </w:p>
        </w:tc>
        <w:tc>
          <w:tcPr>
            <w:tcW w:w="3995" w:type="dxa"/>
          </w:tcPr>
          <w:p w14:paraId="54AC6EA3" w14:textId="77777777" w:rsidR="00001D99" w:rsidRDefault="00001D99" w:rsidP="00001D99">
            <w:pPr>
              <w:pStyle w:val="TableText"/>
              <w:keepNext/>
            </w:pPr>
            <w:r w:rsidRPr="00D54B90">
              <w:t>Involves multiple parties, which increases overall complexity</w:t>
            </w:r>
            <w:r>
              <w:t>.</w:t>
            </w:r>
          </w:p>
          <w:p w14:paraId="761D42E5" w14:textId="77777777" w:rsidR="00001D99" w:rsidRDefault="00001D99" w:rsidP="00001D99">
            <w:pPr>
              <w:pStyle w:val="TableText"/>
              <w:keepNext/>
            </w:pPr>
            <w:r>
              <w:t xml:space="preserve">New emitters </w:t>
            </w:r>
            <w:r w:rsidRPr="00D54B90">
              <w:t xml:space="preserve">may have to </w:t>
            </w:r>
            <w:r>
              <w:t xml:space="preserve">spend time approaching and </w:t>
            </w:r>
            <w:r w:rsidRPr="00D54B90">
              <w:t>identify</w:t>
            </w:r>
            <w:r>
              <w:t>ing</w:t>
            </w:r>
            <w:r w:rsidRPr="00D54B90">
              <w:t xml:space="preserve"> willing candidates for </w:t>
            </w:r>
            <w:r>
              <w:t>woodburner removals</w:t>
            </w:r>
            <w:r w:rsidRPr="00D54B90">
              <w:t>.</w:t>
            </w:r>
          </w:p>
          <w:p w14:paraId="5B9C49AB" w14:textId="77777777" w:rsidR="00001D99" w:rsidRDefault="00001D99" w:rsidP="00001D99">
            <w:pPr>
              <w:pStyle w:val="TableText"/>
              <w:keepNext/>
            </w:pPr>
            <w:r w:rsidRPr="00D54B90">
              <w:t xml:space="preserve">May be difficult to </w:t>
            </w:r>
            <w:r>
              <w:t>convince people to surrender wood fires and convert to cleaner heating types</w:t>
            </w:r>
            <w:r w:rsidRPr="00D54B90">
              <w:t>.</w:t>
            </w:r>
          </w:p>
          <w:p w14:paraId="15C31657" w14:textId="77777777" w:rsidR="00001D99" w:rsidRDefault="00001D99" w:rsidP="00001D99">
            <w:pPr>
              <w:pStyle w:val="TableText"/>
              <w:keepNext/>
            </w:pPr>
            <w:r>
              <w:t xml:space="preserve">Legal </w:t>
            </w:r>
            <w:r w:rsidRPr="00D54B90">
              <w:t>framework to prevent</w:t>
            </w:r>
            <w:r>
              <w:t xml:space="preserve"> a new installation of a </w:t>
            </w:r>
            <w:r w:rsidRPr="00D54B90">
              <w:t>woodburner</w:t>
            </w:r>
            <w:r>
              <w:t xml:space="preserve"> may be complex or expensive</w:t>
            </w:r>
            <w:r w:rsidRPr="00D54B90">
              <w:t>.</w:t>
            </w:r>
          </w:p>
        </w:tc>
      </w:tr>
      <w:tr w:rsidR="00001D99" w:rsidRPr="00891F93" w14:paraId="4BF025BE" w14:textId="77777777" w:rsidTr="00001D99">
        <w:tc>
          <w:tcPr>
            <w:tcW w:w="9275" w:type="dxa"/>
            <w:gridSpan w:val="2"/>
            <w:shd w:val="clear" w:color="auto" w:fill="D9D9D9"/>
          </w:tcPr>
          <w:p w14:paraId="4F8567E9" w14:textId="77777777" w:rsidR="00001D99" w:rsidRPr="002D6123" w:rsidRDefault="00001D99" w:rsidP="00001D99">
            <w:pPr>
              <w:pStyle w:val="TableText"/>
              <w:keepNext/>
              <w:rPr>
                <w:b/>
              </w:rPr>
            </w:pPr>
            <w:r w:rsidRPr="00172732">
              <w:rPr>
                <w:b/>
              </w:rPr>
              <w:t>Modification or removal of existing large discharges</w:t>
            </w:r>
          </w:p>
        </w:tc>
      </w:tr>
      <w:tr w:rsidR="00001D99" w:rsidRPr="00891F93" w14:paraId="223A9B73" w14:textId="77777777" w:rsidTr="00001D99">
        <w:tc>
          <w:tcPr>
            <w:tcW w:w="9275" w:type="dxa"/>
            <w:gridSpan w:val="2"/>
          </w:tcPr>
          <w:p w14:paraId="56E4CA88" w14:textId="77777777" w:rsidR="00001D99" w:rsidRDefault="00001D99" w:rsidP="00001D99">
            <w:pPr>
              <w:pStyle w:val="TableText"/>
              <w:keepNext/>
            </w:pPr>
            <w:r w:rsidRPr="00D54B90">
              <w:t>This option for offsetting allows a</w:t>
            </w:r>
            <w:r>
              <w:t xml:space="preserve"> new emitter </w:t>
            </w:r>
            <w:r w:rsidRPr="00D54B90">
              <w:t xml:space="preserve">to invest in </w:t>
            </w:r>
            <w:r>
              <w:t xml:space="preserve">reducing </w:t>
            </w:r>
            <w:r w:rsidRPr="00D54B90">
              <w:t xml:space="preserve">others’ emissions </w:t>
            </w:r>
            <w:r>
              <w:t xml:space="preserve">to provide relief for its own new </w:t>
            </w:r>
            <w:r w:rsidRPr="00D54B90">
              <w:t>emissions.</w:t>
            </w:r>
          </w:p>
        </w:tc>
      </w:tr>
      <w:tr w:rsidR="00001D99" w:rsidRPr="00891F93" w14:paraId="0BF100F8" w14:textId="77777777" w:rsidTr="00001D99">
        <w:tc>
          <w:tcPr>
            <w:tcW w:w="5280" w:type="dxa"/>
          </w:tcPr>
          <w:p w14:paraId="3D6A4EAA" w14:textId="77777777" w:rsidR="00001D99" w:rsidRDefault="00001D99" w:rsidP="00001D99">
            <w:pPr>
              <w:pStyle w:val="TableText"/>
              <w:keepNext/>
            </w:pPr>
            <w:r w:rsidRPr="00D54B90">
              <w:t>Advantages</w:t>
            </w:r>
          </w:p>
        </w:tc>
        <w:tc>
          <w:tcPr>
            <w:tcW w:w="3995" w:type="dxa"/>
          </w:tcPr>
          <w:p w14:paraId="325898F7" w14:textId="77777777" w:rsidR="00001D99" w:rsidRDefault="00001D99" w:rsidP="00001D99">
            <w:pPr>
              <w:pStyle w:val="TableText"/>
              <w:keepNext/>
            </w:pPr>
            <w:r w:rsidRPr="00D54B90">
              <w:t>Disadvantages</w:t>
            </w:r>
          </w:p>
        </w:tc>
      </w:tr>
      <w:tr w:rsidR="00001D99" w:rsidRPr="00891F93" w14:paraId="6C4D4E6B" w14:textId="77777777" w:rsidTr="00001D99">
        <w:tc>
          <w:tcPr>
            <w:tcW w:w="5280" w:type="dxa"/>
          </w:tcPr>
          <w:p w14:paraId="37BED747" w14:textId="77777777" w:rsidR="00001D99" w:rsidRDefault="00001D99" w:rsidP="00001D99">
            <w:pPr>
              <w:pStyle w:val="TableText"/>
              <w:keepNext/>
            </w:pPr>
            <w:r w:rsidRPr="00D54B90">
              <w:t xml:space="preserve">Involves a limited number of parties and discharges so </w:t>
            </w:r>
            <w:r>
              <w:t xml:space="preserve">may be </w:t>
            </w:r>
            <w:r w:rsidRPr="00D54B90">
              <w:t>relatively simple to implement.</w:t>
            </w:r>
          </w:p>
          <w:p w14:paraId="2F558693" w14:textId="77777777" w:rsidR="00001D99" w:rsidRDefault="00001D99" w:rsidP="00001D99">
            <w:pPr>
              <w:pStyle w:val="TableText"/>
              <w:keepNext/>
            </w:pPr>
            <w:r w:rsidRPr="00D54B90">
              <w:t xml:space="preserve">Can be enforced </w:t>
            </w:r>
            <w:r>
              <w:t xml:space="preserve">through the surrender of </w:t>
            </w:r>
            <w:r w:rsidRPr="00D54B90">
              <w:t xml:space="preserve">resource consents held by </w:t>
            </w:r>
            <w:r>
              <w:t xml:space="preserve">other </w:t>
            </w:r>
            <w:r w:rsidRPr="00D54B90">
              <w:t>parties (assuming the discharge used for the offset is not a permitted activity).</w:t>
            </w:r>
          </w:p>
        </w:tc>
        <w:tc>
          <w:tcPr>
            <w:tcW w:w="3995" w:type="dxa"/>
          </w:tcPr>
          <w:p w14:paraId="7F188FB0" w14:textId="77777777" w:rsidR="00001D99" w:rsidRDefault="00001D99" w:rsidP="00001D99">
            <w:pPr>
              <w:pStyle w:val="TableText"/>
              <w:keepNext/>
            </w:pPr>
            <w:r>
              <w:t xml:space="preserve">May be limited in </w:t>
            </w:r>
            <w:r w:rsidRPr="00D54B90">
              <w:t xml:space="preserve">scope – for example, industries in a small </w:t>
            </w:r>
            <w:r>
              <w:t>airshed</w:t>
            </w:r>
            <w:r w:rsidRPr="00D54B90">
              <w:t xml:space="preserve"> may </w:t>
            </w:r>
            <w:r>
              <w:t xml:space="preserve">have </w:t>
            </w:r>
            <w:r w:rsidRPr="00D54B90">
              <w:t xml:space="preserve">limited opportunities because few other </w:t>
            </w:r>
            <w:r>
              <w:t xml:space="preserve">significant discharges </w:t>
            </w:r>
            <w:r w:rsidRPr="00D54B90">
              <w:t>are present.</w:t>
            </w:r>
          </w:p>
        </w:tc>
      </w:tr>
      <w:tr w:rsidR="00001D99" w:rsidRPr="00891F93" w14:paraId="0D74591B" w14:textId="77777777" w:rsidTr="00001D99">
        <w:tc>
          <w:tcPr>
            <w:tcW w:w="9275" w:type="dxa"/>
            <w:gridSpan w:val="2"/>
            <w:shd w:val="clear" w:color="auto" w:fill="D9D9D9"/>
          </w:tcPr>
          <w:p w14:paraId="6CC645E5" w14:textId="77777777" w:rsidR="00001D99" w:rsidRPr="002D6123" w:rsidRDefault="00001D99" w:rsidP="00001D99">
            <w:pPr>
              <w:pStyle w:val="TableText"/>
              <w:keepNext/>
              <w:rPr>
                <w:b/>
              </w:rPr>
            </w:pPr>
            <w:r w:rsidRPr="00172732">
              <w:rPr>
                <w:b/>
              </w:rPr>
              <w:t>Transport</w:t>
            </w:r>
          </w:p>
        </w:tc>
      </w:tr>
      <w:tr w:rsidR="00001D99" w:rsidRPr="00891F93" w14:paraId="4B1CF49A" w14:textId="77777777" w:rsidTr="00001D99">
        <w:tc>
          <w:tcPr>
            <w:tcW w:w="9275" w:type="dxa"/>
            <w:gridSpan w:val="2"/>
          </w:tcPr>
          <w:p w14:paraId="438B1E7A" w14:textId="77777777" w:rsidR="00001D99" w:rsidRDefault="00001D99" w:rsidP="00001D99">
            <w:pPr>
              <w:pStyle w:val="TableText"/>
              <w:keepNext/>
            </w:pPr>
            <w:r>
              <w:t>R</w:t>
            </w:r>
            <w:r w:rsidRPr="00D54B90">
              <w:t xml:space="preserve">educing transport emissions </w:t>
            </w:r>
            <w:r>
              <w:t>within the airshed may be possible to offset emissions from a new source.</w:t>
            </w:r>
          </w:p>
        </w:tc>
      </w:tr>
      <w:tr w:rsidR="00001D99" w:rsidRPr="00891F93" w14:paraId="451BA77B" w14:textId="77777777" w:rsidTr="00001D99">
        <w:tc>
          <w:tcPr>
            <w:tcW w:w="5280" w:type="dxa"/>
          </w:tcPr>
          <w:p w14:paraId="30E0A052" w14:textId="77777777" w:rsidR="00001D99" w:rsidRDefault="00001D99" w:rsidP="00001D99">
            <w:pPr>
              <w:pStyle w:val="TableText"/>
              <w:keepNext/>
            </w:pPr>
            <w:r w:rsidRPr="00D54B90">
              <w:t>Advantages</w:t>
            </w:r>
          </w:p>
        </w:tc>
        <w:tc>
          <w:tcPr>
            <w:tcW w:w="3995" w:type="dxa"/>
          </w:tcPr>
          <w:p w14:paraId="3473449A" w14:textId="77777777" w:rsidR="00001D99" w:rsidRDefault="00001D99" w:rsidP="00001D99">
            <w:pPr>
              <w:pStyle w:val="TableText"/>
              <w:keepNext/>
            </w:pPr>
            <w:r w:rsidRPr="00D54B90">
              <w:t>Disadvantages</w:t>
            </w:r>
          </w:p>
        </w:tc>
      </w:tr>
      <w:tr w:rsidR="00001D99" w:rsidRPr="00891F93" w14:paraId="06625479" w14:textId="77777777" w:rsidTr="00001D99">
        <w:tc>
          <w:tcPr>
            <w:tcW w:w="5280" w:type="dxa"/>
          </w:tcPr>
          <w:p w14:paraId="50F4E3DD" w14:textId="77777777" w:rsidR="00001D99" w:rsidRDefault="00001D99" w:rsidP="00001D99">
            <w:pPr>
              <w:pStyle w:val="TableText"/>
              <w:keepNext/>
            </w:pPr>
            <w:r w:rsidRPr="00D54B90">
              <w:t xml:space="preserve">Emission factors </w:t>
            </w:r>
            <w:r>
              <w:t xml:space="preserve">for road vehicles </w:t>
            </w:r>
            <w:r w:rsidRPr="00D54B90">
              <w:t>exist.</w:t>
            </w:r>
          </w:p>
          <w:p w14:paraId="5DD66861" w14:textId="77777777" w:rsidR="00001D99" w:rsidRDefault="00001D99" w:rsidP="00001D99">
            <w:pPr>
              <w:pStyle w:val="TableText"/>
              <w:keepNext/>
            </w:pPr>
            <w:r w:rsidRPr="00D54B90">
              <w:t xml:space="preserve">Public transport is often council-controlled </w:t>
            </w:r>
            <w:r>
              <w:t xml:space="preserve">and in a single organisation, so reductions might be relatively </w:t>
            </w:r>
            <w:r w:rsidRPr="00D54B90">
              <w:t>easily managed.</w:t>
            </w:r>
          </w:p>
          <w:p w14:paraId="056F3BF1" w14:textId="77777777" w:rsidR="00001D99" w:rsidRDefault="00001D99" w:rsidP="00001D99">
            <w:pPr>
              <w:pStyle w:val="TableText"/>
              <w:keepNext/>
            </w:pPr>
            <w:r w:rsidRPr="00D54B90">
              <w:t>Removes more than just PM</w:t>
            </w:r>
            <w:r w:rsidRPr="00406180">
              <w:rPr>
                <w:vertAlign w:val="subscript"/>
              </w:rPr>
              <w:t>10</w:t>
            </w:r>
            <w:r w:rsidRPr="00D54B90">
              <w:t xml:space="preserve"> from the air –</w:t>
            </w:r>
            <w:r>
              <w:t xml:space="preserve"> may also reduce emissions of </w:t>
            </w:r>
            <w:r w:rsidRPr="00D54B90">
              <w:t>NOx</w:t>
            </w:r>
            <w:r>
              <w:t>,</w:t>
            </w:r>
            <w:r w:rsidRPr="00D54B90">
              <w:t xml:space="preserve"> SOx and CO.</w:t>
            </w:r>
          </w:p>
          <w:p w14:paraId="175B32D8" w14:textId="77777777" w:rsidR="00001D99" w:rsidRDefault="00001D99" w:rsidP="00001D99">
            <w:pPr>
              <w:pStyle w:val="TableText"/>
              <w:keepNext/>
            </w:pPr>
            <w:r>
              <w:t>There may be s</w:t>
            </w:r>
            <w:r w:rsidRPr="00D54B90">
              <w:t>trong public support for reducing transport emissions.</w:t>
            </w:r>
          </w:p>
        </w:tc>
        <w:tc>
          <w:tcPr>
            <w:tcW w:w="3995" w:type="dxa"/>
          </w:tcPr>
          <w:p w14:paraId="20BA34FA" w14:textId="77777777" w:rsidR="00001D99" w:rsidRDefault="00001D99" w:rsidP="00001D99">
            <w:pPr>
              <w:pStyle w:val="TableText"/>
              <w:keepNext/>
            </w:pPr>
            <w:r>
              <w:t>Transport is n</w:t>
            </w:r>
            <w:r w:rsidRPr="00D54B90">
              <w:t>ot a major source of emissions in most airsheds.</w:t>
            </w:r>
          </w:p>
          <w:p w14:paraId="228F309E" w14:textId="77777777" w:rsidR="00001D99" w:rsidRDefault="00001D99" w:rsidP="00001D99">
            <w:pPr>
              <w:pStyle w:val="TableText"/>
              <w:keepNext/>
            </w:pPr>
            <w:r w:rsidRPr="00D54B90">
              <w:t xml:space="preserve">Minimal regulatory controls </w:t>
            </w:r>
            <w:r>
              <w:t xml:space="preserve">are </w:t>
            </w:r>
            <w:r w:rsidRPr="00D54B90">
              <w:t>available.</w:t>
            </w:r>
          </w:p>
          <w:p w14:paraId="6A48D00C" w14:textId="77777777" w:rsidR="00001D99" w:rsidRDefault="00001D99" w:rsidP="00001D99">
            <w:pPr>
              <w:pStyle w:val="TableText"/>
              <w:keepNext/>
            </w:pPr>
          </w:p>
        </w:tc>
      </w:tr>
      <w:tr w:rsidR="00001D99" w:rsidRPr="00891F93" w14:paraId="5120DDBE" w14:textId="77777777" w:rsidTr="00001D99">
        <w:tc>
          <w:tcPr>
            <w:tcW w:w="9275" w:type="dxa"/>
            <w:gridSpan w:val="2"/>
            <w:shd w:val="clear" w:color="auto" w:fill="D9D9D9"/>
          </w:tcPr>
          <w:p w14:paraId="054F5FF5" w14:textId="77777777" w:rsidR="00001D99" w:rsidRPr="002D6123" w:rsidRDefault="00001D99" w:rsidP="00001D99">
            <w:pPr>
              <w:pStyle w:val="TableText"/>
              <w:keepNext/>
              <w:rPr>
                <w:b/>
              </w:rPr>
            </w:pPr>
            <w:r w:rsidRPr="00172732">
              <w:rPr>
                <w:b/>
              </w:rPr>
              <w:t>Shipping</w:t>
            </w:r>
          </w:p>
        </w:tc>
      </w:tr>
      <w:tr w:rsidR="00001D99" w:rsidRPr="00891F93" w14:paraId="7804F468" w14:textId="77777777" w:rsidTr="00001D99">
        <w:tc>
          <w:tcPr>
            <w:tcW w:w="9275" w:type="dxa"/>
            <w:gridSpan w:val="2"/>
          </w:tcPr>
          <w:p w14:paraId="74E7B483" w14:textId="77777777" w:rsidR="00001D99" w:rsidRDefault="00001D99" w:rsidP="00001D99">
            <w:pPr>
              <w:pStyle w:val="TableText"/>
              <w:keepNext/>
            </w:pPr>
            <w:r w:rsidRPr="00D54B90">
              <w:t>Offsetting shipping emissions will only be viable in polluted airsheds that have ports that handle significant cruise and/or freight shipping</w:t>
            </w:r>
            <w:r>
              <w:t>…</w:t>
            </w:r>
          </w:p>
        </w:tc>
      </w:tr>
      <w:tr w:rsidR="00001D99" w:rsidRPr="00891F93" w14:paraId="563E8B5C" w14:textId="77777777" w:rsidTr="00001D99">
        <w:tc>
          <w:tcPr>
            <w:tcW w:w="5280" w:type="dxa"/>
          </w:tcPr>
          <w:p w14:paraId="71212C7E" w14:textId="77777777" w:rsidR="00001D99" w:rsidRDefault="00001D99" w:rsidP="00001D99">
            <w:pPr>
              <w:pStyle w:val="TableText"/>
              <w:keepNext/>
            </w:pPr>
            <w:r w:rsidRPr="00D54B90">
              <w:t>Advantages</w:t>
            </w:r>
          </w:p>
        </w:tc>
        <w:tc>
          <w:tcPr>
            <w:tcW w:w="3995" w:type="dxa"/>
          </w:tcPr>
          <w:p w14:paraId="20B4E193" w14:textId="77777777" w:rsidR="00001D99" w:rsidRDefault="00001D99" w:rsidP="00001D99">
            <w:pPr>
              <w:pStyle w:val="TableText"/>
              <w:keepNext/>
            </w:pPr>
            <w:r w:rsidRPr="00D54B90">
              <w:t>Disadvantages</w:t>
            </w:r>
          </w:p>
        </w:tc>
      </w:tr>
      <w:tr w:rsidR="00001D99" w:rsidRPr="00891F93" w14:paraId="308A6C64" w14:textId="77777777" w:rsidTr="00001D99">
        <w:tc>
          <w:tcPr>
            <w:tcW w:w="5280" w:type="dxa"/>
          </w:tcPr>
          <w:p w14:paraId="387522C9" w14:textId="77777777" w:rsidR="00001D99" w:rsidRDefault="00001D99" w:rsidP="00001D99">
            <w:pPr>
              <w:pStyle w:val="TableText"/>
              <w:keepNext/>
            </w:pPr>
            <w:r>
              <w:t>E</w:t>
            </w:r>
            <w:r w:rsidRPr="00D54B90">
              <w:t>mission</w:t>
            </w:r>
            <w:r>
              <w:t>s</w:t>
            </w:r>
            <w:r w:rsidRPr="00D54B90">
              <w:t xml:space="preserve"> factors exist</w:t>
            </w:r>
          </w:p>
          <w:p w14:paraId="00C4551C" w14:textId="77777777" w:rsidR="00001D99" w:rsidRDefault="00001D99" w:rsidP="00001D99">
            <w:pPr>
              <w:pStyle w:val="TableText"/>
              <w:keepNext/>
            </w:pPr>
            <w:r w:rsidRPr="00D54B90">
              <w:t>Involves a limited number of parties</w:t>
            </w:r>
          </w:p>
          <w:p w14:paraId="0701CFB8" w14:textId="77777777" w:rsidR="00001D99" w:rsidRDefault="00001D99" w:rsidP="00001D99">
            <w:pPr>
              <w:pStyle w:val="TableText"/>
              <w:keepNext/>
            </w:pPr>
            <w:r w:rsidRPr="00D54B90">
              <w:t xml:space="preserve">Duration of offsets </w:t>
            </w:r>
            <w:r>
              <w:t xml:space="preserve">may be relatively </w:t>
            </w:r>
            <w:r w:rsidRPr="00D54B90">
              <w:t>easy to establish</w:t>
            </w:r>
          </w:p>
          <w:p w14:paraId="6B8A7054" w14:textId="77777777" w:rsidR="00001D99" w:rsidRDefault="00001D99" w:rsidP="00001D99">
            <w:pPr>
              <w:pStyle w:val="TableText"/>
              <w:keepNext/>
            </w:pPr>
            <w:r w:rsidRPr="00D54B90">
              <w:t xml:space="preserve">Potential bonus reduction of </w:t>
            </w:r>
            <w:r>
              <w:t>SO</w:t>
            </w:r>
            <w:r w:rsidRPr="00406180">
              <w:rPr>
                <w:vertAlign w:val="subscript"/>
              </w:rPr>
              <w:t>2</w:t>
            </w:r>
            <w:r>
              <w:t xml:space="preserve"> and </w:t>
            </w:r>
            <w:r w:rsidRPr="00D54B90">
              <w:t>secondary particulate formation</w:t>
            </w:r>
          </w:p>
          <w:p w14:paraId="39042B7B" w14:textId="77777777" w:rsidR="00001D99" w:rsidRDefault="00001D99" w:rsidP="00001D99">
            <w:pPr>
              <w:pStyle w:val="TableText"/>
              <w:keepNext/>
            </w:pPr>
            <w:r w:rsidRPr="00D54B90">
              <w:t xml:space="preserve">Opportunity for cross-government cooperation as most ports have part ownership by regional councils </w:t>
            </w:r>
          </w:p>
        </w:tc>
        <w:tc>
          <w:tcPr>
            <w:tcW w:w="3995" w:type="dxa"/>
          </w:tcPr>
          <w:p w14:paraId="7004F18F" w14:textId="77777777" w:rsidR="00001D99" w:rsidRDefault="00001D99" w:rsidP="00001D99">
            <w:pPr>
              <w:pStyle w:val="TableText"/>
              <w:keepNext/>
            </w:pPr>
            <w:r>
              <w:t>Has limited or no applicability outside of major ports</w:t>
            </w:r>
          </w:p>
          <w:p w14:paraId="08B40007" w14:textId="77777777" w:rsidR="00001D99" w:rsidRDefault="00001D99" w:rsidP="00001D99">
            <w:pPr>
              <w:pStyle w:val="TableText"/>
              <w:keepNext/>
            </w:pPr>
            <w:r w:rsidRPr="00D54B90">
              <w:t>May be expensive</w:t>
            </w:r>
            <w:r>
              <w:t xml:space="preserve"> to implement</w:t>
            </w:r>
          </w:p>
          <w:p w14:paraId="7C71B06E" w14:textId="77777777" w:rsidR="00001D99" w:rsidRDefault="00001D99" w:rsidP="00001D99">
            <w:pPr>
              <w:pStyle w:val="TableText"/>
              <w:keepNext/>
            </w:pPr>
            <w:r>
              <w:t>May have regulatory barriers if agreements between parties and consent conditions are not appropriately structured.</w:t>
            </w:r>
          </w:p>
        </w:tc>
      </w:tr>
    </w:tbl>
    <w:p w14:paraId="496CF8B1" w14:textId="77777777" w:rsidR="00F26839" w:rsidRDefault="00223019">
      <w:pPr>
        <w:pStyle w:val="Tableheading"/>
      </w:pPr>
      <w:r w:rsidRPr="00887044">
        <w:t xml:space="preserve">Table 9: </w:t>
      </w:r>
      <w:r w:rsidR="00407749" w:rsidRPr="00887044">
        <w:tab/>
      </w:r>
      <w:r w:rsidRPr="00887044">
        <w:t>Suggested advantages and disadvantages of offset options</w:t>
      </w:r>
      <w:bookmarkEnd w:id="128"/>
    </w:p>
    <w:p w14:paraId="748D7943" w14:textId="77777777" w:rsidR="00001D99" w:rsidRDefault="00001D99" w:rsidP="00001D99"/>
    <w:p w14:paraId="7271ECCF" w14:textId="77777777" w:rsidR="002E1D2A" w:rsidRDefault="002E1D2A" w:rsidP="002E1D2A">
      <w:pPr>
        <w:pStyle w:val="Heading4"/>
      </w:pPr>
      <w:r>
        <w:t>How can offsets be calculated?</w:t>
      </w:r>
    </w:p>
    <w:p w14:paraId="1796A994" w14:textId="77777777" w:rsidR="002E1D2A" w:rsidRDefault="002E1D2A" w:rsidP="002E1D2A">
      <w:r>
        <w:t xml:space="preserve">The Regulations require that at an activity offset </w:t>
      </w:r>
      <w:r w:rsidRPr="00470B8A">
        <w:rPr>
          <w:b/>
        </w:rPr>
        <w:t>at least</w:t>
      </w:r>
      <w:r>
        <w:t xml:space="preserve"> as much PM</w:t>
      </w:r>
      <w:r w:rsidRPr="002A33CD">
        <w:rPr>
          <w:vertAlign w:val="subscript"/>
        </w:rPr>
        <w:t>10</w:t>
      </w:r>
      <w:r w:rsidR="00155E0C">
        <w:t xml:space="preserve"> as it is discharging.</w:t>
      </w:r>
      <w:r>
        <w:t xml:space="preserve"> This is the minimum required. The Regulations do not preclude a regional council requiring an activity to offset </w:t>
      </w:r>
      <w:r w:rsidRPr="00850F9F">
        <w:rPr>
          <w:b/>
        </w:rPr>
        <w:t>more</w:t>
      </w:r>
      <w:r>
        <w:t xml:space="preserve"> tha</w:t>
      </w:r>
      <w:r w:rsidR="000414E5">
        <w:t>n their equivalent discharge.</w:t>
      </w:r>
    </w:p>
    <w:p w14:paraId="09F4474B" w14:textId="77777777" w:rsidR="002E1D2A" w:rsidRDefault="002E1D2A" w:rsidP="002E1D2A"/>
    <w:p w14:paraId="7B5FC862" w14:textId="77777777" w:rsidR="002E1D2A" w:rsidRDefault="002E1D2A" w:rsidP="002E1D2A">
      <w:r>
        <w:t>Although the trigger in the Regulations to offset is a concentration limit, the method to calculate the amount of offset required should be a ma</w:t>
      </w:r>
      <w:r w:rsidR="000414E5">
        <w:t>ss emission rate.</w:t>
      </w:r>
    </w:p>
    <w:p w14:paraId="24974406" w14:textId="77777777" w:rsidR="002E1D2A" w:rsidRDefault="002E1D2A" w:rsidP="002E1D2A"/>
    <w:p w14:paraId="5A196DB9" w14:textId="77777777" w:rsidR="002E1D2A" w:rsidRDefault="002E1D2A" w:rsidP="002E1D2A">
      <w:r>
        <w:t>The amount of PM</w:t>
      </w:r>
      <w:r w:rsidRPr="00470B8A">
        <w:rPr>
          <w:vertAlign w:val="subscript"/>
        </w:rPr>
        <w:t>10</w:t>
      </w:r>
      <w:r>
        <w:t xml:space="preserve"> an activity needs to offset needs to be calculated as a mass emission over a significant time period (eg, a productio</w:t>
      </w:r>
      <w:r w:rsidR="00155E0C">
        <w:t>n season or a 12-month period).</w:t>
      </w:r>
      <w:r>
        <w:t xml:space="preserve"> That is, a prospective consent applicant will need to determine how many kilograms of PM</w:t>
      </w:r>
      <w:r w:rsidRPr="00470B8A">
        <w:rPr>
          <w:vertAlign w:val="subscript"/>
        </w:rPr>
        <w:t>10</w:t>
      </w:r>
      <w:r>
        <w:t xml:space="preserve"> it proposes to emit, which will then equate to the minimum amount of discharge they will need to remove from an airshed over that time period.</w:t>
      </w:r>
    </w:p>
    <w:p w14:paraId="1C93405B" w14:textId="77777777" w:rsidR="002E1D2A" w:rsidRDefault="002E1D2A" w:rsidP="002E1D2A"/>
    <w:p w14:paraId="581896FC" w14:textId="77777777" w:rsidR="002E1D2A" w:rsidRDefault="002E1D2A" w:rsidP="002E1D2A">
      <w:r>
        <w:t xml:space="preserve">To ensure a fair, equitable and cost effective approach to offsets both locally and nationally, it would be useful for regional councils to agree mass emission rates for the key potential offset activities (eg, vehicles and different types of domestic fires).  </w:t>
      </w:r>
    </w:p>
    <w:p w14:paraId="426516AA" w14:textId="77777777" w:rsidR="002E1D2A" w:rsidRPr="00871718" w:rsidRDefault="002E1D2A" w:rsidP="002E1D2A"/>
    <w:p w14:paraId="3B235EC9" w14:textId="77777777" w:rsidR="002E1D2A" w:rsidRDefault="002E1D2A" w:rsidP="002E1D2A">
      <w:r w:rsidRPr="00871718">
        <w:t>Once the mass emissions need</w:t>
      </w:r>
      <w:r>
        <w:t xml:space="preserve">ed </w:t>
      </w:r>
      <w:r w:rsidRPr="00871718">
        <w:t xml:space="preserve">to offset </w:t>
      </w:r>
      <w:r>
        <w:t>an activity are calculated</w:t>
      </w:r>
      <w:r w:rsidR="00665B56">
        <w:t>,</w:t>
      </w:r>
      <w:r>
        <w:t xml:space="preserve"> the number of </w:t>
      </w:r>
      <w:r w:rsidRPr="00871718">
        <w:t xml:space="preserve">offsets </w:t>
      </w:r>
      <w:r w:rsidR="00665B56">
        <w:br/>
      </w:r>
      <w:r w:rsidRPr="00871718">
        <w:t xml:space="preserve">(eg, how many domestic fires) </w:t>
      </w:r>
      <w:r>
        <w:t>can be determined</w:t>
      </w:r>
      <w:r w:rsidRPr="00871718">
        <w:t>.</w:t>
      </w:r>
    </w:p>
    <w:p w14:paraId="56F8157E" w14:textId="77777777" w:rsidR="002E1D2A" w:rsidRDefault="002E1D2A" w:rsidP="002E1D2A"/>
    <w:p w14:paraId="065D5FC3" w14:textId="77777777" w:rsidR="002E1D2A" w:rsidRDefault="002E1D2A" w:rsidP="002E1D2A">
      <w:r>
        <w:t xml:space="preserve">Some regional councils may already have regional data on offsets. Examples include, Auckland Council’s Domestic Fire Emissions Prediction Model, DFEPM (ARC, 2010) and Bus Emission Prediction Model, BEPM (ARC, 2005). There is also national guidance for vehicle emissions from the Vehicle Emission Prediction Model, VEPM (ARC, </w:t>
      </w:r>
      <w:r w:rsidRPr="00FE7B16">
        <w:t>2009</w:t>
      </w:r>
      <w:r>
        <w:t>).</w:t>
      </w:r>
    </w:p>
    <w:p w14:paraId="472F7F46" w14:textId="77777777" w:rsidR="002E1D2A" w:rsidRDefault="002E1D2A" w:rsidP="002E1D2A">
      <w:pPr>
        <w:pStyle w:val="Heading4"/>
      </w:pPr>
      <w:r>
        <w:t>Is all PM</w:t>
      </w:r>
      <w:r w:rsidRPr="00D079AE">
        <w:rPr>
          <w:vertAlign w:val="subscript"/>
        </w:rPr>
        <w:t>10</w:t>
      </w:r>
      <w:r>
        <w:t xml:space="preserve"> created equal?</w:t>
      </w:r>
    </w:p>
    <w:p w14:paraId="04328C8E" w14:textId="77777777" w:rsidR="002E1D2A" w:rsidRDefault="002E1D2A" w:rsidP="002E1D2A">
      <w:pPr>
        <w:pStyle w:val="BodyText"/>
      </w:pPr>
      <w:r>
        <w:t>Particles from different sources (eg, domestic fire emissions as opposed to sea salt) will have quite different chemical compositions, different physical characteristics and therefore potentially different toxicities. However, conclusive evidence from epidemiological studies is not yet available to establish these differences.</w:t>
      </w:r>
    </w:p>
    <w:p w14:paraId="2246DB2F" w14:textId="77777777" w:rsidR="002E1D2A" w:rsidRDefault="002E1D2A" w:rsidP="002E1D2A">
      <w:pPr>
        <w:pStyle w:val="BodyText"/>
        <w:shd w:val="clear" w:color="auto" w:fill="FFFFFF"/>
      </w:pPr>
    </w:p>
    <w:p w14:paraId="13536B60" w14:textId="77777777" w:rsidR="002E1D2A" w:rsidRDefault="002E1D2A" w:rsidP="002E1D2A">
      <w:pPr>
        <w:pStyle w:val="BodyText"/>
        <w:shd w:val="clear" w:color="auto" w:fill="FFFFFF"/>
      </w:pPr>
      <w:r>
        <w:t xml:space="preserve">The World Health Organisation recommends that </w:t>
      </w:r>
      <w:r w:rsidRPr="00C1284E">
        <w:rPr>
          <w:b/>
        </w:rPr>
        <w:t>all PM</w:t>
      </w:r>
      <w:r w:rsidRPr="00C1284E">
        <w:rPr>
          <w:b/>
          <w:vertAlign w:val="subscript"/>
        </w:rPr>
        <w:t>10</w:t>
      </w:r>
      <w:r>
        <w:rPr>
          <w:b/>
        </w:rPr>
        <w:t xml:space="preserve"> is treated </w:t>
      </w:r>
      <w:r w:rsidRPr="00C1284E">
        <w:rPr>
          <w:b/>
        </w:rPr>
        <w:t>equal, irrespective of source</w:t>
      </w:r>
      <w:r>
        <w:t>, as follows:</w:t>
      </w:r>
    </w:p>
    <w:p w14:paraId="024AF86D" w14:textId="77777777" w:rsidR="002E1D2A" w:rsidRDefault="002E1D2A" w:rsidP="002E1D2A">
      <w:pPr>
        <w:shd w:val="clear" w:color="auto" w:fill="FFFFFF"/>
        <w:spacing w:before="120"/>
        <w:ind w:left="567" w:right="397"/>
        <w:rPr>
          <w:rFonts w:ascii="Trebuchet MS" w:hAnsi="Trebuchet MS"/>
        </w:rPr>
      </w:pPr>
      <w:r w:rsidRPr="00332177">
        <w:rPr>
          <w:i/>
          <w:iCs/>
          <w:sz w:val="20"/>
        </w:rPr>
        <w:t xml:space="preserve">“There are now substantial data available on the sources and composition of PM and on personal exposures to particles of various population groups. The information shows the complex characteristics of PM as the mixture varies spatially and temporally. </w:t>
      </w:r>
      <w:r w:rsidRPr="00332177">
        <w:rPr>
          <w:b/>
          <w:bCs/>
          <w:i/>
          <w:iCs/>
          <w:sz w:val="20"/>
        </w:rPr>
        <w:t>The mass-based standards that have been proposed inherently assume that all airborne PM has the same potential to cause adverse health effects, regardless of chemical composition or physical characteristics.</w:t>
      </w:r>
      <w:r w:rsidRPr="00332177">
        <w:rPr>
          <w:i/>
          <w:iCs/>
          <w:sz w:val="20"/>
        </w:rPr>
        <w:t xml:space="preserve"> While both observational and experimental findings imply that particle characteristics are determinants of toxicity, definitive links between specific characteristics and the risk of various adverse health effects have yet to be identified.”</w:t>
      </w:r>
      <w:r>
        <w:rPr>
          <w:i/>
          <w:iCs/>
        </w:rPr>
        <w:t xml:space="preserve"> </w:t>
      </w:r>
      <w:r w:rsidRPr="00C1284E">
        <w:rPr>
          <w:iCs/>
        </w:rPr>
        <w:t>(WHO, 2006)</w:t>
      </w:r>
    </w:p>
    <w:p w14:paraId="11292A11" w14:textId="77777777" w:rsidR="002E1D2A" w:rsidRDefault="002E1D2A" w:rsidP="002E1D2A">
      <w:pPr>
        <w:shd w:val="clear" w:color="auto" w:fill="FFFFFF"/>
      </w:pPr>
    </w:p>
    <w:p w14:paraId="733F980E" w14:textId="77777777" w:rsidR="002E1D2A" w:rsidRDefault="002E1D2A" w:rsidP="002E1D2A">
      <w:r>
        <w:t>For the purposes of the Regulations</w:t>
      </w:r>
      <w:r w:rsidR="00211678">
        <w:t>,</w:t>
      </w:r>
      <w:r>
        <w:t xml:space="preserve"> all PM</w:t>
      </w:r>
      <w:r w:rsidRPr="00DF2A5E">
        <w:rPr>
          <w:vertAlign w:val="subscript"/>
        </w:rPr>
        <w:t>10</w:t>
      </w:r>
      <w:r>
        <w:t xml:space="preserve"> </w:t>
      </w:r>
      <w:r w:rsidR="00211678">
        <w:t xml:space="preserve">should be considered as equal. </w:t>
      </w:r>
      <w:r>
        <w:t>That is, one kilogram of PM</w:t>
      </w:r>
      <w:r w:rsidRPr="00DF2A5E">
        <w:rPr>
          <w:vertAlign w:val="subscript"/>
        </w:rPr>
        <w:t>10</w:t>
      </w:r>
      <w:r>
        <w:t xml:space="preserve"> discharged from a motor vehicle, industry or domestic fire is considered to be the same. </w:t>
      </w:r>
    </w:p>
    <w:p w14:paraId="69B945AC" w14:textId="77777777" w:rsidR="002E1D2A" w:rsidRPr="008E7552" w:rsidRDefault="002E1D2A" w:rsidP="002E1D2A">
      <w:pPr>
        <w:pStyle w:val="Heading4"/>
      </w:pPr>
      <w:r w:rsidRPr="008E7552">
        <w:t xml:space="preserve">Who </w:t>
      </w:r>
      <w:r>
        <w:t>implements</w:t>
      </w:r>
      <w:r w:rsidRPr="008E7552">
        <w:t xml:space="preserve"> offset</w:t>
      </w:r>
      <w:r>
        <w:t>s</w:t>
      </w:r>
      <w:r w:rsidRPr="008E7552">
        <w:t>?</w:t>
      </w:r>
    </w:p>
    <w:p w14:paraId="03B2C99B" w14:textId="77777777" w:rsidR="002E1D2A" w:rsidRDefault="002E1D2A" w:rsidP="002E1D2A">
      <w:r w:rsidRPr="008E7552">
        <w:t>Carrying out the offsets (eg, replacing old domestic fires with other forms of heating) may be undertaken by any party. This could be the consent holder</w:t>
      </w:r>
      <w:r>
        <w:t>,</w:t>
      </w:r>
      <w:r w:rsidRPr="008E7552">
        <w:t xml:space="preserve"> the regional council or a third party.  </w:t>
      </w:r>
    </w:p>
    <w:p w14:paraId="7CECE4EB" w14:textId="77777777" w:rsidR="002E1D2A" w:rsidRDefault="002E1D2A" w:rsidP="002E1D2A"/>
    <w:p w14:paraId="2717129E" w14:textId="77777777" w:rsidR="002E1D2A" w:rsidRDefault="002E1D2A" w:rsidP="002E1D2A">
      <w:r w:rsidRPr="008E7552">
        <w:t>What is important</w:t>
      </w:r>
      <w:r>
        <w:t xml:space="preserve"> when implementing any offset programme</w:t>
      </w:r>
      <w:r w:rsidRPr="008E7552">
        <w:t xml:space="preserve"> is that a detailed register is kept of the offset process detailing what has been done to date, the effect this has on the annual requirement for PM</w:t>
      </w:r>
      <w:r w:rsidRPr="008E7552">
        <w:rPr>
          <w:vertAlign w:val="subscript"/>
        </w:rPr>
        <w:t>10</w:t>
      </w:r>
      <w:r w:rsidRPr="008E7552">
        <w:t xml:space="preserve"> removal given in the consent conditio</w:t>
      </w:r>
      <w:r w:rsidR="00211678">
        <w:t>ns and what has yet to be done.</w:t>
      </w:r>
      <w:r w:rsidRPr="008E7552">
        <w:t xml:space="preserve"> This register will be</w:t>
      </w:r>
      <w:r>
        <w:t xml:space="preserve"> critical in determining compliance for the consent holder with their consent conditions and in calculating how much PM</w:t>
      </w:r>
      <w:r w:rsidRPr="008E7552">
        <w:rPr>
          <w:vertAlign w:val="subscript"/>
        </w:rPr>
        <w:t>10</w:t>
      </w:r>
      <w:r>
        <w:t xml:space="preserve"> has been removed from an airshed.</w:t>
      </w:r>
    </w:p>
    <w:p w14:paraId="3B320BFE" w14:textId="77777777" w:rsidR="002E1D2A" w:rsidRPr="00871718" w:rsidRDefault="002E1D2A" w:rsidP="002E1D2A">
      <w:r w:rsidRPr="00871718">
        <w:t xml:space="preserve">Councils will need to work with activities that require consents </w:t>
      </w:r>
      <w:r>
        <w:t xml:space="preserve">for significant discharges </w:t>
      </w:r>
      <w:r w:rsidRPr="00871718">
        <w:t xml:space="preserve">to discuss ways in which offsets can be achieved. For example, a </w:t>
      </w:r>
      <w:r w:rsidR="00211678">
        <w:t>c</w:t>
      </w:r>
      <w:r w:rsidR="00211678" w:rsidRPr="00871718">
        <w:t xml:space="preserve">ouncil </w:t>
      </w:r>
      <w:r w:rsidRPr="00871718">
        <w:t xml:space="preserve">may wish to calculate the number of domestic fires that would need to be removed from the airshed to offset the emissions from the new </w:t>
      </w:r>
      <w:r>
        <w:t>activity</w:t>
      </w:r>
      <w:r w:rsidRPr="00871718">
        <w:t xml:space="preserve">. The </w:t>
      </w:r>
      <w:r w:rsidR="00211678">
        <w:t>c</w:t>
      </w:r>
      <w:r w:rsidR="00211678" w:rsidRPr="00871718">
        <w:t xml:space="preserve">ouncil </w:t>
      </w:r>
      <w:r w:rsidRPr="00871718">
        <w:t xml:space="preserve">may require the applicant to work on the scheme, or it may wish to calculate how much the applicant might pay to them annually to provide the necessary funds for the </w:t>
      </w:r>
      <w:r w:rsidR="00211678">
        <w:t>c</w:t>
      </w:r>
      <w:r w:rsidR="00211678" w:rsidRPr="00871718">
        <w:t xml:space="preserve">ouncil </w:t>
      </w:r>
      <w:r w:rsidRPr="00871718">
        <w:t>itself to offer a grant scheme to achieve the necessary offsets.</w:t>
      </w:r>
    </w:p>
    <w:p w14:paraId="0A02EBE3" w14:textId="77777777" w:rsidR="002E1D2A" w:rsidRDefault="002E1D2A" w:rsidP="002E1D2A">
      <w:pPr>
        <w:rPr>
          <w:highlight w:val="magenta"/>
        </w:rPr>
      </w:pPr>
    </w:p>
    <w:p w14:paraId="2D202A6C" w14:textId="77777777" w:rsidR="002E1D2A" w:rsidRDefault="002E1D2A" w:rsidP="002E1D2A">
      <w:pPr>
        <w:shd w:val="clear" w:color="auto" w:fill="D9D9D9"/>
      </w:pPr>
      <w:r w:rsidRPr="006B477B">
        <w:t xml:space="preserve">Careful attention to detail will be required when drafting resource consent conditions with </w:t>
      </w:r>
      <w:r w:rsidR="00AD6FD6">
        <w:t xml:space="preserve">for </w:t>
      </w:r>
      <w:r w:rsidRPr="006B477B">
        <w:t xml:space="preserve">offsets. To help councils, example </w:t>
      </w:r>
      <w:r>
        <w:t xml:space="preserve">subject matter for </w:t>
      </w:r>
      <w:r w:rsidRPr="006B477B">
        <w:t xml:space="preserve">consent conditions </w:t>
      </w:r>
      <w:r>
        <w:t>is</w:t>
      </w:r>
      <w:r w:rsidRPr="006B477B">
        <w:t xml:space="preserve"> given in Appendix 5. </w:t>
      </w:r>
    </w:p>
    <w:p w14:paraId="46084B99" w14:textId="77777777" w:rsidR="002E1D2A" w:rsidRDefault="002E1D2A" w:rsidP="002E1D2A">
      <w:pPr>
        <w:pStyle w:val="BodyText"/>
      </w:pPr>
    </w:p>
    <w:p w14:paraId="474908AB" w14:textId="77777777" w:rsidR="00F31C01" w:rsidRDefault="00F31C01" w:rsidP="00F31C01">
      <w:pPr>
        <w:pStyle w:val="Heading2"/>
      </w:pPr>
      <w:bookmarkStart w:id="129" w:name="_Toc300856619"/>
      <w:r>
        <w:t>4</w:t>
      </w:r>
      <w:r w:rsidRPr="00234369">
        <w:t>.</w:t>
      </w:r>
      <w:r>
        <w:t>1</w:t>
      </w:r>
      <w:r w:rsidR="00A43A4A">
        <w:t>1</w:t>
      </w:r>
      <w:r w:rsidRPr="00234369">
        <w:tab/>
      </w:r>
      <w:r>
        <w:t>Impacts on regulatory documents</w:t>
      </w:r>
      <w:bookmarkEnd w:id="129"/>
    </w:p>
    <w:p w14:paraId="57DE6B06" w14:textId="77777777" w:rsidR="00F31C01" w:rsidRPr="00690721" w:rsidRDefault="00F31C01" w:rsidP="00F31C01">
      <w:r>
        <w:t xml:space="preserve">The Regulations are mandatory under the RMA.  </w:t>
      </w:r>
      <w:r w:rsidRPr="00690721">
        <w:t>Notwithstanding the constraints upon resource consent decisions</w:t>
      </w:r>
      <w:r>
        <w:t xml:space="preserve"> discussed in section 4.</w:t>
      </w:r>
      <w:r w:rsidR="006A15F6">
        <w:t>10</w:t>
      </w:r>
      <w:r w:rsidRPr="00690721">
        <w:t>, the ambient</w:t>
      </w:r>
      <w:r>
        <w:t xml:space="preserve"> PM</w:t>
      </w:r>
      <w:r w:rsidRPr="00F31C01">
        <w:rPr>
          <w:vertAlign w:val="subscript"/>
        </w:rPr>
        <w:t>10</w:t>
      </w:r>
      <w:r w:rsidRPr="00690721">
        <w:t xml:space="preserve"> standards impact on </w:t>
      </w:r>
      <w:r w:rsidRPr="00765ADA">
        <w:t>all</w:t>
      </w:r>
      <w:r w:rsidRPr="00690721">
        <w:t xml:space="preserve"> decisions that relate to a</w:t>
      </w:r>
      <w:r w:rsidR="00E27A52">
        <w:t>ir quality made under the RMA.</w:t>
      </w:r>
    </w:p>
    <w:p w14:paraId="0ABCBC65" w14:textId="77777777" w:rsidR="00F31C01" w:rsidRDefault="00F31C01" w:rsidP="00F31C01"/>
    <w:p w14:paraId="059421CC" w14:textId="77777777" w:rsidR="00F31C01" w:rsidRPr="00690721" w:rsidRDefault="00F31C01" w:rsidP="00F31C01">
      <w:r w:rsidRPr="00690721">
        <w:t>For example, a regional council may currently permit a range of activities (</w:t>
      </w:r>
      <w:r>
        <w:t>eg</w:t>
      </w:r>
      <w:r w:rsidR="006A15F6">
        <w:t>,</w:t>
      </w:r>
      <w:r>
        <w:t xml:space="preserve"> coal-</w:t>
      </w:r>
      <w:r w:rsidRPr="00690721">
        <w:t>fired boilers under 5 MW i</w:t>
      </w:r>
      <w:r w:rsidR="00E27A52">
        <w:t>n size) in their regional plan.</w:t>
      </w:r>
      <w:r w:rsidRPr="00690721">
        <w:t xml:space="preserve"> These activities may cumulatively be making a significant contribution to exceedances of the ambient </w:t>
      </w:r>
      <w:r>
        <w:t>PM</w:t>
      </w:r>
      <w:r w:rsidRPr="00E14216">
        <w:rPr>
          <w:vertAlign w:val="subscript"/>
        </w:rPr>
        <w:t>10</w:t>
      </w:r>
      <w:r>
        <w:rPr>
          <w:vertAlign w:val="subscript"/>
        </w:rPr>
        <w:t xml:space="preserve"> </w:t>
      </w:r>
      <w:r w:rsidR="00E27A52">
        <w:t>standard.</w:t>
      </w:r>
      <w:r w:rsidRPr="00690721">
        <w:t xml:space="preserve"> If so, the regional council </w:t>
      </w:r>
      <w:r>
        <w:t>should</w:t>
      </w:r>
      <w:r w:rsidRPr="00690721">
        <w:t xml:space="preserve"> review their regional plan.</w:t>
      </w:r>
    </w:p>
    <w:p w14:paraId="1EE13DF1" w14:textId="77777777" w:rsidR="00F31C01" w:rsidRDefault="00F31C01" w:rsidP="00F31C01"/>
    <w:p w14:paraId="42120E2F" w14:textId="77777777" w:rsidR="00F31C01" w:rsidRDefault="00F31C01" w:rsidP="00F31C01">
      <w:r w:rsidRPr="00690721">
        <w:t xml:space="preserve">Application of the </w:t>
      </w:r>
      <w:r>
        <w:t>Regulation</w:t>
      </w:r>
      <w:r w:rsidRPr="00690721">
        <w:t>s with respect to regional plans</w:t>
      </w:r>
      <w:r w:rsidR="0063581E">
        <w:t>,</w:t>
      </w:r>
      <w:r>
        <w:t xml:space="preserve"> </w:t>
      </w:r>
      <w:r w:rsidRPr="00690721">
        <w:t xml:space="preserve">designations </w:t>
      </w:r>
      <w:r w:rsidR="0063581E">
        <w:t xml:space="preserve">and bylaws </w:t>
      </w:r>
      <w:r w:rsidRPr="00690721">
        <w:t>are discussed in more detail below.</w:t>
      </w:r>
      <w:r w:rsidRPr="00F31C01">
        <w:t xml:space="preserve"> </w:t>
      </w:r>
      <w:r>
        <w:t>R</w:t>
      </w:r>
      <w:r w:rsidRPr="00690721">
        <w:t>esource consents (both existing and new)</w:t>
      </w:r>
      <w:r>
        <w:t xml:space="preserve"> are discussed in section 4.</w:t>
      </w:r>
      <w:r w:rsidR="00CA7F2B">
        <w:t>10.</w:t>
      </w:r>
    </w:p>
    <w:p w14:paraId="49B6ED6D" w14:textId="77777777" w:rsidR="00F31C01" w:rsidRDefault="00BB7726" w:rsidP="00F31C01">
      <w:pPr>
        <w:pStyle w:val="Heading3"/>
      </w:pPr>
      <w:r>
        <w:t>4</w:t>
      </w:r>
      <w:r w:rsidR="00A43A4A">
        <w:t>.11</w:t>
      </w:r>
      <w:r w:rsidR="00F31C01">
        <w:t>.1</w:t>
      </w:r>
      <w:r w:rsidR="00F31C01">
        <w:tab/>
      </w:r>
      <w:r w:rsidR="008221B3">
        <w:t xml:space="preserve"> </w:t>
      </w:r>
      <w:r w:rsidR="00F31C01">
        <w:t>Regional plans</w:t>
      </w:r>
    </w:p>
    <w:p w14:paraId="09BF4BF6" w14:textId="77777777" w:rsidR="00F31C01" w:rsidRDefault="00F31C01" w:rsidP="00F31C01">
      <w:r>
        <w:t xml:space="preserve">The Regulations are mandatory under the RMA.  They automatically supersede any relevant regional plan rules (unless the local government controls are stricter). </w:t>
      </w:r>
    </w:p>
    <w:p w14:paraId="0AD1DC49" w14:textId="77777777" w:rsidR="00F31C01" w:rsidRDefault="00F31C01" w:rsidP="00F31C01"/>
    <w:p w14:paraId="2FFC8DAC" w14:textId="77777777" w:rsidR="00F31C01" w:rsidRDefault="00F31C01" w:rsidP="00F31C01">
      <w:r>
        <w:t xml:space="preserve">As a result of the 2009 amendments to the RMA, section 44A(5) of the RMA requires that regional councils </w:t>
      </w:r>
      <w:r w:rsidRPr="0007677F">
        <w:rPr>
          <w:b/>
        </w:rPr>
        <w:t>must</w:t>
      </w:r>
      <w:r>
        <w:t xml:space="preserve"> remove regional plan rules that are more lenient</w:t>
      </w:r>
      <w:r w:rsidR="00E32264">
        <w:t xml:space="preserve"> tha</w:t>
      </w:r>
      <w:r w:rsidR="002B79CF">
        <w:t>n, or conflict with,</w:t>
      </w:r>
      <w:r>
        <w:t xml:space="preserve"> the national environmen</w:t>
      </w:r>
      <w:r w:rsidR="00022E1E">
        <w:t xml:space="preserve">tal standards for air quality. </w:t>
      </w:r>
      <w:r>
        <w:t>A regional plan cannot allow resource consent for an activity that discharges PM</w:t>
      </w:r>
      <w:r w:rsidRPr="00F31C01">
        <w:rPr>
          <w:vertAlign w:val="subscript"/>
        </w:rPr>
        <w:t>10</w:t>
      </w:r>
      <w:r>
        <w:t xml:space="preserve"> that is less stringent than, or co</w:t>
      </w:r>
      <w:r w:rsidR="00022E1E">
        <w:t xml:space="preserve">nflicts with, the Regulations. </w:t>
      </w:r>
      <w:r>
        <w:t xml:space="preserve">Removal of the rule/s </w:t>
      </w:r>
      <w:r w:rsidR="00712B21">
        <w:t xml:space="preserve">may </w:t>
      </w:r>
      <w:r>
        <w:t xml:space="preserve">be carried out without using </w:t>
      </w:r>
      <w:r w:rsidR="00712B21">
        <w:t>the detailed</w:t>
      </w:r>
      <w:r w:rsidR="00826C79">
        <w:t xml:space="preserve"> processes for plan changes </w:t>
      </w:r>
      <w:r w:rsidR="00712B21">
        <w:t>normally required by</w:t>
      </w:r>
      <w:r w:rsidR="00826C79">
        <w:t xml:space="preserve"> Schedule 1 of the RMA </w:t>
      </w:r>
      <w:r>
        <w:t xml:space="preserve">and must be done as soon as practicable.  </w:t>
      </w:r>
    </w:p>
    <w:p w14:paraId="06D3DF52" w14:textId="77777777" w:rsidR="00F31C01" w:rsidRDefault="00F31C01" w:rsidP="00F31C01"/>
    <w:p w14:paraId="092B0C7B" w14:textId="77777777" w:rsidR="00F31C01" w:rsidRDefault="00F31C01" w:rsidP="00F31C01">
      <w:r>
        <w:t>Regulation 28 allows for more stringent rules, resource consents or bylaws than the Regulations (this include</w:t>
      </w:r>
      <w:r w:rsidR="00022E1E">
        <w:t xml:space="preserve">s Regulations 13, 16B and 17). </w:t>
      </w:r>
      <w:r>
        <w:t>For example, this means:</w:t>
      </w:r>
    </w:p>
    <w:p w14:paraId="538A8D4B" w14:textId="77777777" w:rsidR="00F31C01" w:rsidRDefault="00F31C01" w:rsidP="00952E2A">
      <w:pPr>
        <w:pStyle w:val="Bullet"/>
        <w:numPr>
          <w:ilvl w:val="0"/>
          <w:numId w:val="14"/>
        </w:numPr>
        <w:ind w:left="357" w:hanging="357"/>
      </w:pPr>
      <w:r>
        <w:t>regional plans can have tighter ambient PM</w:t>
      </w:r>
      <w:r w:rsidRPr="00F31C01">
        <w:rPr>
          <w:vertAlign w:val="subscript"/>
        </w:rPr>
        <w:t>10</w:t>
      </w:r>
      <w:r>
        <w:t xml:space="preserve"> standards for ambient pollutants (either lower concentration levels or </w:t>
      </w:r>
      <w:r w:rsidR="006A15F6">
        <w:t>fewer</w:t>
      </w:r>
      <w:r w:rsidR="008D4735">
        <w:t xml:space="preserve"> permissible exceedances</w:t>
      </w:r>
      <w:r>
        <w:t>)</w:t>
      </w:r>
    </w:p>
    <w:p w14:paraId="055B6272" w14:textId="77777777" w:rsidR="003901C3" w:rsidRDefault="003901C3" w:rsidP="00952E2A">
      <w:pPr>
        <w:pStyle w:val="Bullet"/>
        <w:numPr>
          <w:ilvl w:val="0"/>
          <w:numId w:val="14"/>
        </w:numPr>
        <w:ind w:left="357" w:hanging="357"/>
      </w:pPr>
      <w:r>
        <w:t xml:space="preserve">regional plans </w:t>
      </w:r>
      <w:r w:rsidR="008D4735">
        <w:t xml:space="preserve">can have earlier compliance dates than the split target dates specified in the Regulations </w:t>
      </w:r>
    </w:p>
    <w:p w14:paraId="1DDC6DFB" w14:textId="77777777" w:rsidR="005F2012" w:rsidRDefault="005F2012" w:rsidP="00952E2A">
      <w:pPr>
        <w:pStyle w:val="Bullet"/>
        <w:numPr>
          <w:ilvl w:val="0"/>
          <w:numId w:val="14"/>
        </w:numPr>
        <w:ind w:left="357" w:hanging="357"/>
      </w:pPr>
      <w:r>
        <w:t>regional plans could specify assessment criteria for implementing PM</w:t>
      </w:r>
      <w:r w:rsidRPr="005F2012">
        <w:rPr>
          <w:vertAlign w:val="subscript"/>
        </w:rPr>
        <w:t>10</w:t>
      </w:r>
      <w:r>
        <w:t xml:space="preserve"> offsets</w:t>
      </w:r>
    </w:p>
    <w:p w14:paraId="2C74035C" w14:textId="77777777" w:rsidR="00F31C01" w:rsidRDefault="00F31C01" w:rsidP="00726A4C">
      <w:pPr>
        <w:pStyle w:val="Bullet"/>
        <w:numPr>
          <w:ilvl w:val="0"/>
          <w:numId w:val="14"/>
        </w:numPr>
      </w:pPr>
      <w:r>
        <w:t xml:space="preserve">regional plans could require offsets for </w:t>
      </w:r>
      <w:r w:rsidR="008D4735" w:rsidRPr="008D4735">
        <w:rPr>
          <w:b/>
        </w:rPr>
        <w:t>all</w:t>
      </w:r>
      <w:r w:rsidR="008D4735">
        <w:t xml:space="preserve"> </w:t>
      </w:r>
      <w:r>
        <w:t xml:space="preserve">existing industries upon renewal of their resource consent.  </w:t>
      </w:r>
    </w:p>
    <w:p w14:paraId="79B1BDB4" w14:textId="77777777" w:rsidR="00F31C01" w:rsidRPr="003732DD" w:rsidRDefault="00F31C01" w:rsidP="00F31C01"/>
    <w:p w14:paraId="32C7A810" w14:textId="77777777" w:rsidR="00F31C01" w:rsidRPr="003732DD" w:rsidRDefault="00F31C01" w:rsidP="00F31C01">
      <w:r w:rsidRPr="003732DD">
        <w:t>This policy advice is true only for the national environmental standards for air quality.  Other national environmental standards will have a different relationship with regional plans.</w:t>
      </w:r>
    </w:p>
    <w:p w14:paraId="30874973" w14:textId="77777777" w:rsidR="00F31C01" w:rsidRPr="00234369" w:rsidRDefault="00BB7726" w:rsidP="00F31C01">
      <w:pPr>
        <w:pStyle w:val="Heading3"/>
      </w:pPr>
      <w:r>
        <w:t>4</w:t>
      </w:r>
      <w:r w:rsidR="00F31C01" w:rsidRPr="00234369">
        <w:t>.</w:t>
      </w:r>
      <w:r w:rsidR="00A43A4A">
        <w:t>11</w:t>
      </w:r>
      <w:r w:rsidR="00F31C01" w:rsidRPr="00234369">
        <w:t>.2</w:t>
      </w:r>
      <w:r w:rsidR="00F31C01" w:rsidRPr="00234369">
        <w:tab/>
      </w:r>
      <w:r w:rsidR="008221B3">
        <w:t xml:space="preserve"> </w:t>
      </w:r>
      <w:r w:rsidR="00F31C01" w:rsidRPr="00234369">
        <w:t>Designations</w:t>
      </w:r>
    </w:p>
    <w:p w14:paraId="5119A03C" w14:textId="77777777" w:rsidR="008D4735" w:rsidRDefault="008D4735" w:rsidP="008D4735">
      <w:r w:rsidRPr="00690721">
        <w:t>A designation is a provision in a district plan which provides notice to the community of an intention by a requiring authority (</w:t>
      </w:r>
      <w:r>
        <w:t xml:space="preserve">eg, </w:t>
      </w:r>
      <w:r w:rsidRPr="00690721">
        <w:t>a road controlling authority) to use land in the future for a particular project (</w:t>
      </w:r>
      <w:r>
        <w:t xml:space="preserve">eg, </w:t>
      </w:r>
      <w:r w:rsidR="00A503F6">
        <w:t>road or airport</w:t>
      </w:r>
      <w:r w:rsidR="00022E1E">
        <w:t xml:space="preserve">). </w:t>
      </w:r>
      <w:r w:rsidRPr="00690721">
        <w:t xml:space="preserve">Once a site is designated for a particular purpose, the requiring authority is able to proceed with the specific work on the site as if it were permitted by the district plan.  </w:t>
      </w:r>
    </w:p>
    <w:p w14:paraId="5F25075F" w14:textId="77777777" w:rsidR="008D4735" w:rsidRDefault="008D4735" w:rsidP="008D4735"/>
    <w:p w14:paraId="2A989EBB" w14:textId="77777777" w:rsidR="008D4735" w:rsidRPr="00690721" w:rsidRDefault="008D4735" w:rsidP="008D4735">
      <w:r w:rsidRPr="00690721">
        <w:t>The Regulations do not apply to designations</w:t>
      </w:r>
      <w:r>
        <w:t xml:space="preserve"> that </w:t>
      </w:r>
      <w:r w:rsidRPr="00690721">
        <w:t>exist</w:t>
      </w:r>
      <w:r>
        <w:t>ed at 1 September 2005 (ie</w:t>
      </w:r>
      <w:r w:rsidR="006A15F6">
        <w:t>,</w:t>
      </w:r>
      <w:r>
        <w:t xml:space="preserve"> when the ambient standards came into force)</w:t>
      </w:r>
      <w:r w:rsidRPr="00690721">
        <w:t>.</w:t>
      </w:r>
    </w:p>
    <w:p w14:paraId="3C0E2FE5" w14:textId="77777777" w:rsidR="008D4735" w:rsidRDefault="008D4735" w:rsidP="008D4735"/>
    <w:p w14:paraId="0750345E" w14:textId="77777777" w:rsidR="008D4735" w:rsidRDefault="008D4735" w:rsidP="008D4735">
      <w:r w:rsidRPr="00690721">
        <w:t xml:space="preserve">For designations after 1 September 2005, territorial authorities and/or requiring authorities </w:t>
      </w:r>
      <w:r>
        <w:t>must</w:t>
      </w:r>
      <w:r w:rsidRPr="00690721">
        <w:t xml:space="preserve"> consider the </w:t>
      </w:r>
      <w:r>
        <w:t xml:space="preserve">Regulations </w:t>
      </w:r>
      <w:r w:rsidRPr="00690721">
        <w:t>when weighing up whether new designations, or alterations to existing designations, meet the purposes of the RMA (</w:t>
      </w:r>
      <w:r>
        <w:t xml:space="preserve">eg, </w:t>
      </w:r>
      <w:r w:rsidRPr="00690721">
        <w:t>safeguarding the lif</w:t>
      </w:r>
      <w:r w:rsidR="00022E1E">
        <w:t xml:space="preserve">e-supporting capacity of air). </w:t>
      </w:r>
      <w:r>
        <w:t>This is particularly important for new roads as roads can have significant impacts on ambient pollutant level</w:t>
      </w:r>
      <w:r w:rsidR="00022E1E">
        <w:t>s both locally and regionally.</w:t>
      </w:r>
    </w:p>
    <w:p w14:paraId="2AF5BB43" w14:textId="77777777" w:rsidR="008D4735" w:rsidRDefault="008D4735" w:rsidP="008D4735"/>
    <w:p w14:paraId="301DCD43" w14:textId="77777777" w:rsidR="008D4735" w:rsidRPr="00690721" w:rsidRDefault="008D4735" w:rsidP="008D4735">
      <w:r w:rsidRPr="00690721">
        <w:t>Territorial authorities will need to take into account the potential impacts of a new design</w:t>
      </w:r>
      <w:r>
        <w:t>ation on air quality in the airshed</w:t>
      </w:r>
      <w:r w:rsidRPr="00690721">
        <w:t xml:space="preserve"> and the subsequent impact upon the ability to issue future resource consents within that air</w:t>
      </w:r>
      <w:r>
        <w:t>shed</w:t>
      </w:r>
      <w:r w:rsidRPr="00690721">
        <w:t>.</w:t>
      </w:r>
    </w:p>
    <w:p w14:paraId="0258479B" w14:textId="77777777" w:rsidR="008D4735" w:rsidRDefault="008D4735" w:rsidP="008D4735"/>
    <w:p w14:paraId="0FBFA4A2" w14:textId="77777777" w:rsidR="008D4735" w:rsidRDefault="008D4735" w:rsidP="008D4735">
      <w:r w:rsidRPr="00690721">
        <w:t xml:space="preserve">Additional guidance for territorial authorities and regional councils </w:t>
      </w:r>
      <w:r>
        <w:t>is</w:t>
      </w:r>
      <w:r w:rsidRPr="00690721">
        <w:t xml:space="preserve"> provided on assessing discharges from transport with respect to the ambient standards</w:t>
      </w:r>
      <w:r w:rsidRPr="009236A0">
        <w:t xml:space="preserve"> </w:t>
      </w:r>
      <w:r>
        <w:t xml:space="preserve">in the </w:t>
      </w:r>
      <w:r w:rsidRPr="006A15F6">
        <w:t xml:space="preserve">Good Practice Guide for Assessing Discharges to Air from Land Transport </w:t>
      </w:r>
      <w:r w:rsidRPr="00D716F1">
        <w:t>(</w:t>
      </w:r>
      <w:r w:rsidRPr="006A15F6">
        <w:t>MfE, 2008b</w:t>
      </w:r>
      <w:r w:rsidRPr="00D716F1">
        <w:t>).</w:t>
      </w:r>
      <w:r>
        <w:t xml:space="preserve"> The good practice guide can be downloaded from the following Ministry for the Environment website</w:t>
      </w:r>
      <w:r w:rsidR="006A15F6">
        <w:t xml:space="preserve"> at</w:t>
      </w:r>
      <w:r>
        <w:t xml:space="preserve"> </w:t>
      </w:r>
      <w:hyperlink r:id="rId40" w:history="1">
        <w:r w:rsidRPr="006A15F6">
          <w:rPr>
            <w:rStyle w:val="Hyperlink"/>
            <w:color w:val="auto"/>
          </w:rPr>
          <w:t>www.mfe.govt.nz</w:t>
        </w:r>
      </w:hyperlink>
      <w:r w:rsidRPr="006A15F6">
        <w:t>.</w:t>
      </w:r>
    </w:p>
    <w:p w14:paraId="461B8B7B" w14:textId="77777777" w:rsidR="0063581E" w:rsidRPr="007F504E" w:rsidRDefault="00BB7726" w:rsidP="0063581E">
      <w:pPr>
        <w:pStyle w:val="Heading3"/>
      </w:pPr>
      <w:r>
        <w:t>4</w:t>
      </w:r>
      <w:r w:rsidR="00A43A4A">
        <w:t>.11</w:t>
      </w:r>
      <w:r w:rsidR="0063581E" w:rsidRPr="007F504E">
        <w:t>.3</w:t>
      </w:r>
      <w:r w:rsidR="0063581E" w:rsidRPr="007F504E">
        <w:tab/>
      </w:r>
      <w:r w:rsidR="008221B3">
        <w:t xml:space="preserve"> </w:t>
      </w:r>
      <w:r w:rsidR="0063581E" w:rsidRPr="007F504E">
        <w:t>Bylaws</w:t>
      </w:r>
    </w:p>
    <w:p w14:paraId="29C2DA1B" w14:textId="77777777" w:rsidR="008D4735" w:rsidRDefault="008D4735" w:rsidP="00BB7726">
      <w:pPr>
        <w:pStyle w:val="BodyText"/>
      </w:pPr>
      <w:r>
        <w:t xml:space="preserve">Regional councils and unitary authorities are the agencies primarily responsible for air quality management </w:t>
      </w:r>
      <w:r w:rsidR="00025A36">
        <w:t>under the RMA</w:t>
      </w:r>
      <w:r w:rsidR="00E27A52">
        <w:t>.</w:t>
      </w:r>
      <w:r w:rsidR="00025A36">
        <w:t xml:space="preserve"> However, </w:t>
      </w:r>
      <w:r w:rsidR="007F504E">
        <w:t>territorial authorities</w:t>
      </w:r>
      <w:r w:rsidR="00025A36">
        <w:t xml:space="preserve"> </w:t>
      </w:r>
      <w:r>
        <w:t>are also tasked with the requirements to observe the Regulations and to enforce observance to the extent that their powers enable them to do so.</w:t>
      </w:r>
    </w:p>
    <w:p w14:paraId="33361148" w14:textId="77777777" w:rsidR="008D4735" w:rsidRDefault="008D4735" w:rsidP="00BB7726">
      <w:pPr>
        <w:pStyle w:val="BodyText"/>
      </w:pPr>
    </w:p>
    <w:p w14:paraId="3C41B7F8" w14:textId="77777777" w:rsidR="00025A36" w:rsidRDefault="008D4735" w:rsidP="00BB7726">
      <w:pPr>
        <w:pStyle w:val="BodyText"/>
      </w:pPr>
      <w:r>
        <w:t>Importantly, territorial authorities have the ability to</w:t>
      </w:r>
      <w:r w:rsidR="00025A36">
        <w:t xml:space="preserve"> make bylaws under </w:t>
      </w:r>
      <w:r w:rsidR="00BB7726">
        <w:t xml:space="preserve">section 145(b) of </w:t>
      </w:r>
      <w:r w:rsidR="00025A36">
        <w:t xml:space="preserve">the </w:t>
      </w:r>
      <w:r w:rsidR="00BB7726">
        <w:t xml:space="preserve">LGA. </w:t>
      </w:r>
      <w:r w:rsidR="00025A36">
        <w:t xml:space="preserve">This could include bylaws </w:t>
      </w:r>
      <w:r w:rsidR="00BB7726">
        <w:t>in relation to discharges of PM</w:t>
      </w:r>
      <w:r w:rsidR="00BB7726" w:rsidRPr="00BB7726">
        <w:rPr>
          <w:vertAlign w:val="subscript"/>
        </w:rPr>
        <w:t>10</w:t>
      </w:r>
      <w:r w:rsidR="00025A36">
        <w:t>.</w:t>
      </w:r>
      <w:r w:rsidR="00E27A52">
        <w:t xml:space="preserve"> </w:t>
      </w:r>
      <w:r w:rsidR="007F504E">
        <w:t>Regulation 28 allows for bylaws to be more s</w:t>
      </w:r>
      <w:r w:rsidR="00E27A52">
        <w:t xml:space="preserve">tringent than the Regulations. </w:t>
      </w:r>
      <w:r w:rsidR="00BB7726">
        <w:t>An example of a domestic fire bylaw is discussed in section 5.</w:t>
      </w:r>
      <w:r w:rsidR="00BB7726" w:rsidRPr="006A15F6">
        <w:t>4.1.</w:t>
      </w:r>
    </w:p>
    <w:p w14:paraId="403B8381" w14:textId="77777777" w:rsidR="00025A36" w:rsidRDefault="00025A36" w:rsidP="007F504E">
      <w:pPr>
        <w:shd w:val="clear" w:color="auto" w:fill="FFFFFF"/>
      </w:pPr>
    </w:p>
    <w:p w14:paraId="4630C09B" w14:textId="77777777" w:rsidR="00025A36" w:rsidRDefault="00025A36" w:rsidP="007F504E">
      <w:pPr>
        <w:pStyle w:val="BodyText"/>
        <w:shd w:val="clear" w:color="auto" w:fill="FFFFFF"/>
      </w:pPr>
      <w:r w:rsidRPr="007F504E">
        <w:t xml:space="preserve">A good working relationship between the regional councils and </w:t>
      </w:r>
      <w:r w:rsidR="007F504E" w:rsidRPr="007F504E">
        <w:t>territorial authorities</w:t>
      </w:r>
      <w:r w:rsidRPr="007F504E">
        <w:t xml:space="preserve"> can significantly assist in addressing air quality issues and meeting the national air quality standards effectively and efficiently.</w:t>
      </w:r>
    </w:p>
    <w:p w14:paraId="5759E4DB" w14:textId="77777777" w:rsidR="00001D99" w:rsidRPr="007F504E" w:rsidRDefault="00001D99" w:rsidP="007F504E">
      <w:pPr>
        <w:pStyle w:val="BodyText"/>
        <w:shd w:val="clear" w:color="auto" w:fill="FFFFFF"/>
      </w:pPr>
    </w:p>
    <w:p w14:paraId="2EAD8AA3" w14:textId="77777777" w:rsidR="00056475" w:rsidRDefault="00A43A4A" w:rsidP="00056475">
      <w:pPr>
        <w:pStyle w:val="Heading2"/>
      </w:pPr>
      <w:bookmarkStart w:id="130" w:name="_Toc300856620"/>
      <w:r>
        <w:t>4.12</w:t>
      </w:r>
      <w:r w:rsidR="00056475">
        <w:tab/>
      </w:r>
      <w:r w:rsidR="00334C7B">
        <w:t xml:space="preserve">Implementing the </w:t>
      </w:r>
      <w:r w:rsidR="00084185">
        <w:t xml:space="preserve">ambient </w:t>
      </w:r>
      <w:r w:rsidR="00334C7B">
        <w:t>PM</w:t>
      </w:r>
      <w:r w:rsidR="00334C7B" w:rsidRPr="00334C7B">
        <w:rPr>
          <w:vertAlign w:val="subscript"/>
        </w:rPr>
        <w:t>10</w:t>
      </w:r>
      <w:r w:rsidR="00334C7B">
        <w:t xml:space="preserve"> standard</w:t>
      </w:r>
      <w:bookmarkEnd w:id="130"/>
      <w:r w:rsidR="00334C7B">
        <w:t xml:space="preserve"> </w:t>
      </w:r>
    </w:p>
    <w:p w14:paraId="52AC6A54" w14:textId="77777777" w:rsidR="008D0B78" w:rsidRDefault="00EF2A0A" w:rsidP="008D0B78">
      <w:r>
        <w:t>The Regulations were promulgated in 2004 and have been in fo</w:t>
      </w:r>
      <w:r w:rsidR="00DD46BC">
        <w:t xml:space="preserve">rce since 2005. </w:t>
      </w:r>
      <w:r w:rsidR="00AA7A8D">
        <w:t xml:space="preserve">The </w:t>
      </w:r>
      <w:r w:rsidR="00901716">
        <w:t xml:space="preserve">compliance timetable has been amended to </w:t>
      </w:r>
      <w:r w:rsidR="00AA7A8D">
        <w:t xml:space="preserve">enable split targets which now apply in either 2011, 2016 or 2020 depending on </w:t>
      </w:r>
      <w:r w:rsidR="008D4735">
        <w:t>the state of air quality</w:t>
      </w:r>
      <w:r w:rsidR="00AA7A8D">
        <w:t xml:space="preserve">. However, </w:t>
      </w:r>
      <w:r w:rsidRPr="00901716">
        <w:t>the value of the PM</w:t>
      </w:r>
      <w:r w:rsidRPr="00901716">
        <w:rPr>
          <w:vertAlign w:val="subscript"/>
        </w:rPr>
        <w:t>10</w:t>
      </w:r>
      <w:r w:rsidRPr="00901716">
        <w:t xml:space="preserve"> standard </w:t>
      </w:r>
      <w:r w:rsidR="00901716" w:rsidRPr="00901716">
        <w:t xml:space="preserve">has </w:t>
      </w:r>
      <w:r w:rsidRPr="00901716">
        <w:t>remain</w:t>
      </w:r>
      <w:r w:rsidR="00901716" w:rsidRPr="00901716">
        <w:t>ed</w:t>
      </w:r>
      <w:r w:rsidRPr="00901716">
        <w:t xml:space="preserve"> the same.</w:t>
      </w:r>
      <w:r w:rsidR="00901716">
        <w:t xml:space="preserve"> </w:t>
      </w:r>
      <w:r w:rsidR="00AA7A8D">
        <w:t>Therefore,</w:t>
      </w:r>
      <w:r w:rsidR="00901716">
        <w:t xml:space="preserve"> councils with airsheds which exceed the PM</w:t>
      </w:r>
      <w:r w:rsidR="00901716" w:rsidRPr="00901716">
        <w:rPr>
          <w:vertAlign w:val="subscript"/>
        </w:rPr>
        <w:t>10</w:t>
      </w:r>
      <w:r w:rsidR="00901716">
        <w:t xml:space="preserve"> standard should have </w:t>
      </w:r>
      <w:r w:rsidR="00AA7A8D">
        <w:t xml:space="preserve">begun </w:t>
      </w:r>
      <w:r w:rsidR="00901716">
        <w:t>tak</w:t>
      </w:r>
      <w:r w:rsidR="00AA7A8D">
        <w:t>ing</w:t>
      </w:r>
      <w:r w:rsidR="00901716">
        <w:t xml:space="preserve"> action by now.  </w:t>
      </w:r>
    </w:p>
    <w:p w14:paraId="3B77ED8F" w14:textId="77777777" w:rsidR="00580EF3" w:rsidRDefault="00580EF3" w:rsidP="008D0B78"/>
    <w:p w14:paraId="02E16703" w14:textId="77777777" w:rsidR="00580EF3" w:rsidRDefault="00B80B24" w:rsidP="008D0B78">
      <w:r>
        <w:t>However, c</w:t>
      </w:r>
      <w:r w:rsidR="008D4735">
        <w:t xml:space="preserve">hange takes time. </w:t>
      </w:r>
      <w:r w:rsidR="00580EF3">
        <w:t>It is acknowledged that many airsheds still have a long way to go to achieve compliance with the ambient PM</w:t>
      </w:r>
      <w:r w:rsidR="00580EF3" w:rsidRPr="00580EF3">
        <w:rPr>
          <w:vertAlign w:val="subscript"/>
        </w:rPr>
        <w:t>10</w:t>
      </w:r>
      <w:r w:rsidR="00580EF3">
        <w:t xml:space="preserve"> standard. </w:t>
      </w:r>
    </w:p>
    <w:p w14:paraId="1C398C53" w14:textId="77777777" w:rsidR="00B143DB" w:rsidRDefault="00A43A4A" w:rsidP="00B143DB">
      <w:pPr>
        <w:pStyle w:val="Heading3"/>
      </w:pPr>
      <w:r>
        <w:t>4.12</w:t>
      </w:r>
      <w:r w:rsidR="00B143DB">
        <w:t>.1</w:t>
      </w:r>
      <w:r w:rsidR="00B143DB">
        <w:tab/>
      </w:r>
      <w:r w:rsidR="008221B3">
        <w:t xml:space="preserve"> </w:t>
      </w:r>
      <w:r w:rsidR="00B143DB">
        <w:t>The PM</w:t>
      </w:r>
      <w:r w:rsidR="00B143DB" w:rsidRPr="00076F43">
        <w:rPr>
          <w:vertAlign w:val="subscript"/>
        </w:rPr>
        <w:t>10</w:t>
      </w:r>
      <w:r w:rsidR="00B143DB">
        <w:t xml:space="preserve"> Compliance Strategy</w:t>
      </w:r>
    </w:p>
    <w:p w14:paraId="66C90267" w14:textId="77777777" w:rsidR="00B143DB" w:rsidRDefault="00B143DB" w:rsidP="00B143DB">
      <w:r w:rsidRPr="000F2D74">
        <w:t>M</w:t>
      </w:r>
      <w:r w:rsidR="00596A69">
        <w:t>inistry for the Environment has</w:t>
      </w:r>
      <w:r w:rsidRPr="000F2D74">
        <w:t xml:space="preserve"> produced</w:t>
      </w:r>
      <w:r>
        <w:t xml:space="preserve"> </w:t>
      </w:r>
      <w:r w:rsidRPr="00B65773">
        <w:t>the Clean Healthy Air for All New Zealanders: The National Air Quality Compliance Strategy to Meet the PM</w:t>
      </w:r>
      <w:r w:rsidRPr="00B65773">
        <w:rPr>
          <w:vertAlign w:val="subscript"/>
        </w:rPr>
        <w:t>10</w:t>
      </w:r>
      <w:r w:rsidRPr="00B65773">
        <w:t xml:space="preserve"> Standard (MfE, 2011</w:t>
      </w:r>
      <w:r w:rsidR="00B80B24" w:rsidRPr="00B65773">
        <w:t>e</w:t>
      </w:r>
      <w:r w:rsidRPr="00B65773">
        <w:t>)</w:t>
      </w:r>
      <w:r>
        <w:t xml:space="preserve"> (Compliance Strategy) to </w:t>
      </w:r>
      <w:r w:rsidR="00596A69">
        <w:t>assist councils with</w:t>
      </w:r>
      <w:r>
        <w:t xml:space="preserve"> implement</w:t>
      </w:r>
      <w:r w:rsidR="00596A69">
        <w:t>ing</w:t>
      </w:r>
      <w:r>
        <w:t xml:space="preserve"> the PM</w:t>
      </w:r>
      <w:r w:rsidRPr="000F2D74">
        <w:rPr>
          <w:vertAlign w:val="subscript"/>
        </w:rPr>
        <w:t xml:space="preserve">10 </w:t>
      </w:r>
      <w:r w:rsidR="00596A69">
        <w:t xml:space="preserve">Regulations </w:t>
      </w:r>
      <w:r>
        <w:t>as easily, and quickly, as possi</w:t>
      </w:r>
      <w:r w:rsidR="00E27A52">
        <w:t xml:space="preserve">ble. </w:t>
      </w:r>
      <w:r w:rsidR="00596A69">
        <w:t>The Compliance Strategy is</w:t>
      </w:r>
      <w:r>
        <w:t xml:space="preserve"> the primary implementation instrument for</w:t>
      </w:r>
      <w:r w:rsidR="00596A69">
        <w:t xml:space="preserve"> compliance with</w:t>
      </w:r>
      <w:r>
        <w:t xml:space="preserve"> the ambient PM</w:t>
      </w:r>
      <w:r w:rsidRPr="000F2D74">
        <w:rPr>
          <w:vertAlign w:val="subscript"/>
        </w:rPr>
        <w:t>10</w:t>
      </w:r>
      <w:r>
        <w:t xml:space="preserve"> standard nationally.</w:t>
      </w:r>
    </w:p>
    <w:p w14:paraId="486E0761" w14:textId="77777777" w:rsidR="00B143DB" w:rsidRDefault="00B143DB" w:rsidP="00B143DB"/>
    <w:p w14:paraId="401DE589" w14:textId="77777777" w:rsidR="00B143DB" w:rsidRDefault="00B143DB" w:rsidP="00B143DB">
      <w:pPr>
        <w:pStyle w:val="BodyText"/>
      </w:pPr>
      <w:r w:rsidRPr="00A556FB">
        <w:t>Th</w:t>
      </w:r>
      <w:r>
        <w:t>e</w:t>
      </w:r>
      <w:r w:rsidRPr="00A556FB">
        <w:t xml:space="preserve"> </w:t>
      </w:r>
      <w:r w:rsidRPr="00343F69">
        <w:t>Compliance Strategy</w:t>
      </w:r>
      <w:r w:rsidRPr="00A556FB">
        <w:t xml:space="preserve"> promotes a ‘toolkit’ of graduated responses</w:t>
      </w:r>
      <w:r>
        <w:t xml:space="preserve"> for PM</w:t>
      </w:r>
      <w:r w:rsidRPr="000F2D74">
        <w:rPr>
          <w:vertAlign w:val="subscript"/>
        </w:rPr>
        <w:t>10</w:t>
      </w:r>
      <w:r w:rsidRPr="00A556FB">
        <w:t>, ranging from education, advice</w:t>
      </w:r>
      <w:r>
        <w:t xml:space="preserve">, </w:t>
      </w:r>
      <w:r w:rsidRPr="00A556FB">
        <w:t>reporting</w:t>
      </w:r>
      <w:r w:rsidR="00596A69">
        <w:t xml:space="preserve"> and</w:t>
      </w:r>
      <w:r>
        <w:t xml:space="preserve"> </w:t>
      </w:r>
      <w:r w:rsidRPr="00A556FB">
        <w:t xml:space="preserve">review </w:t>
      </w:r>
      <w:r w:rsidR="00596A69">
        <w:t xml:space="preserve">through to </w:t>
      </w:r>
      <w:r w:rsidR="00596A69" w:rsidRPr="00A556FB">
        <w:t>assisted compliance</w:t>
      </w:r>
      <w:r w:rsidR="00596A69">
        <w:t xml:space="preserve"> </w:t>
      </w:r>
      <w:r w:rsidRPr="00A556FB">
        <w:t>and</w:t>
      </w:r>
      <w:r w:rsidR="00596A69">
        <w:t xml:space="preserve"> enforcement</w:t>
      </w:r>
      <w:r w:rsidRPr="00A556FB">
        <w:t xml:space="preserve"> </w:t>
      </w:r>
      <w:r>
        <w:t>action</w:t>
      </w:r>
      <w:r w:rsidRPr="00A556FB">
        <w:t xml:space="preserve">. </w:t>
      </w:r>
      <w:r>
        <w:t xml:space="preserve">It is intended that the </w:t>
      </w:r>
      <w:r w:rsidRPr="00343F69">
        <w:t>Compliance Strategy</w:t>
      </w:r>
      <w:r>
        <w:t xml:space="preserve"> will ensure </w:t>
      </w:r>
      <w:r w:rsidRPr="00A556FB">
        <w:t xml:space="preserve">greater collaboration between </w:t>
      </w:r>
      <w:r>
        <w:t>the Ministry</w:t>
      </w:r>
      <w:r w:rsidRPr="00A556FB">
        <w:t>, regional councils, industry and others</w:t>
      </w:r>
      <w:r>
        <w:t xml:space="preserve"> in meeting the PM</w:t>
      </w:r>
      <w:r w:rsidRPr="000F2D74">
        <w:rPr>
          <w:vertAlign w:val="subscript"/>
        </w:rPr>
        <w:t>10</w:t>
      </w:r>
      <w:r>
        <w:t xml:space="preserve"> standard</w:t>
      </w:r>
      <w:r w:rsidR="00B80B24">
        <w:t xml:space="preserve"> and ultimately</w:t>
      </w:r>
      <w:r w:rsidRPr="00A556FB">
        <w:t xml:space="preserve"> </w:t>
      </w:r>
      <w:r>
        <w:t xml:space="preserve">delivering </w:t>
      </w:r>
      <w:r w:rsidRPr="00A556FB">
        <w:t xml:space="preserve">clean healthy air </w:t>
      </w:r>
      <w:r>
        <w:t>to all New Zealanders</w:t>
      </w:r>
      <w:r w:rsidRPr="00A556FB">
        <w:t>.</w:t>
      </w:r>
    </w:p>
    <w:p w14:paraId="55FB95AE" w14:textId="77777777" w:rsidR="00B143DB" w:rsidRDefault="00B143DB" w:rsidP="00B143DB"/>
    <w:p w14:paraId="2FAA170B" w14:textId="77777777" w:rsidR="00B143DB" w:rsidRDefault="00B143DB" w:rsidP="00CF14F6">
      <w:pPr>
        <w:pStyle w:val="BodyText"/>
      </w:pPr>
      <w:r w:rsidRPr="00E24A10">
        <w:t xml:space="preserve">Table </w:t>
      </w:r>
      <w:r w:rsidR="00885D56">
        <w:t>10</w:t>
      </w:r>
      <w:r w:rsidRPr="00E24A10">
        <w:t xml:space="preserve"> </w:t>
      </w:r>
      <w:r>
        <w:t>(</w:t>
      </w:r>
      <w:r w:rsidR="00CF14F6">
        <w:t>from</w:t>
      </w:r>
      <w:r>
        <w:t xml:space="preserve"> the </w:t>
      </w:r>
      <w:r w:rsidRPr="00343F69">
        <w:t>Compliance Strategy</w:t>
      </w:r>
      <w:r>
        <w:t xml:space="preserve">) </w:t>
      </w:r>
      <w:r w:rsidR="00CF14F6">
        <w:t>summarises</w:t>
      </w:r>
      <w:r>
        <w:t xml:space="preserve"> the critical steps within the </w:t>
      </w:r>
      <w:r w:rsidRPr="00343F69">
        <w:t>Compliance Strategy</w:t>
      </w:r>
      <w:r w:rsidR="00CF14F6">
        <w:t xml:space="preserve"> to implement and comply with the ambient PM</w:t>
      </w:r>
      <w:r w:rsidR="00CF14F6" w:rsidRPr="001478EE">
        <w:rPr>
          <w:vertAlign w:val="subscript"/>
        </w:rPr>
        <w:t>10</w:t>
      </w:r>
      <w:r w:rsidR="00CF14F6">
        <w:t xml:space="preserve"> standard and who is </w:t>
      </w:r>
      <w:r>
        <w:t xml:space="preserve">involved. </w:t>
      </w:r>
    </w:p>
    <w:p w14:paraId="2B42CAE1" w14:textId="77777777" w:rsidR="004930CB" w:rsidRDefault="004930CB" w:rsidP="00CF14F6">
      <w:pPr>
        <w:pStyle w:val="BodyText"/>
      </w:pPr>
    </w:p>
    <w:p w14:paraId="3C6DD0F6" w14:textId="77777777" w:rsidR="00A503F6" w:rsidRPr="008731F2" w:rsidRDefault="00A503F6" w:rsidP="00407749">
      <w:pPr>
        <w:pStyle w:val="Tableheading"/>
      </w:pPr>
      <w:bookmarkStart w:id="131" w:name="_Toc299624826"/>
      <w:bookmarkStart w:id="132" w:name="_Toc377645816"/>
      <w:r w:rsidRPr="00B65773">
        <w:t xml:space="preserve">Table </w:t>
      </w:r>
      <w:r w:rsidR="00020B84">
        <w:t>10</w:t>
      </w:r>
      <w:r w:rsidRPr="00B65773">
        <w:t>:</w:t>
      </w:r>
      <w:r w:rsidRPr="00B65773">
        <w:tab/>
        <w:t>Timeline for critical dates in complying with the PM</w:t>
      </w:r>
      <w:r w:rsidRPr="00B65773">
        <w:rPr>
          <w:vertAlign w:val="subscript"/>
        </w:rPr>
        <w:t>10</w:t>
      </w:r>
      <w:r w:rsidRPr="00B65773">
        <w:t xml:space="preserve"> standard</w:t>
      </w:r>
      <w:bookmarkEnd w:id="131"/>
      <w:bookmarkEnd w:id="132"/>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740"/>
        <w:gridCol w:w="4358"/>
      </w:tblGrid>
      <w:tr w:rsidR="00A503F6" w:rsidRPr="005267D4" w14:paraId="59540A0C" w14:textId="77777777" w:rsidTr="00BC135F">
        <w:trPr>
          <w:tblHeader/>
        </w:trPr>
        <w:tc>
          <w:tcPr>
            <w:tcW w:w="1622" w:type="dxa"/>
            <w:shd w:val="clear" w:color="auto" w:fill="E6E6E6"/>
          </w:tcPr>
          <w:p w14:paraId="5BF6422F" w14:textId="77777777" w:rsidR="00A503F6" w:rsidRPr="005267D4" w:rsidRDefault="00A503F6" w:rsidP="004930CB">
            <w:pPr>
              <w:pStyle w:val="TableTextbold"/>
              <w:keepNext/>
            </w:pPr>
            <w:r>
              <w:t>Date</w:t>
            </w:r>
          </w:p>
        </w:tc>
        <w:tc>
          <w:tcPr>
            <w:tcW w:w="2740" w:type="dxa"/>
            <w:shd w:val="clear" w:color="auto" w:fill="E6E6E6"/>
          </w:tcPr>
          <w:p w14:paraId="1155F698" w14:textId="77777777" w:rsidR="00A503F6" w:rsidRPr="005267D4" w:rsidRDefault="00A503F6" w:rsidP="004930CB">
            <w:pPr>
              <w:pStyle w:val="TableTextbold"/>
              <w:keepNext/>
            </w:pPr>
            <w:r>
              <w:t>Item</w:t>
            </w:r>
          </w:p>
        </w:tc>
        <w:tc>
          <w:tcPr>
            <w:tcW w:w="4358" w:type="dxa"/>
            <w:shd w:val="clear" w:color="auto" w:fill="E6E6E6"/>
          </w:tcPr>
          <w:p w14:paraId="29E1DFD0" w14:textId="77777777" w:rsidR="00A503F6" w:rsidRPr="005267D4" w:rsidRDefault="00A503F6" w:rsidP="00DD46BC">
            <w:pPr>
              <w:pStyle w:val="TableTextbold"/>
              <w:keepNext/>
            </w:pPr>
            <w:r>
              <w:t xml:space="preserve">Action </w:t>
            </w:r>
            <w:r w:rsidR="00DD46BC">
              <w:t>b</w:t>
            </w:r>
            <w:r>
              <w:t xml:space="preserve">y </w:t>
            </w:r>
            <w:r w:rsidR="00DD46BC">
              <w:t>w</w:t>
            </w:r>
            <w:r>
              <w:t>hom</w:t>
            </w:r>
          </w:p>
        </w:tc>
      </w:tr>
      <w:tr w:rsidR="00A503F6" w:rsidRPr="005267D4" w14:paraId="57831DE8" w14:textId="77777777" w:rsidTr="00BC135F">
        <w:tc>
          <w:tcPr>
            <w:tcW w:w="1622" w:type="dxa"/>
            <w:vMerge w:val="restart"/>
            <w:shd w:val="clear" w:color="auto" w:fill="auto"/>
          </w:tcPr>
          <w:p w14:paraId="08126640" w14:textId="77777777" w:rsidR="00A503F6" w:rsidRPr="003A1755" w:rsidRDefault="00A503F6" w:rsidP="004930CB">
            <w:pPr>
              <w:pStyle w:val="TableText"/>
              <w:keepNext/>
              <w:rPr>
                <w:b/>
              </w:rPr>
            </w:pPr>
            <w:r w:rsidRPr="003A1755">
              <w:rPr>
                <w:b/>
              </w:rPr>
              <w:t>1 June 2011</w:t>
            </w:r>
          </w:p>
        </w:tc>
        <w:tc>
          <w:tcPr>
            <w:tcW w:w="2740" w:type="dxa"/>
            <w:vMerge w:val="restart"/>
            <w:shd w:val="clear" w:color="auto" w:fill="E36C0A"/>
          </w:tcPr>
          <w:p w14:paraId="44E94A57" w14:textId="77777777" w:rsidR="00A503F6" w:rsidRDefault="00A503F6" w:rsidP="004930CB">
            <w:pPr>
              <w:pStyle w:val="TableText"/>
              <w:keepNext/>
            </w:pPr>
            <w:r>
              <w:t>Exceedances caused by exceptional circumstances can be considered by the Minister</w:t>
            </w:r>
          </w:p>
        </w:tc>
        <w:tc>
          <w:tcPr>
            <w:tcW w:w="4358" w:type="dxa"/>
            <w:shd w:val="clear" w:color="auto" w:fill="E36C0A"/>
          </w:tcPr>
          <w:p w14:paraId="44D5C213" w14:textId="77777777" w:rsidR="00A503F6" w:rsidRDefault="00A503F6" w:rsidP="004930CB">
            <w:pPr>
              <w:pStyle w:val="TableText"/>
              <w:keepNext/>
            </w:pPr>
            <w:r>
              <w:t>Councils can apply for consideration of an exceptional circumstance within three months of the exceedance</w:t>
            </w:r>
          </w:p>
        </w:tc>
      </w:tr>
      <w:tr w:rsidR="00A503F6" w:rsidRPr="005267D4" w14:paraId="7FC5B4C0" w14:textId="77777777" w:rsidTr="00BC135F">
        <w:tc>
          <w:tcPr>
            <w:tcW w:w="1622" w:type="dxa"/>
            <w:vMerge/>
            <w:shd w:val="clear" w:color="auto" w:fill="auto"/>
          </w:tcPr>
          <w:p w14:paraId="5C1F204D" w14:textId="77777777" w:rsidR="00A503F6" w:rsidRPr="003A1755" w:rsidRDefault="00A503F6" w:rsidP="00BC135F">
            <w:pPr>
              <w:pStyle w:val="TableText"/>
              <w:rPr>
                <w:b/>
              </w:rPr>
            </w:pPr>
          </w:p>
        </w:tc>
        <w:tc>
          <w:tcPr>
            <w:tcW w:w="2740" w:type="dxa"/>
            <w:vMerge/>
            <w:shd w:val="clear" w:color="auto" w:fill="E36C0A"/>
          </w:tcPr>
          <w:p w14:paraId="31270DB4" w14:textId="77777777" w:rsidR="00A503F6" w:rsidRDefault="00A503F6" w:rsidP="00BC135F">
            <w:pPr>
              <w:pStyle w:val="TableText"/>
            </w:pPr>
          </w:p>
        </w:tc>
        <w:tc>
          <w:tcPr>
            <w:tcW w:w="4358" w:type="dxa"/>
            <w:shd w:val="clear" w:color="auto" w:fill="E36C0A"/>
          </w:tcPr>
          <w:p w14:paraId="4245832A" w14:textId="77777777" w:rsidR="00A503F6" w:rsidRDefault="00A503F6" w:rsidP="00BC135F">
            <w:pPr>
              <w:pStyle w:val="TableText"/>
            </w:pPr>
            <w:r>
              <w:t>The Minister to provide written notice of his/her decision within three months of the application and instigate a public register  for all applications</w:t>
            </w:r>
          </w:p>
        </w:tc>
      </w:tr>
      <w:tr w:rsidR="00A503F6" w:rsidRPr="005267D4" w14:paraId="5602278D" w14:textId="77777777" w:rsidTr="00BC135F">
        <w:tc>
          <w:tcPr>
            <w:tcW w:w="1622" w:type="dxa"/>
          </w:tcPr>
          <w:p w14:paraId="5EB4296D" w14:textId="77777777" w:rsidR="00A503F6" w:rsidRPr="003A1755" w:rsidRDefault="00A503F6" w:rsidP="004930CB">
            <w:pPr>
              <w:pStyle w:val="TableText"/>
              <w:keepNext/>
              <w:rPr>
                <w:b/>
              </w:rPr>
            </w:pPr>
            <w:r w:rsidRPr="0016303C">
              <w:rPr>
                <w:b/>
              </w:rPr>
              <w:t>2 August 2011</w:t>
            </w:r>
          </w:p>
        </w:tc>
        <w:tc>
          <w:tcPr>
            <w:tcW w:w="2740" w:type="dxa"/>
            <w:shd w:val="clear" w:color="auto" w:fill="FDE9D9"/>
          </w:tcPr>
          <w:p w14:paraId="40A62838" w14:textId="77777777" w:rsidR="00A503F6" w:rsidRPr="0082611A" w:rsidRDefault="00A503F6" w:rsidP="004930CB">
            <w:pPr>
              <w:pStyle w:val="TableText"/>
              <w:keepNext/>
            </w:pPr>
            <w:r w:rsidRPr="0082611A">
              <w:t xml:space="preserve">Guidance </w:t>
            </w:r>
            <w:r>
              <w:t xml:space="preserve">on </w:t>
            </w:r>
            <w:r w:rsidRPr="0082611A">
              <w:t xml:space="preserve"> the revised air quality sta</w:t>
            </w:r>
            <w:r>
              <w:t>ndards to be provided via</w:t>
            </w:r>
            <w:r w:rsidRPr="0082611A">
              <w:t>:</w:t>
            </w:r>
          </w:p>
          <w:p w14:paraId="4161BC38" w14:textId="77777777" w:rsidR="00A503F6" w:rsidRPr="0082611A" w:rsidRDefault="00A503F6" w:rsidP="004930CB">
            <w:pPr>
              <w:pStyle w:val="TableBullet"/>
              <w:keepNext/>
              <w:numPr>
                <w:ilvl w:val="0"/>
                <w:numId w:val="4"/>
              </w:numPr>
              <w:rPr>
                <w:rFonts w:cs="Times New Roman"/>
                <w:szCs w:val="20"/>
              </w:rPr>
            </w:pPr>
            <w:r w:rsidRPr="0082611A">
              <w:rPr>
                <w:rFonts w:cs="Times New Roman"/>
                <w:szCs w:val="20"/>
              </w:rPr>
              <w:t>The Compliance Strategy</w:t>
            </w:r>
          </w:p>
          <w:p w14:paraId="5D7E7BF2" w14:textId="77777777" w:rsidR="00A503F6" w:rsidRPr="0082611A" w:rsidRDefault="00A503F6" w:rsidP="004930CB">
            <w:pPr>
              <w:pStyle w:val="TableBullet"/>
              <w:keepNext/>
              <w:numPr>
                <w:ilvl w:val="0"/>
                <w:numId w:val="4"/>
              </w:numPr>
              <w:rPr>
                <w:rFonts w:cs="Times New Roman"/>
                <w:szCs w:val="20"/>
              </w:rPr>
            </w:pPr>
            <w:r>
              <w:rPr>
                <w:rFonts w:cs="Times New Roman"/>
                <w:szCs w:val="20"/>
              </w:rPr>
              <w:t xml:space="preserve">2011 </w:t>
            </w:r>
            <w:r w:rsidRPr="0082611A">
              <w:rPr>
                <w:rFonts w:cs="Times New Roman"/>
                <w:szCs w:val="20"/>
              </w:rPr>
              <w:t>Users’ Guide</w:t>
            </w:r>
          </w:p>
        </w:tc>
        <w:tc>
          <w:tcPr>
            <w:tcW w:w="4358" w:type="dxa"/>
            <w:shd w:val="clear" w:color="auto" w:fill="FDE9D9"/>
          </w:tcPr>
          <w:p w14:paraId="5865D751" w14:textId="77777777" w:rsidR="00A503F6" w:rsidRPr="005267D4" w:rsidRDefault="00A503F6" w:rsidP="004930CB">
            <w:pPr>
              <w:pStyle w:val="TableText"/>
              <w:keepNext/>
            </w:pPr>
            <w:r w:rsidRPr="0016303C">
              <w:t>Ministry for the Environment releases in August 2011</w:t>
            </w:r>
          </w:p>
        </w:tc>
      </w:tr>
      <w:tr w:rsidR="00A503F6" w:rsidRPr="005267D4" w14:paraId="0279197E" w14:textId="77777777" w:rsidTr="00BC135F">
        <w:tc>
          <w:tcPr>
            <w:tcW w:w="1622" w:type="dxa"/>
            <w:vMerge w:val="restart"/>
          </w:tcPr>
          <w:p w14:paraId="2BB41FFE" w14:textId="77777777" w:rsidR="00A503F6" w:rsidRPr="003A1755" w:rsidRDefault="00A503F6" w:rsidP="00BC135F">
            <w:pPr>
              <w:pStyle w:val="TableText"/>
              <w:rPr>
                <w:b/>
              </w:rPr>
            </w:pPr>
            <w:r w:rsidRPr="003A1755">
              <w:rPr>
                <w:b/>
              </w:rPr>
              <w:t>1 September 2011</w:t>
            </w:r>
          </w:p>
        </w:tc>
        <w:tc>
          <w:tcPr>
            <w:tcW w:w="2740" w:type="dxa"/>
            <w:vMerge w:val="restart"/>
            <w:shd w:val="clear" w:color="auto" w:fill="E36C0A"/>
          </w:tcPr>
          <w:p w14:paraId="383C2FF6" w14:textId="77777777" w:rsidR="00A503F6" w:rsidRPr="005267D4" w:rsidRDefault="00A503F6" w:rsidP="00BC135F">
            <w:pPr>
              <w:pStyle w:val="TableText"/>
            </w:pPr>
            <w:r>
              <w:t>Split targets for permissible exceedances come into effect from this date</w:t>
            </w:r>
          </w:p>
        </w:tc>
        <w:tc>
          <w:tcPr>
            <w:tcW w:w="4358" w:type="dxa"/>
            <w:shd w:val="clear" w:color="auto" w:fill="E36C0A"/>
          </w:tcPr>
          <w:p w14:paraId="7808BE4A" w14:textId="77777777" w:rsidR="00A503F6" w:rsidRPr="005267D4" w:rsidRDefault="00A503F6" w:rsidP="00BC135F">
            <w:pPr>
              <w:pStyle w:val="TableText"/>
            </w:pPr>
            <w:r>
              <w:t>Councils to ensure they have meaningful PM</w:t>
            </w:r>
            <w:r w:rsidRPr="00E71E44">
              <w:rPr>
                <w:vertAlign w:val="subscript"/>
              </w:rPr>
              <w:t>10</w:t>
            </w:r>
            <w:r>
              <w:t xml:space="preserve"> data and up to 5-year average exceedances to justify permissible exceedances above immediate compliance</w:t>
            </w:r>
          </w:p>
        </w:tc>
      </w:tr>
      <w:tr w:rsidR="00A503F6" w:rsidRPr="005267D4" w14:paraId="66422E51" w14:textId="77777777" w:rsidTr="00BC135F">
        <w:tc>
          <w:tcPr>
            <w:tcW w:w="1622" w:type="dxa"/>
            <w:vMerge/>
          </w:tcPr>
          <w:p w14:paraId="7AD3ACF1" w14:textId="77777777" w:rsidR="00A503F6" w:rsidRPr="003A1755" w:rsidRDefault="00A503F6" w:rsidP="00BC135F">
            <w:pPr>
              <w:pStyle w:val="TableText"/>
              <w:rPr>
                <w:b/>
              </w:rPr>
            </w:pPr>
          </w:p>
        </w:tc>
        <w:tc>
          <w:tcPr>
            <w:tcW w:w="2740" w:type="dxa"/>
            <w:vMerge/>
            <w:shd w:val="clear" w:color="auto" w:fill="E36C0A"/>
          </w:tcPr>
          <w:p w14:paraId="259EA645" w14:textId="77777777" w:rsidR="00A503F6" w:rsidRDefault="00A503F6" w:rsidP="00BC135F">
            <w:pPr>
              <w:pStyle w:val="TableText"/>
            </w:pPr>
          </w:p>
        </w:tc>
        <w:tc>
          <w:tcPr>
            <w:tcW w:w="4358" w:type="dxa"/>
            <w:shd w:val="clear" w:color="auto" w:fill="FDE9D9"/>
          </w:tcPr>
          <w:p w14:paraId="525D7444" w14:textId="77777777" w:rsidR="00A503F6" w:rsidRDefault="00A503F6" w:rsidP="00BC135F">
            <w:pPr>
              <w:pStyle w:val="TableText"/>
            </w:pPr>
            <w:r>
              <w:t>Under s27 of the RMA, the Minister may make a request for mandatory provision of this monitoring data to confirm compliance</w:t>
            </w:r>
          </w:p>
        </w:tc>
      </w:tr>
      <w:tr w:rsidR="00A503F6" w:rsidRPr="005267D4" w14:paraId="371656F8" w14:textId="77777777" w:rsidTr="00BC135F">
        <w:tc>
          <w:tcPr>
            <w:tcW w:w="1622" w:type="dxa"/>
            <w:vMerge/>
          </w:tcPr>
          <w:p w14:paraId="13F7BC8F" w14:textId="77777777" w:rsidR="00A503F6" w:rsidRDefault="00A503F6" w:rsidP="00BC135F">
            <w:pPr>
              <w:pStyle w:val="TableText"/>
            </w:pPr>
          </w:p>
        </w:tc>
        <w:tc>
          <w:tcPr>
            <w:tcW w:w="2740" w:type="dxa"/>
            <w:shd w:val="clear" w:color="auto" w:fill="FABF8F"/>
          </w:tcPr>
          <w:p w14:paraId="22097957" w14:textId="77777777" w:rsidR="00A503F6" w:rsidRDefault="00A503F6" w:rsidP="00BC135F">
            <w:pPr>
              <w:pStyle w:val="TableText"/>
            </w:pPr>
            <w:r>
              <w:t>Review of regional plans underway</w:t>
            </w:r>
          </w:p>
        </w:tc>
        <w:tc>
          <w:tcPr>
            <w:tcW w:w="4358" w:type="dxa"/>
            <w:shd w:val="clear" w:color="auto" w:fill="FABF8F"/>
          </w:tcPr>
          <w:p w14:paraId="6080CBB4" w14:textId="77777777" w:rsidR="00A503F6" w:rsidRDefault="00A503F6" w:rsidP="00BC135F">
            <w:pPr>
              <w:pStyle w:val="TableText"/>
            </w:pPr>
            <w:r>
              <w:t xml:space="preserve">Councils to start reviewing their regional plans to ensure they are consistent with the revised </w:t>
            </w:r>
            <w:r w:rsidR="00C500EF">
              <w:t>Regulations</w:t>
            </w:r>
          </w:p>
          <w:p w14:paraId="4813B512" w14:textId="77777777" w:rsidR="00A503F6" w:rsidRPr="005267D4" w:rsidRDefault="00A503F6" w:rsidP="00BC135F">
            <w:pPr>
              <w:pStyle w:val="TableText"/>
            </w:pPr>
            <w:r>
              <w:t>These reviews should be completed no later than 31 August 2012 to help councils prepare for the mandatory items that come into effect from 1 September 2012</w:t>
            </w:r>
          </w:p>
        </w:tc>
      </w:tr>
      <w:tr w:rsidR="00A503F6" w:rsidRPr="005267D4" w14:paraId="182AB1B9" w14:textId="77777777" w:rsidTr="00BC135F">
        <w:tc>
          <w:tcPr>
            <w:tcW w:w="1622" w:type="dxa"/>
          </w:tcPr>
          <w:p w14:paraId="6F13435B" w14:textId="77777777" w:rsidR="00A503F6" w:rsidRPr="003A1755" w:rsidRDefault="00A503F6" w:rsidP="00BC135F">
            <w:pPr>
              <w:pStyle w:val="TableText"/>
              <w:rPr>
                <w:b/>
              </w:rPr>
            </w:pPr>
            <w:r w:rsidRPr="003A1755">
              <w:rPr>
                <w:b/>
              </w:rPr>
              <w:t>2 September 2011</w:t>
            </w:r>
          </w:p>
        </w:tc>
        <w:tc>
          <w:tcPr>
            <w:tcW w:w="2740" w:type="dxa"/>
            <w:shd w:val="clear" w:color="auto" w:fill="E36C0A"/>
          </w:tcPr>
          <w:p w14:paraId="510BDD0A" w14:textId="77777777" w:rsidR="00A503F6" w:rsidRDefault="00A503F6" w:rsidP="00BC135F">
            <w:pPr>
              <w:pStyle w:val="TableText"/>
            </w:pPr>
            <w:r>
              <w:t>Earliest date that the ban on discharges from new open fires installed in breaching airsheds can be notified</w:t>
            </w:r>
          </w:p>
        </w:tc>
        <w:tc>
          <w:tcPr>
            <w:tcW w:w="4358" w:type="dxa"/>
            <w:shd w:val="clear" w:color="auto" w:fill="E36C0A"/>
          </w:tcPr>
          <w:p w14:paraId="4F2BA086" w14:textId="77777777" w:rsidR="00A503F6" w:rsidRDefault="00A503F6" w:rsidP="00BC135F">
            <w:pPr>
              <w:pStyle w:val="TableText"/>
            </w:pPr>
            <w:r>
              <w:t>Councils to give public notice of the upcoming ban upon first breach, irrespective of the number of permissible exceedances</w:t>
            </w:r>
          </w:p>
          <w:p w14:paraId="57BA10FD" w14:textId="77777777" w:rsidR="00A503F6" w:rsidRPr="005267D4" w:rsidRDefault="00A503F6" w:rsidP="00BC135F">
            <w:pPr>
              <w:pStyle w:val="TableText"/>
            </w:pPr>
            <w:r>
              <w:t xml:space="preserve">This notice must be given at least 6 months in advance of the date of the ban and the ban must commence 12 months after the first breach </w:t>
            </w:r>
          </w:p>
        </w:tc>
      </w:tr>
      <w:tr w:rsidR="00A503F6" w:rsidRPr="005267D4" w14:paraId="2FD9B20C" w14:textId="77777777" w:rsidTr="00BC135F">
        <w:tc>
          <w:tcPr>
            <w:tcW w:w="1622" w:type="dxa"/>
            <w:shd w:val="clear" w:color="auto" w:fill="D9D9D9"/>
          </w:tcPr>
          <w:p w14:paraId="38F0CAB1" w14:textId="77777777" w:rsidR="00A503F6" w:rsidRDefault="00A503F6" w:rsidP="00BC135F">
            <w:pPr>
              <w:pStyle w:val="TableText"/>
            </w:pPr>
          </w:p>
        </w:tc>
        <w:tc>
          <w:tcPr>
            <w:tcW w:w="2740" w:type="dxa"/>
            <w:shd w:val="clear" w:color="auto" w:fill="D9D9D9"/>
          </w:tcPr>
          <w:p w14:paraId="089CC2E5" w14:textId="77777777" w:rsidR="00A503F6" w:rsidRDefault="00A503F6" w:rsidP="00BC135F">
            <w:pPr>
              <w:pStyle w:val="TableText"/>
            </w:pPr>
          </w:p>
        </w:tc>
        <w:tc>
          <w:tcPr>
            <w:tcW w:w="4358" w:type="dxa"/>
            <w:shd w:val="clear" w:color="auto" w:fill="D9D9D9"/>
          </w:tcPr>
          <w:p w14:paraId="00ED6F76" w14:textId="77777777" w:rsidR="00A503F6" w:rsidRDefault="00A503F6" w:rsidP="00BC135F">
            <w:pPr>
              <w:pStyle w:val="TableText"/>
            </w:pPr>
          </w:p>
        </w:tc>
      </w:tr>
      <w:tr w:rsidR="00A503F6" w:rsidRPr="005267D4" w14:paraId="24B743A9" w14:textId="77777777" w:rsidTr="00BC135F">
        <w:tc>
          <w:tcPr>
            <w:tcW w:w="1622" w:type="dxa"/>
            <w:vMerge w:val="restart"/>
          </w:tcPr>
          <w:p w14:paraId="4D904855" w14:textId="77777777" w:rsidR="00A503F6" w:rsidRPr="005272F3" w:rsidRDefault="00A503F6" w:rsidP="00BC135F">
            <w:pPr>
              <w:pStyle w:val="TableText"/>
              <w:keepNext/>
              <w:keepLines/>
              <w:rPr>
                <w:b/>
              </w:rPr>
            </w:pPr>
            <w:r w:rsidRPr="005272F3">
              <w:rPr>
                <w:b/>
              </w:rPr>
              <w:t>1 September 2012</w:t>
            </w:r>
          </w:p>
        </w:tc>
        <w:tc>
          <w:tcPr>
            <w:tcW w:w="2740" w:type="dxa"/>
            <w:vMerge w:val="restart"/>
            <w:shd w:val="clear" w:color="auto" w:fill="E36C0A"/>
          </w:tcPr>
          <w:p w14:paraId="3333BF48" w14:textId="77777777" w:rsidR="00A503F6" w:rsidRPr="0048128F" w:rsidRDefault="00A503F6" w:rsidP="00BC135F">
            <w:pPr>
              <w:pStyle w:val="TableText"/>
              <w:keepNext/>
              <w:keepLines/>
            </w:pPr>
            <w:r w:rsidRPr="0048128F">
              <w:t>Polluted airshed status comes into effect from this date</w:t>
            </w:r>
            <w:r w:rsidRPr="0048128F">
              <w:rPr>
                <w:vertAlign w:val="superscript"/>
              </w:rPr>
              <w:t>2</w:t>
            </w:r>
          </w:p>
        </w:tc>
        <w:tc>
          <w:tcPr>
            <w:tcW w:w="4358" w:type="dxa"/>
            <w:shd w:val="clear" w:color="auto" w:fill="E36C0A"/>
          </w:tcPr>
          <w:p w14:paraId="633DF995" w14:textId="77777777" w:rsidR="00A503F6" w:rsidRDefault="00A503F6" w:rsidP="00BC135F">
            <w:pPr>
              <w:pStyle w:val="TableText"/>
              <w:keepNext/>
              <w:keepLines/>
            </w:pPr>
            <w:r w:rsidRPr="0048128F">
              <w:t xml:space="preserve">Councils to </w:t>
            </w:r>
            <w:r>
              <w:t>ensure they have</w:t>
            </w:r>
            <w:r w:rsidRPr="0048128F">
              <w:t xml:space="preserve"> meaningful PM</w:t>
            </w:r>
            <w:r w:rsidRPr="0048128F">
              <w:rPr>
                <w:vertAlign w:val="subscript"/>
              </w:rPr>
              <w:t>10</w:t>
            </w:r>
            <w:r w:rsidRPr="0048128F">
              <w:t xml:space="preserve"> data and </w:t>
            </w:r>
            <w:r>
              <w:t xml:space="preserve">up to </w:t>
            </w:r>
            <w:r w:rsidRPr="0048128F">
              <w:t>5-year average exceedances to determine whether an airshed is polluted (bas</w:t>
            </w:r>
            <w:r>
              <w:t>ed on more than 1.0 on average)</w:t>
            </w:r>
          </w:p>
          <w:p w14:paraId="5B9CAD75" w14:textId="77777777" w:rsidR="00A503F6" w:rsidRPr="0048128F" w:rsidRDefault="00A503F6" w:rsidP="00BC135F">
            <w:pPr>
              <w:pStyle w:val="TableText"/>
              <w:keepNext/>
              <w:keepLines/>
            </w:pPr>
            <w:r w:rsidRPr="0048128F">
              <w:t xml:space="preserve">Once invoked, “polluted” status lasts until five consecutive years of </w:t>
            </w:r>
            <w:r>
              <w:t>no breaches</w:t>
            </w:r>
            <w:r w:rsidRPr="0048128F">
              <w:t xml:space="preserve"> achieved</w:t>
            </w:r>
          </w:p>
        </w:tc>
      </w:tr>
      <w:tr w:rsidR="00A503F6" w:rsidRPr="005267D4" w14:paraId="09898B81" w14:textId="77777777" w:rsidTr="00BC135F">
        <w:tc>
          <w:tcPr>
            <w:tcW w:w="1622" w:type="dxa"/>
            <w:vMerge/>
          </w:tcPr>
          <w:p w14:paraId="25AB824A" w14:textId="77777777" w:rsidR="00A503F6" w:rsidRPr="005272F3" w:rsidRDefault="00A503F6" w:rsidP="00BC135F">
            <w:pPr>
              <w:pStyle w:val="TableText"/>
              <w:keepNext/>
              <w:keepLines/>
              <w:rPr>
                <w:b/>
              </w:rPr>
            </w:pPr>
          </w:p>
        </w:tc>
        <w:tc>
          <w:tcPr>
            <w:tcW w:w="2740" w:type="dxa"/>
            <w:vMerge/>
            <w:shd w:val="clear" w:color="auto" w:fill="E36C0A"/>
          </w:tcPr>
          <w:p w14:paraId="3FB206D5" w14:textId="77777777" w:rsidR="00A503F6" w:rsidRPr="0048128F" w:rsidRDefault="00A503F6" w:rsidP="00BC135F">
            <w:pPr>
              <w:pStyle w:val="TableText"/>
              <w:keepNext/>
              <w:keepLines/>
            </w:pPr>
          </w:p>
        </w:tc>
        <w:tc>
          <w:tcPr>
            <w:tcW w:w="4358" w:type="dxa"/>
            <w:shd w:val="clear" w:color="auto" w:fill="FDE9D9"/>
          </w:tcPr>
          <w:p w14:paraId="2BBCEAD4" w14:textId="77777777" w:rsidR="00A503F6" w:rsidRPr="0048128F" w:rsidRDefault="00A503F6" w:rsidP="00BC135F">
            <w:pPr>
              <w:pStyle w:val="TableText"/>
              <w:keepNext/>
              <w:keepLines/>
            </w:pPr>
            <w:r>
              <w:t>Under s27 of the RMA, the Minister may make a request for mandatory provision of this monitoring data</w:t>
            </w:r>
          </w:p>
        </w:tc>
      </w:tr>
      <w:tr w:rsidR="00A503F6" w:rsidRPr="005267D4" w14:paraId="19EB174A" w14:textId="77777777" w:rsidTr="00BC135F">
        <w:tc>
          <w:tcPr>
            <w:tcW w:w="1622" w:type="dxa"/>
            <w:vMerge/>
          </w:tcPr>
          <w:p w14:paraId="7CB98816" w14:textId="77777777" w:rsidR="00A503F6" w:rsidRDefault="00A503F6" w:rsidP="00BC135F">
            <w:pPr>
              <w:pStyle w:val="TableText"/>
            </w:pPr>
          </w:p>
        </w:tc>
        <w:tc>
          <w:tcPr>
            <w:tcW w:w="2740" w:type="dxa"/>
            <w:shd w:val="clear" w:color="auto" w:fill="E36C0A"/>
          </w:tcPr>
          <w:p w14:paraId="74A6A4FB" w14:textId="77777777" w:rsidR="00A503F6" w:rsidRPr="005267D4" w:rsidRDefault="00A503F6" w:rsidP="00BC135F">
            <w:pPr>
              <w:pStyle w:val="TableText"/>
            </w:pPr>
            <w:r>
              <w:t>Requirement for offsets for new industry in polluted airsheds comes into effect from this date</w:t>
            </w:r>
          </w:p>
        </w:tc>
        <w:tc>
          <w:tcPr>
            <w:tcW w:w="4358" w:type="dxa"/>
            <w:shd w:val="clear" w:color="auto" w:fill="E36C0A"/>
          </w:tcPr>
          <w:p w14:paraId="38142E17" w14:textId="77777777" w:rsidR="00A503F6" w:rsidRDefault="00A503F6" w:rsidP="00BC135F">
            <w:pPr>
              <w:pStyle w:val="TableText"/>
            </w:pPr>
            <w:r>
              <w:t>Councils to ensure that relevant industry offset their PM</w:t>
            </w:r>
            <w:r w:rsidRPr="002E345B">
              <w:rPr>
                <w:vertAlign w:val="subscript"/>
              </w:rPr>
              <w:t>10</w:t>
            </w:r>
            <w:r>
              <w:t xml:space="preserve"> emissions for the duration of their consents</w:t>
            </w:r>
          </w:p>
          <w:p w14:paraId="7938FA66" w14:textId="77777777" w:rsidR="00A503F6" w:rsidRPr="005267D4" w:rsidRDefault="00A503F6" w:rsidP="00BC135F">
            <w:pPr>
              <w:pStyle w:val="TableText"/>
            </w:pPr>
            <w:r>
              <w:t>Once invoked, the offset requirement lasts until five consecutive years of no breaches achieved</w:t>
            </w:r>
          </w:p>
        </w:tc>
      </w:tr>
      <w:tr w:rsidR="00A503F6" w:rsidRPr="005267D4" w14:paraId="39875196" w14:textId="77777777" w:rsidTr="00BC135F">
        <w:tc>
          <w:tcPr>
            <w:tcW w:w="1622" w:type="dxa"/>
          </w:tcPr>
          <w:p w14:paraId="6AE92BA6" w14:textId="77777777" w:rsidR="00A503F6" w:rsidRPr="005267D4" w:rsidRDefault="00A503F6" w:rsidP="00CF14F6">
            <w:pPr>
              <w:pStyle w:val="TableText"/>
              <w:keepLines/>
            </w:pPr>
            <w:r>
              <w:rPr>
                <w:b/>
              </w:rPr>
              <w:t>2</w:t>
            </w:r>
            <w:r w:rsidRPr="005272F3">
              <w:rPr>
                <w:b/>
              </w:rPr>
              <w:t xml:space="preserve"> September 2012</w:t>
            </w:r>
          </w:p>
        </w:tc>
        <w:tc>
          <w:tcPr>
            <w:tcW w:w="2740" w:type="dxa"/>
            <w:shd w:val="clear" w:color="auto" w:fill="E36C0A"/>
          </w:tcPr>
          <w:p w14:paraId="0E3C813C" w14:textId="77777777" w:rsidR="00A503F6" w:rsidRPr="005267D4" w:rsidRDefault="00A503F6" w:rsidP="00CF14F6">
            <w:pPr>
              <w:pStyle w:val="TableText"/>
              <w:keepLines/>
            </w:pPr>
            <w:r>
              <w:t>Earliest date that ban on discharges from new open fires installed in breaching airsheds can come into effect</w:t>
            </w:r>
          </w:p>
        </w:tc>
        <w:tc>
          <w:tcPr>
            <w:tcW w:w="4358" w:type="dxa"/>
            <w:shd w:val="clear" w:color="auto" w:fill="E36C0A"/>
          </w:tcPr>
          <w:p w14:paraId="42368D13" w14:textId="77777777" w:rsidR="00A503F6" w:rsidRDefault="00A503F6" w:rsidP="00CF14F6">
            <w:pPr>
              <w:pStyle w:val="TableText"/>
              <w:keepLines/>
            </w:pPr>
            <w:r>
              <w:t>Councils to enforce ban 12 months after first breach occurred</w:t>
            </w:r>
          </w:p>
          <w:p w14:paraId="41CEE72C" w14:textId="77777777" w:rsidR="00A503F6" w:rsidRPr="005267D4" w:rsidRDefault="00A503F6" w:rsidP="00CF14F6">
            <w:pPr>
              <w:pStyle w:val="TableText"/>
              <w:keepLines/>
            </w:pPr>
            <w:r>
              <w:t>Once invoked, the ban lasts in perpetuity</w:t>
            </w:r>
          </w:p>
        </w:tc>
      </w:tr>
      <w:tr w:rsidR="00A503F6" w:rsidRPr="005267D4" w14:paraId="77D1CA9B" w14:textId="77777777" w:rsidTr="00BC135F">
        <w:tc>
          <w:tcPr>
            <w:tcW w:w="1622" w:type="dxa"/>
            <w:shd w:val="clear" w:color="auto" w:fill="D9D9D9"/>
          </w:tcPr>
          <w:p w14:paraId="1751AFBA" w14:textId="77777777" w:rsidR="00A503F6" w:rsidRDefault="00A503F6" w:rsidP="00CF14F6">
            <w:pPr>
              <w:pStyle w:val="TableText"/>
              <w:keepLines/>
            </w:pPr>
          </w:p>
        </w:tc>
        <w:tc>
          <w:tcPr>
            <w:tcW w:w="2740" w:type="dxa"/>
            <w:shd w:val="clear" w:color="auto" w:fill="D9D9D9"/>
          </w:tcPr>
          <w:p w14:paraId="33CF29F2" w14:textId="77777777" w:rsidR="00A503F6" w:rsidRDefault="00A503F6" w:rsidP="00CF14F6">
            <w:pPr>
              <w:pStyle w:val="TableText"/>
              <w:keepLines/>
            </w:pPr>
          </w:p>
        </w:tc>
        <w:tc>
          <w:tcPr>
            <w:tcW w:w="4358" w:type="dxa"/>
            <w:shd w:val="clear" w:color="auto" w:fill="D9D9D9"/>
          </w:tcPr>
          <w:p w14:paraId="2D88E54F" w14:textId="77777777" w:rsidR="00A503F6" w:rsidRDefault="00A503F6" w:rsidP="00CF14F6">
            <w:pPr>
              <w:pStyle w:val="TableText"/>
              <w:keepLines/>
            </w:pPr>
          </w:p>
        </w:tc>
      </w:tr>
      <w:tr w:rsidR="00A503F6" w:rsidRPr="005267D4" w14:paraId="5E6A8773" w14:textId="77777777" w:rsidTr="00BC135F">
        <w:tc>
          <w:tcPr>
            <w:tcW w:w="1622" w:type="dxa"/>
            <w:vMerge w:val="restart"/>
          </w:tcPr>
          <w:p w14:paraId="4656A461" w14:textId="77777777" w:rsidR="00A503F6" w:rsidRPr="00F97225" w:rsidRDefault="00A503F6" w:rsidP="00CF14F6">
            <w:pPr>
              <w:pStyle w:val="TableText"/>
              <w:rPr>
                <w:b/>
              </w:rPr>
            </w:pPr>
            <w:r w:rsidRPr="00F97225">
              <w:rPr>
                <w:b/>
              </w:rPr>
              <w:t>1 September 2013</w:t>
            </w:r>
          </w:p>
        </w:tc>
        <w:tc>
          <w:tcPr>
            <w:tcW w:w="2740" w:type="dxa"/>
            <w:vMerge w:val="restart"/>
            <w:shd w:val="clear" w:color="auto" w:fill="FDE9D9"/>
          </w:tcPr>
          <w:p w14:paraId="04ECF1B0" w14:textId="77777777" w:rsidR="00A503F6" w:rsidRDefault="00A503F6" w:rsidP="00CF14F6">
            <w:pPr>
              <w:pStyle w:val="TableText"/>
            </w:pPr>
            <w:r>
              <w:t>Progress on compliance to be reviewed</w:t>
            </w:r>
          </w:p>
        </w:tc>
        <w:tc>
          <w:tcPr>
            <w:tcW w:w="4358" w:type="dxa"/>
            <w:shd w:val="clear" w:color="auto" w:fill="FABF8F"/>
          </w:tcPr>
          <w:p w14:paraId="11009541" w14:textId="77777777" w:rsidR="00A503F6" w:rsidRPr="005E5CE0" w:rsidRDefault="00A503F6" w:rsidP="00CF14F6">
            <w:pPr>
              <w:pStyle w:val="TableText"/>
            </w:pPr>
            <w:r w:rsidRPr="00A91563">
              <w:t xml:space="preserve">Councils to report back to Ministry on </w:t>
            </w:r>
            <w:r>
              <w:t>monitoring data and progress towards their targets</w:t>
            </w:r>
          </w:p>
        </w:tc>
      </w:tr>
      <w:tr w:rsidR="00A503F6" w:rsidRPr="005267D4" w14:paraId="5F455E3A" w14:textId="77777777" w:rsidTr="00BC135F">
        <w:tc>
          <w:tcPr>
            <w:tcW w:w="1622" w:type="dxa"/>
            <w:vMerge/>
          </w:tcPr>
          <w:p w14:paraId="37DB2064" w14:textId="77777777" w:rsidR="00A503F6" w:rsidRPr="00F97225" w:rsidRDefault="00A503F6" w:rsidP="00CF14F6">
            <w:pPr>
              <w:pStyle w:val="TableText"/>
              <w:rPr>
                <w:b/>
              </w:rPr>
            </w:pPr>
          </w:p>
        </w:tc>
        <w:tc>
          <w:tcPr>
            <w:tcW w:w="2740" w:type="dxa"/>
            <w:vMerge/>
            <w:shd w:val="clear" w:color="auto" w:fill="FDE9D9"/>
          </w:tcPr>
          <w:p w14:paraId="6C767F75" w14:textId="77777777" w:rsidR="00A503F6" w:rsidRDefault="00A503F6" w:rsidP="00CF14F6">
            <w:pPr>
              <w:pStyle w:val="TableText"/>
            </w:pPr>
          </w:p>
        </w:tc>
        <w:tc>
          <w:tcPr>
            <w:tcW w:w="4358" w:type="dxa"/>
            <w:shd w:val="clear" w:color="auto" w:fill="FDE9D9"/>
          </w:tcPr>
          <w:p w14:paraId="19049142" w14:textId="77777777" w:rsidR="00A503F6" w:rsidRPr="00A91563" w:rsidRDefault="00A503F6" w:rsidP="00CF14F6">
            <w:pPr>
              <w:pStyle w:val="TableText"/>
            </w:pPr>
            <w:r w:rsidRPr="00A91563">
              <w:t>The Ministr</w:t>
            </w:r>
            <w:r>
              <w:t>y</w:t>
            </w:r>
            <w:r w:rsidRPr="00A91563">
              <w:t xml:space="preserve"> to review council monitoring data and airshed implementation progress report</w:t>
            </w:r>
            <w:r>
              <w:t>s</w:t>
            </w:r>
          </w:p>
        </w:tc>
      </w:tr>
      <w:tr w:rsidR="00A503F6" w:rsidRPr="005267D4" w14:paraId="3675E482" w14:textId="77777777" w:rsidTr="00BC135F">
        <w:tc>
          <w:tcPr>
            <w:tcW w:w="1622" w:type="dxa"/>
            <w:vMerge/>
          </w:tcPr>
          <w:p w14:paraId="033CBB54" w14:textId="77777777" w:rsidR="00A503F6" w:rsidRPr="00F97225" w:rsidRDefault="00A503F6" w:rsidP="00CF14F6">
            <w:pPr>
              <w:pStyle w:val="TableText"/>
              <w:rPr>
                <w:b/>
              </w:rPr>
            </w:pPr>
          </w:p>
        </w:tc>
        <w:tc>
          <w:tcPr>
            <w:tcW w:w="2740" w:type="dxa"/>
            <w:vMerge/>
            <w:shd w:val="clear" w:color="auto" w:fill="FDE9D9"/>
          </w:tcPr>
          <w:p w14:paraId="4BEB3A57" w14:textId="77777777" w:rsidR="00A503F6" w:rsidRDefault="00A503F6" w:rsidP="00CF14F6">
            <w:pPr>
              <w:pStyle w:val="TableText"/>
            </w:pPr>
          </w:p>
        </w:tc>
        <w:tc>
          <w:tcPr>
            <w:tcW w:w="4358" w:type="dxa"/>
            <w:shd w:val="clear" w:color="auto" w:fill="FDE9D9"/>
          </w:tcPr>
          <w:p w14:paraId="1A29F79F" w14:textId="77777777" w:rsidR="00A503F6" w:rsidRDefault="00A503F6" w:rsidP="00CF14F6">
            <w:pPr>
              <w:pStyle w:val="TableText"/>
            </w:pPr>
            <w:r>
              <w:t>Under s27 of the RMA, the Minister may make a request for mandatory provision of this monitoring data to confirm compliance</w:t>
            </w:r>
          </w:p>
          <w:p w14:paraId="570D5B56" w14:textId="77777777" w:rsidR="00A503F6" w:rsidRPr="00A91563" w:rsidRDefault="00A503F6" w:rsidP="00CF14F6">
            <w:pPr>
              <w:pStyle w:val="TableText"/>
            </w:pPr>
            <w:r>
              <w:t>For polluted airsheds, the Minister may also make a request for mandatory provision of an airshed action plan and/or a progress report to monitor whether councils are on track to meet their permissible exceedances targets</w:t>
            </w:r>
          </w:p>
        </w:tc>
      </w:tr>
      <w:tr w:rsidR="00A503F6" w:rsidRPr="005267D4" w14:paraId="718EA122" w14:textId="77777777" w:rsidTr="00BC135F">
        <w:tc>
          <w:tcPr>
            <w:tcW w:w="1622" w:type="dxa"/>
            <w:shd w:val="clear" w:color="auto" w:fill="D9D9D9"/>
          </w:tcPr>
          <w:p w14:paraId="63CC2923" w14:textId="77777777" w:rsidR="00A503F6" w:rsidRDefault="00A503F6" w:rsidP="00CF14F6">
            <w:pPr>
              <w:pStyle w:val="TableText"/>
            </w:pPr>
          </w:p>
        </w:tc>
        <w:tc>
          <w:tcPr>
            <w:tcW w:w="2740" w:type="dxa"/>
            <w:shd w:val="clear" w:color="auto" w:fill="D9D9D9"/>
          </w:tcPr>
          <w:p w14:paraId="2A5322B8" w14:textId="77777777" w:rsidR="00A503F6" w:rsidRPr="00427B76" w:rsidRDefault="00A503F6" w:rsidP="00CF14F6">
            <w:pPr>
              <w:pStyle w:val="TableText"/>
            </w:pPr>
          </w:p>
        </w:tc>
        <w:tc>
          <w:tcPr>
            <w:tcW w:w="4358" w:type="dxa"/>
            <w:shd w:val="clear" w:color="auto" w:fill="D9D9D9"/>
          </w:tcPr>
          <w:p w14:paraId="5267C21D" w14:textId="77777777" w:rsidR="00A503F6" w:rsidRDefault="00A503F6" w:rsidP="00CF14F6">
            <w:pPr>
              <w:pStyle w:val="TableText"/>
            </w:pPr>
          </w:p>
        </w:tc>
      </w:tr>
      <w:tr w:rsidR="00A503F6" w:rsidRPr="005267D4" w14:paraId="16EB77BA" w14:textId="77777777" w:rsidTr="00BC135F">
        <w:tc>
          <w:tcPr>
            <w:tcW w:w="1622" w:type="dxa"/>
            <w:shd w:val="clear" w:color="auto" w:fill="auto"/>
          </w:tcPr>
          <w:p w14:paraId="07C883F3" w14:textId="77777777" w:rsidR="00A503F6" w:rsidRPr="00F158EC" w:rsidRDefault="00A503F6" w:rsidP="00BC135F">
            <w:pPr>
              <w:pStyle w:val="TableText"/>
              <w:rPr>
                <w:b/>
              </w:rPr>
            </w:pPr>
            <w:r w:rsidRPr="0016303C">
              <w:rPr>
                <w:b/>
              </w:rPr>
              <w:t>1 May 2014</w:t>
            </w:r>
          </w:p>
        </w:tc>
        <w:tc>
          <w:tcPr>
            <w:tcW w:w="2740" w:type="dxa"/>
            <w:shd w:val="clear" w:color="auto" w:fill="FDE9D9"/>
          </w:tcPr>
          <w:p w14:paraId="327AB8A7" w14:textId="77777777" w:rsidR="00A503F6" w:rsidRDefault="00A503F6" w:rsidP="00BC135F">
            <w:pPr>
              <w:pStyle w:val="TableText"/>
              <w:keepNext/>
              <w:keepLines/>
            </w:pPr>
            <w:r>
              <w:t>Report on compliance status to be released</w:t>
            </w:r>
          </w:p>
        </w:tc>
        <w:tc>
          <w:tcPr>
            <w:tcW w:w="4358" w:type="dxa"/>
            <w:shd w:val="clear" w:color="auto" w:fill="FDE9D9"/>
          </w:tcPr>
          <w:p w14:paraId="290A9B10" w14:textId="77777777" w:rsidR="00A503F6" w:rsidRPr="003464E6" w:rsidRDefault="00A503F6" w:rsidP="00BC135F">
            <w:pPr>
              <w:pStyle w:val="TableText"/>
              <w:keepNext/>
              <w:keepLines/>
            </w:pPr>
            <w:r w:rsidRPr="00A91563">
              <w:t>The Ministr</w:t>
            </w:r>
            <w:r>
              <w:t>y</w:t>
            </w:r>
            <w:r w:rsidRPr="00A91563">
              <w:t xml:space="preserve"> to </w:t>
            </w:r>
            <w:r>
              <w:t xml:space="preserve">publish a report showing the compliance status of all airsheds </w:t>
            </w:r>
          </w:p>
        </w:tc>
      </w:tr>
      <w:tr w:rsidR="00A503F6" w:rsidRPr="005267D4" w14:paraId="01278721" w14:textId="77777777" w:rsidTr="00BC135F">
        <w:tc>
          <w:tcPr>
            <w:tcW w:w="1622" w:type="dxa"/>
            <w:vMerge w:val="restart"/>
          </w:tcPr>
          <w:p w14:paraId="625CD5E9" w14:textId="77777777" w:rsidR="00A503F6" w:rsidRPr="00F158EC" w:rsidRDefault="00A503F6" w:rsidP="004930CB">
            <w:pPr>
              <w:pStyle w:val="TableText"/>
              <w:keepNext/>
              <w:rPr>
                <w:b/>
              </w:rPr>
            </w:pPr>
            <w:r w:rsidRPr="00F158EC">
              <w:rPr>
                <w:b/>
              </w:rPr>
              <w:t>1 September 2014</w:t>
            </w:r>
          </w:p>
        </w:tc>
        <w:tc>
          <w:tcPr>
            <w:tcW w:w="2740" w:type="dxa"/>
            <w:vMerge w:val="restart"/>
            <w:shd w:val="clear" w:color="auto" w:fill="FDE9D9"/>
          </w:tcPr>
          <w:p w14:paraId="1E874674" w14:textId="77777777" w:rsidR="00A503F6" w:rsidRDefault="00A503F6" w:rsidP="004930CB">
            <w:pPr>
              <w:pStyle w:val="TableText"/>
              <w:keepNext/>
              <w:keepLines/>
            </w:pPr>
            <w:r>
              <w:t>Progress on compliance to be reviewed</w:t>
            </w:r>
          </w:p>
        </w:tc>
        <w:tc>
          <w:tcPr>
            <w:tcW w:w="4358" w:type="dxa"/>
            <w:shd w:val="clear" w:color="auto" w:fill="FABF8F"/>
          </w:tcPr>
          <w:p w14:paraId="46A69ED1" w14:textId="77777777" w:rsidR="00A503F6" w:rsidRPr="005E5CE0" w:rsidRDefault="00A503F6" w:rsidP="004930CB">
            <w:pPr>
              <w:pStyle w:val="TableText"/>
              <w:keepNext/>
              <w:keepLines/>
            </w:pPr>
            <w:r w:rsidRPr="00A91563">
              <w:t xml:space="preserve">Councils to report back to Ministry on </w:t>
            </w:r>
            <w:r>
              <w:t>monitoring data and progress towards their targets</w:t>
            </w:r>
          </w:p>
        </w:tc>
      </w:tr>
      <w:tr w:rsidR="00A503F6" w:rsidRPr="005267D4" w14:paraId="4C488187" w14:textId="77777777" w:rsidTr="00BC135F">
        <w:tc>
          <w:tcPr>
            <w:tcW w:w="1622" w:type="dxa"/>
            <w:vMerge/>
          </w:tcPr>
          <w:p w14:paraId="6477B03D" w14:textId="77777777" w:rsidR="00A503F6" w:rsidRPr="00F158EC" w:rsidRDefault="00A503F6" w:rsidP="004930CB">
            <w:pPr>
              <w:pStyle w:val="TableText"/>
              <w:keepNext/>
              <w:rPr>
                <w:b/>
              </w:rPr>
            </w:pPr>
          </w:p>
        </w:tc>
        <w:tc>
          <w:tcPr>
            <w:tcW w:w="2740" w:type="dxa"/>
            <w:vMerge/>
            <w:shd w:val="clear" w:color="auto" w:fill="FDE9D9"/>
          </w:tcPr>
          <w:p w14:paraId="5EB0F74A" w14:textId="77777777" w:rsidR="00A503F6" w:rsidRDefault="00A503F6" w:rsidP="004930CB">
            <w:pPr>
              <w:pStyle w:val="TableText"/>
              <w:keepNext/>
              <w:keepLines/>
            </w:pPr>
          </w:p>
        </w:tc>
        <w:tc>
          <w:tcPr>
            <w:tcW w:w="4358" w:type="dxa"/>
            <w:shd w:val="clear" w:color="auto" w:fill="FDE9D9"/>
          </w:tcPr>
          <w:p w14:paraId="460BC319" w14:textId="77777777" w:rsidR="00A503F6" w:rsidRPr="00A91563" w:rsidRDefault="00A503F6" w:rsidP="004930CB">
            <w:pPr>
              <w:pStyle w:val="TableText"/>
              <w:keepNext/>
            </w:pPr>
            <w:r w:rsidRPr="00A91563">
              <w:t>The Ministr</w:t>
            </w:r>
            <w:r>
              <w:t>y</w:t>
            </w:r>
            <w:r w:rsidRPr="00A91563">
              <w:t xml:space="preserve"> to review council monitoring data and airshed implementation progress report</w:t>
            </w:r>
            <w:r>
              <w:t>s</w:t>
            </w:r>
          </w:p>
        </w:tc>
      </w:tr>
      <w:tr w:rsidR="00A503F6" w:rsidRPr="005267D4" w14:paraId="22E44D81" w14:textId="77777777" w:rsidTr="00BC135F">
        <w:tc>
          <w:tcPr>
            <w:tcW w:w="1622" w:type="dxa"/>
            <w:vMerge/>
          </w:tcPr>
          <w:p w14:paraId="149E0405" w14:textId="77777777" w:rsidR="00A503F6" w:rsidRPr="00F158EC" w:rsidRDefault="00A503F6" w:rsidP="004930CB">
            <w:pPr>
              <w:pStyle w:val="TableText"/>
              <w:keepNext/>
              <w:rPr>
                <w:b/>
              </w:rPr>
            </w:pPr>
          </w:p>
        </w:tc>
        <w:tc>
          <w:tcPr>
            <w:tcW w:w="2740" w:type="dxa"/>
            <w:vMerge/>
            <w:shd w:val="clear" w:color="auto" w:fill="FDE9D9"/>
          </w:tcPr>
          <w:p w14:paraId="0D0CDD7B" w14:textId="77777777" w:rsidR="00A503F6" w:rsidRDefault="00A503F6" w:rsidP="004930CB">
            <w:pPr>
              <w:pStyle w:val="TableText"/>
              <w:keepNext/>
              <w:keepLines/>
            </w:pPr>
          </w:p>
        </w:tc>
        <w:tc>
          <w:tcPr>
            <w:tcW w:w="4358" w:type="dxa"/>
            <w:shd w:val="clear" w:color="auto" w:fill="FDE9D9"/>
          </w:tcPr>
          <w:p w14:paraId="41996ADC" w14:textId="77777777" w:rsidR="00A503F6" w:rsidRDefault="00A503F6" w:rsidP="004930CB">
            <w:pPr>
              <w:pStyle w:val="TableText"/>
              <w:keepNext/>
            </w:pPr>
            <w:r>
              <w:t>Under s27 of the RMA, the Minister may make a request for mandatory provision of this monitoring data</w:t>
            </w:r>
          </w:p>
          <w:p w14:paraId="35A55616" w14:textId="77777777" w:rsidR="00A503F6" w:rsidRPr="00A91563" w:rsidRDefault="00A503F6" w:rsidP="004930CB">
            <w:pPr>
              <w:pStyle w:val="TableText"/>
              <w:keepNext/>
            </w:pPr>
            <w:r>
              <w:t>For polluted airsheds, the Minister may also make a request for mandatory provision of an airshed action plan and/or a progress report to monitor whether councils are on track to meet their targets</w:t>
            </w:r>
          </w:p>
        </w:tc>
      </w:tr>
      <w:tr w:rsidR="00A503F6" w:rsidRPr="005267D4" w14:paraId="26D9CEA2" w14:textId="77777777" w:rsidTr="00BC135F">
        <w:tc>
          <w:tcPr>
            <w:tcW w:w="1622" w:type="dxa"/>
            <w:shd w:val="clear" w:color="auto" w:fill="D9D9D9"/>
          </w:tcPr>
          <w:p w14:paraId="2B7E1A97" w14:textId="77777777" w:rsidR="00A503F6" w:rsidRDefault="00A503F6" w:rsidP="00BC135F">
            <w:pPr>
              <w:pStyle w:val="TableText"/>
            </w:pPr>
          </w:p>
        </w:tc>
        <w:tc>
          <w:tcPr>
            <w:tcW w:w="2740" w:type="dxa"/>
            <w:shd w:val="clear" w:color="auto" w:fill="D9D9D9"/>
          </w:tcPr>
          <w:p w14:paraId="1FCEECB2" w14:textId="77777777" w:rsidR="00A503F6" w:rsidRDefault="00A503F6" w:rsidP="00BC135F">
            <w:pPr>
              <w:pStyle w:val="TableText"/>
            </w:pPr>
          </w:p>
        </w:tc>
        <w:tc>
          <w:tcPr>
            <w:tcW w:w="4358" w:type="dxa"/>
            <w:shd w:val="clear" w:color="auto" w:fill="D9D9D9"/>
          </w:tcPr>
          <w:p w14:paraId="605B3A56" w14:textId="77777777" w:rsidR="00A503F6" w:rsidRDefault="00A503F6" w:rsidP="00BC135F">
            <w:pPr>
              <w:pStyle w:val="TableText"/>
              <w:keepNext/>
              <w:keepLines/>
            </w:pPr>
          </w:p>
        </w:tc>
      </w:tr>
      <w:tr w:rsidR="00A503F6" w:rsidRPr="005267D4" w14:paraId="37D2C5C7" w14:textId="77777777" w:rsidTr="00BC135F">
        <w:tc>
          <w:tcPr>
            <w:tcW w:w="1622" w:type="dxa"/>
            <w:shd w:val="clear" w:color="auto" w:fill="auto"/>
          </w:tcPr>
          <w:p w14:paraId="0CD8EB15" w14:textId="77777777" w:rsidR="00A503F6" w:rsidRPr="00F158EC" w:rsidRDefault="00A503F6" w:rsidP="00BC135F">
            <w:pPr>
              <w:pStyle w:val="TableText"/>
              <w:rPr>
                <w:b/>
              </w:rPr>
            </w:pPr>
            <w:r w:rsidRPr="0016303C">
              <w:rPr>
                <w:b/>
              </w:rPr>
              <w:t>1 May 2015</w:t>
            </w:r>
          </w:p>
        </w:tc>
        <w:tc>
          <w:tcPr>
            <w:tcW w:w="2740" w:type="dxa"/>
            <w:shd w:val="clear" w:color="auto" w:fill="FDE9D9"/>
          </w:tcPr>
          <w:p w14:paraId="78BF2A04" w14:textId="77777777" w:rsidR="00A503F6" w:rsidRDefault="00A503F6" w:rsidP="00BC135F">
            <w:pPr>
              <w:pStyle w:val="TableText"/>
            </w:pPr>
            <w:r>
              <w:t>Report on compliance status to be released</w:t>
            </w:r>
          </w:p>
        </w:tc>
        <w:tc>
          <w:tcPr>
            <w:tcW w:w="4358" w:type="dxa"/>
            <w:shd w:val="clear" w:color="auto" w:fill="FDE9D9"/>
          </w:tcPr>
          <w:p w14:paraId="58BBCDCB"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28210496" w14:textId="77777777" w:rsidTr="00BC135F">
        <w:tc>
          <w:tcPr>
            <w:tcW w:w="1622" w:type="dxa"/>
            <w:vMerge w:val="restart"/>
          </w:tcPr>
          <w:p w14:paraId="2BFA45C0" w14:textId="77777777" w:rsidR="00A503F6" w:rsidRPr="00F158EC" w:rsidRDefault="00A503F6" w:rsidP="00BC135F">
            <w:pPr>
              <w:pStyle w:val="TableText"/>
              <w:keepNext/>
              <w:keepLines/>
              <w:rPr>
                <w:b/>
              </w:rPr>
            </w:pPr>
            <w:r w:rsidRPr="00F158EC">
              <w:rPr>
                <w:b/>
              </w:rPr>
              <w:t>1 September 2015</w:t>
            </w:r>
          </w:p>
        </w:tc>
        <w:tc>
          <w:tcPr>
            <w:tcW w:w="2740" w:type="dxa"/>
            <w:vMerge w:val="restart"/>
            <w:shd w:val="clear" w:color="auto" w:fill="FDE9D9"/>
          </w:tcPr>
          <w:p w14:paraId="3B52A427" w14:textId="77777777" w:rsidR="00A503F6" w:rsidRDefault="00A503F6" w:rsidP="00BC135F">
            <w:pPr>
              <w:pStyle w:val="TableText"/>
              <w:keepNext/>
              <w:keepLines/>
            </w:pPr>
            <w:r>
              <w:t>Progress on compliance to be reviewed</w:t>
            </w:r>
          </w:p>
        </w:tc>
        <w:tc>
          <w:tcPr>
            <w:tcW w:w="4358" w:type="dxa"/>
            <w:shd w:val="clear" w:color="auto" w:fill="FABF8F"/>
          </w:tcPr>
          <w:p w14:paraId="6C7037FE" w14:textId="77777777" w:rsidR="00A503F6" w:rsidRDefault="00A503F6" w:rsidP="00BC135F">
            <w:pPr>
              <w:pStyle w:val="TableText"/>
              <w:keepNext/>
              <w:keepLines/>
            </w:pPr>
            <w:r w:rsidRPr="00A91563">
              <w:t xml:space="preserve">Councils to report back to Ministry on </w:t>
            </w:r>
            <w:r>
              <w:t>monitoring data and progress towards targets</w:t>
            </w:r>
          </w:p>
        </w:tc>
      </w:tr>
      <w:tr w:rsidR="00A503F6" w:rsidRPr="005267D4" w14:paraId="6CABAD8D" w14:textId="77777777" w:rsidTr="00BC135F">
        <w:tc>
          <w:tcPr>
            <w:tcW w:w="1622" w:type="dxa"/>
            <w:vMerge/>
          </w:tcPr>
          <w:p w14:paraId="15B9A4F8" w14:textId="77777777" w:rsidR="00A503F6" w:rsidRPr="00F158EC" w:rsidRDefault="00A503F6" w:rsidP="00BC135F">
            <w:pPr>
              <w:pStyle w:val="TableText"/>
              <w:keepNext/>
              <w:keepLines/>
              <w:rPr>
                <w:b/>
              </w:rPr>
            </w:pPr>
          </w:p>
        </w:tc>
        <w:tc>
          <w:tcPr>
            <w:tcW w:w="2740" w:type="dxa"/>
            <w:vMerge/>
            <w:shd w:val="clear" w:color="auto" w:fill="FDE9D9"/>
          </w:tcPr>
          <w:p w14:paraId="0DFA7399" w14:textId="77777777" w:rsidR="00A503F6" w:rsidRDefault="00A503F6" w:rsidP="00BC135F">
            <w:pPr>
              <w:pStyle w:val="TableText"/>
              <w:keepNext/>
              <w:keepLines/>
            </w:pPr>
          </w:p>
        </w:tc>
        <w:tc>
          <w:tcPr>
            <w:tcW w:w="4358" w:type="dxa"/>
            <w:shd w:val="clear" w:color="auto" w:fill="FDE9D9"/>
          </w:tcPr>
          <w:p w14:paraId="5C315C38" w14:textId="77777777" w:rsidR="00A503F6" w:rsidRPr="00A91563" w:rsidRDefault="00A503F6" w:rsidP="00BC135F">
            <w:pPr>
              <w:pStyle w:val="TableText"/>
              <w:keepNext/>
              <w:keepLines/>
            </w:pPr>
            <w:r w:rsidRPr="00A91563">
              <w:t>The Ministr</w:t>
            </w:r>
            <w:r>
              <w:t>y</w:t>
            </w:r>
            <w:r w:rsidRPr="00A91563">
              <w:t xml:space="preserve"> to review council monitoring data and airshed implementation progress report</w:t>
            </w:r>
            <w:r>
              <w:t>s</w:t>
            </w:r>
          </w:p>
        </w:tc>
      </w:tr>
      <w:tr w:rsidR="00A503F6" w:rsidRPr="005267D4" w14:paraId="617B1982" w14:textId="77777777" w:rsidTr="00BC135F">
        <w:tc>
          <w:tcPr>
            <w:tcW w:w="1622" w:type="dxa"/>
            <w:vMerge/>
          </w:tcPr>
          <w:p w14:paraId="112DF8EE" w14:textId="77777777" w:rsidR="00A503F6" w:rsidRPr="00F158EC" w:rsidRDefault="00A503F6" w:rsidP="00BC135F">
            <w:pPr>
              <w:pStyle w:val="TableText"/>
              <w:keepNext/>
              <w:keepLines/>
              <w:rPr>
                <w:b/>
              </w:rPr>
            </w:pPr>
          </w:p>
        </w:tc>
        <w:tc>
          <w:tcPr>
            <w:tcW w:w="2740" w:type="dxa"/>
            <w:vMerge/>
            <w:shd w:val="clear" w:color="auto" w:fill="FDE9D9"/>
          </w:tcPr>
          <w:p w14:paraId="2BB37BEF" w14:textId="77777777" w:rsidR="00A503F6" w:rsidRDefault="00A503F6" w:rsidP="00BC135F">
            <w:pPr>
              <w:pStyle w:val="TableText"/>
              <w:keepNext/>
              <w:keepLines/>
            </w:pPr>
          </w:p>
        </w:tc>
        <w:tc>
          <w:tcPr>
            <w:tcW w:w="4358" w:type="dxa"/>
            <w:shd w:val="clear" w:color="auto" w:fill="FDE9D9"/>
          </w:tcPr>
          <w:p w14:paraId="1FA63F84" w14:textId="77777777" w:rsidR="00A503F6" w:rsidRDefault="00A503F6" w:rsidP="00BC135F">
            <w:pPr>
              <w:pStyle w:val="TableText"/>
              <w:keepNext/>
              <w:keepLines/>
            </w:pPr>
            <w:r>
              <w:t>Under s27 of the RMA, the Minister may make a request for mandatory provision of this monitoring data</w:t>
            </w:r>
          </w:p>
          <w:p w14:paraId="47DF6D90" w14:textId="77777777" w:rsidR="00A503F6" w:rsidRPr="00A91563" w:rsidRDefault="00A503F6" w:rsidP="00BC135F">
            <w:pPr>
              <w:pStyle w:val="TableText"/>
              <w:keepNext/>
              <w:keepLines/>
            </w:pPr>
            <w:r>
              <w:t>For polluted airsheds, the Minister may also make a request for mandatory provision of an airshed action plan and/or a progress report to monitor whether councils are on track to meet their targets</w:t>
            </w:r>
          </w:p>
        </w:tc>
      </w:tr>
      <w:tr w:rsidR="00A503F6" w:rsidRPr="005267D4" w14:paraId="2DF3F3F1" w14:textId="77777777" w:rsidTr="00BC135F">
        <w:tc>
          <w:tcPr>
            <w:tcW w:w="1622" w:type="dxa"/>
            <w:shd w:val="clear" w:color="auto" w:fill="D9D9D9"/>
          </w:tcPr>
          <w:p w14:paraId="4A8E7528" w14:textId="77777777" w:rsidR="00A503F6" w:rsidRDefault="00A503F6" w:rsidP="00BC135F">
            <w:pPr>
              <w:pStyle w:val="TableText"/>
            </w:pPr>
          </w:p>
        </w:tc>
        <w:tc>
          <w:tcPr>
            <w:tcW w:w="2740" w:type="dxa"/>
            <w:shd w:val="clear" w:color="auto" w:fill="D9D9D9"/>
          </w:tcPr>
          <w:p w14:paraId="56314CB5" w14:textId="77777777" w:rsidR="00A503F6" w:rsidRDefault="00A503F6" w:rsidP="00BC135F">
            <w:pPr>
              <w:pStyle w:val="TableText"/>
            </w:pPr>
          </w:p>
        </w:tc>
        <w:tc>
          <w:tcPr>
            <w:tcW w:w="4358" w:type="dxa"/>
            <w:shd w:val="clear" w:color="auto" w:fill="D9D9D9"/>
          </w:tcPr>
          <w:p w14:paraId="3C58990A" w14:textId="77777777" w:rsidR="00A503F6" w:rsidRDefault="00A503F6" w:rsidP="00BC135F">
            <w:pPr>
              <w:pStyle w:val="TableText"/>
            </w:pPr>
          </w:p>
        </w:tc>
      </w:tr>
      <w:tr w:rsidR="00A503F6" w:rsidRPr="005267D4" w14:paraId="10EA2F6D" w14:textId="77777777" w:rsidTr="00BC135F">
        <w:tc>
          <w:tcPr>
            <w:tcW w:w="1622" w:type="dxa"/>
            <w:shd w:val="clear" w:color="auto" w:fill="auto"/>
          </w:tcPr>
          <w:p w14:paraId="02E24031" w14:textId="77777777" w:rsidR="00A503F6" w:rsidRPr="00F158EC" w:rsidRDefault="00A503F6" w:rsidP="00BC135F">
            <w:pPr>
              <w:pStyle w:val="TableText"/>
              <w:rPr>
                <w:b/>
              </w:rPr>
            </w:pPr>
            <w:r w:rsidRPr="0016303C">
              <w:rPr>
                <w:b/>
              </w:rPr>
              <w:t>1 May 2016</w:t>
            </w:r>
          </w:p>
        </w:tc>
        <w:tc>
          <w:tcPr>
            <w:tcW w:w="2740" w:type="dxa"/>
            <w:shd w:val="clear" w:color="auto" w:fill="FDE9D9"/>
          </w:tcPr>
          <w:p w14:paraId="3CC550E6" w14:textId="77777777" w:rsidR="00A503F6" w:rsidRDefault="00A503F6" w:rsidP="00BC135F">
            <w:pPr>
              <w:pStyle w:val="TableText"/>
            </w:pPr>
            <w:r>
              <w:t>Report on compliance status to be released</w:t>
            </w:r>
          </w:p>
        </w:tc>
        <w:tc>
          <w:tcPr>
            <w:tcW w:w="4358" w:type="dxa"/>
            <w:shd w:val="clear" w:color="auto" w:fill="FDE9D9"/>
          </w:tcPr>
          <w:p w14:paraId="78BD4AC4"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1D670B40" w14:textId="77777777" w:rsidTr="00BC135F">
        <w:tc>
          <w:tcPr>
            <w:tcW w:w="1622" w:type="dxa"/>
            <w:vMerge w:val="restart"/>
          </w:tcPr>
          <w:p w14:paraId="032A2392" w14:textId="77777777" w:rsidR="00A503F6" w:rsidRPr="00F158EC" w:rsidRDefault="00A503F6" w:rsidP="00CF14F6">
            <w:pPr>
              <w:pStyle w:val="TableText"/>
              <w:keepNext/>
              <w:rPr>
                <w:b/>
              </w:rPr>
            </w:pPr>
            <w:r w:rsidRPr="00F158EC">
              <w:rPr>
                <w:b/>
              </w:rPr>
              <w:t>1 September 2016</w:t>
            </w:r>
          </w:p>
        </w:tc>
        <w:tc>
          <w:tcPr>
            <w:tcW w:w="2740" w:type="dxa"/>
            <w:vMerge w:val="restart"/>
            <w:shd w:val="clear" w:color="auto" w:fill="FDE9D9"/>
          </w:tcPr>
          <w:p w14:paraId="02A349A5" w14:textId="77777777" w:rsidR="00A503F6" w:rsidRDefault="00A503F6" w:rsidP="00CF14F6">
            <w:pPr>
              <w:pStyle w:val="TableText"/>
              <w:keepNext/>
            </w:pPr>
            <w:r>
              <w:t>Progress on compliance to be reviewed</w:t>
            </w:r>
          </w:p>
        </w:tc>
        <w:tc>
          <w:tcPr>
            <w:tcW w:w="4358" w:type="dxa"/>
            <w:shd w:val="clear" w:color="auto" w:fill="FABF8F"/>
          </w:tcPr>
          <w:p w14:paraId="4D4CFBDC" w14:textId="77777777" w:rsidR="00A503F6" w:rsidRDefault="00A503F6" w:rsidP="00CF14F6">
            <w:pPr>
              <w:pStyle w:val="TableText"/>
              <w:keepNext/>
            </w:pPr>
            <w:r w:rsidRPr="00A91563">
              <w:t xml:space="preserve">Councils to report back to Ministry on </w:t>
            </w:r>
            <w:r>
              <w:t>monitoring data and progress towards their targets</w:t>
            </w:r>
          </w:p>
        </w:tc>
      </w:tr>
      <w:tr w:rsidR="00A503F6" w:rsidRPr="005267D4" w14:paraId="0B87CE10" w14:textId="77777777" w:rsidTr="00BC135F">
        <w:tc>
          <w:tcPr>
            <w:tcW w:w="1622" w:type="dxa"/>
            <w:vMerge/>
          </w:tcPr>
          <w:p w14:paraId="15274A67" w14:textId="77777777" w:rsidR="00A503F6" w:rsidRPr="00F158EC" w:rsidRDefault="00A503F6" w:rsidP="00CF14F6">
            <w:pPr>
              <w:pStyle w:val="TableText"/>
              <w:keepNext/>
              <w:rPr>
                <w:b/>
              </w:rPr>
            </w:pPr>
          </w:p>
        </w:tc>
        <w:tc>
          <w:tcPr>
            <w:tcW w:w="2740" w:type="dxa"/>
            <w:vMerge/>
            <w:shd w:val="clear" w:color="auto" w:fill="FDE9D9"/>
          </w:tcPr>
          <w:p w14:paraId="1F5E1515" w14:textId="77777777" w:rsidR="00A503F6" w:rsidRDefault="00A503F6" w:rsidP="00CF14F6">
            <w:pPr>
              <w:pStyle w:val="TableText"/>
              <w:keepNext/>
            </w:pPr>
          </w:p>
        </w:tc>
        <w:tc>
          <w:tcPr>
            <w:tcW w:w="4358" w:type="dxa"/>
            <w:shd w:val="clear" w:color="auto" w:fill="FDE9D9"/>
          </w:tcPr>
          <w:p w14:paraId="775B7AED" w14:textId="77777777" w:rsidR="00A503F6" w:rsidRPr="00A91563" w:rsidRDefault="00A503F6" w:rsidP="00CF14F6">
            <w:pPr>
              <w:pStyle w:val="TableText"/>
              <w:keepNext/>
            </w:pPr>
            <w:r w:rsidRPr="00A91563">
              <w:t>The Ministr</w:t>
            </w:r>
            <w:r>
              <w:t>y</w:t>
            </w:r>
            <w:r w:rsidRPr="00A91563">
              <w:t xml:space="preserve"> to review council monitoring data and airshed implementation progress report</w:t>
            </w:r>
            <w:r>
              <w:t>s</w:t>
            </w:r>
          </w:p>
        </w:tc>
      </w:tr>
      <w:tr w:rsidR="00A503F6" w:rsidRPr="005267D4" w14:paraId="6B83FE19" w14:textId="77777777" w:rsidTr="00BC135F">
        <w:tc>
          <w:tcPr>
            <w:tcW w:w="1622" w:type="dxa"/>
            <w:vMerge/>
          </w:tcPr>
          <w:p w14:paraId="73F8E7F1" w14:textId="77777777" w:rsidR="00A503F6" w:rsidRPr="00F158EC" w:rsidRDefault="00A503F6" w:rsidP="00CF14F6">
            <w:pPr>
              <w:pStyle w:val="TableText"/>
              <w:keepNext/>
              <w:rPr>
                <w:b/>
              </w:rPr>
            </w:pPr>
          </w:p>
        </w:tc>
        <w:tc>
          <w:tcPr>
            <w:tcW w:w="2740" w:type="dxa"/>
            <w:vMerge/>
            <w:shd w:val="clear" w:color="auto" w:fill="FDE9D9"/>
          </w:tcPr>
          <w:p w14:paraId="2EE7083B" w14:textId="77777777" w:rsidR="00A503F6" w:rsidRDefault="00A503F6" w:rsidP="00CF14F6">
            <w:pPr>
              <w:pStyle w:val="TableText"/>
              <w:keepNext/>
            </w:pPr>
          </w:p>
        </w:tc>
        <w:tc>
          <w:tcPr>
            <w:tcW w:w="4358" w:type="dxa"/>
            <w:shd w:val="clear" w:color="auto" w:fill="FDE9D9"/>
          </w:tcPr>
          <w:p w14:paraId="703386B0" w14:textId="77777777" w:rsidR="00A503F6" w:rsidRDefault="00A503F6" w:rsidP="00CF14F6">
            <w:pPr>
              <w:pStyle w:val="TableText"/>
              <w:keepNext/>
            </w:pPr>
            <w:r>
              <w:t>Under s27 of the RMA, the Minister may make a request for mandatory provision of this monitoring data</w:t>
            </w:r>
          </w:p>
          <w:p w14:paraId="03C3042E" w14:textId="77777777" w:rsidR="00A503F6" w:rsidRPr="00A91563" w:rsidRDefault="00A503F6" w:rsidP="00CF14F6">
            <w:pPr>
              <w:pStyle w:val="TableText"/>
              <w:keepNext/>
            </w:pPr>
            <w:r>
              <w:t>For polluted airsheds, the Minister may also make a request for mandatory provision of an airshed action plan and/or a progress report to monitor whether councils are on track to meet their targets</w:t>
            </w:r>
          </w:p>
        </w:tc>
      </w:tr>
      <w:tr w:rsidR="00A503F6" w:rsidRPr="005267D4" w14:paraId="33ADFB83" w14:textId="77777777" w:rsidTr="00BC135F">
        <w:tc>
          <w:tcPr>
            <w:tcW w:w="1622" w:type="dxa"/>
            <w:vMerge/>
          </w:tcPr>
          <w:p w14:paraId="41B7F76C" w14:textId="77777777" w:rsidR="00A503F6" w:rsidRDefault="00A503F6" w:rsidP="00CF14F6">
            <w:pPr>
              <w:pStyle w:val="TableText"/>
              <w:keepNext/>
            </w:pPr>
          </w:p>
        </w:tc>
        <w:tc>
          <w:tcPr>
            <w:tcW w:w="2740" w:type="dxa"/>
            <w:vMerge w:val="restart"/>
            <w:shd w:val="clear" w:color="auto" w:fill="E36C0A"/>
          </w:tcPr>
          <w:p w14:paraId="499BCB44" w14:textId="77777777" w:rsidR="00A503F6" w:rsidRDefault="00A503F6" w:rsidP="00CF14F6">
            <w:pPr>
              <w:pStyle w:val="TableText"/>
              <w:keepNext/>
            </w:pPr>
            <w:r>
              <w:t>All airsheds to meet three or fewer permissible exceedances per 12-month period from this date</w:t>
            </w:r>
          </w:p>
        </w:tc>
        <w:tc>
          <w:tcPr>
            <w:tcW w:w="4358" w:type="dxa"/>
            <w:shd w:val="clear" w:color="auto" w:fill="E36C0A"/>
          </w:tcPr>
          <w:p w14:paraId="78D1D228" w14:textId="77777777" w:rsidR="00A503F6" w:rsidRDefault="00A503F6" w:rsidP="00CF14F6">
            <w:pPr>
              <w:pStyle w:val="TableText"/>
              <w:keepNext/>
            </w:pPr>
            <w:r>
              <w:t>Eligible councils to achieve no more than three permissible exceedances per rolling 12-month period from this date</w:t>
            </w:r>
          </w:p>
          <w:p w14:paraId="24783C4C" w14:textId="77777777" w:rsidR="00A503F6" w:rsidRDefault="00A503F6" w:rsidP="00CF14F6">
            <w:pPr>
              <w:pStyle w:val="TableText"/>
              <w:keepNext/>
            </w:pPr>
            <w:r>
              <w:t>All other councils to achieve no more than one permissible exceedance</w:t>
            </w:r>
          </w:p>
        </w:tc>
      </w:tr>
      <w:tr w:rsidR="00A503F6" w:rsidRPr="005267D4" w14:paraId="363ACFF4" w14:textId="77777777" w:rsidTr="00BC135F">
        <w:tc>
          <w:tcPr>
            <w:tcW w:w="1622" w:type="dxa"/>
            <w:vMerge/>
          </w:tcPr>
          <w:p w14:paraId="3496AA81" w14:textId="77777777" w:rsidR="00A503F6" w:rsidRDefault="00A503F6" w:rsidP="00CF14F6">
            <w:pPr>
              <w:pStyle w:val="TableText"/>
              <w:keepNext/>
            </w:pPr>
          </w:p>
        </w:tc>
        <w:tc>
          <w:tcPr>
            <w:tcW w:w="2740" w:type="dxa"/>
            <w:vMerge/>
            <w:shd w:val="clear" w:color="auto" w:fill="E36C0A"/>
          </w:tcPr>
          <w:p w14:paraId="1317EF82" w14:textId="77777777" w:rsidR="00A503F6" w:rsidRDefault="00A503F6" w:rsidP="00CF14F6">
            <w:pPr>
              <w:pStyle w:val="TableText"/>
              <w:keepNext/>
            </w:pPr>
          </w:p>
        </w:tc>
        <w:tc>
          <w:tcPr>
            <w:tcW w:w="4358" w:type="dxa"/>
            <w:shd w:val="clear" w:color="auto" w:fill="FDE9D9"/>
          </w:tcPr>
          <w:p w14:paraId="184BFD22" w14:textId="77777777" w:rsidR="00A503F6" w:rsidRDefault="00A503F6" w:rsidP="00CF14F6">
            <w:pPr>
              <w:pStyle w:val="TableText"/>
              <w:keepNext/>
            </w:pPr>
            <w:r>
              <w:t>Under s24A of the RMA, the Minister may commence an  investigation of the performance of any non-complying councils</w:t>
            </w:r>
          </w:p>
        </w:tc>
      </w:tr>
      <w:tr w:rsidR="00A503F6" w:rsidRPr="005267D4" w14:paraId="48F3C75A" w14:textId="77777777" w:rsidTr="00BC135F">
        <w:tc>
          <w:tcPr>
            <w:tcW w:w="1622" w:type="dxa"/>
            <w:shd w:val="clear" w:color="auto" w:fill="D9D9D9"/>
          </w:tcPr>
          <w:p w14:paraId="09488BE0" w14:textId="77777777" w:rsidR="00A503F6" w:rsidRDefault="00A503F6" w:rsidP="00BC135F">
            <w:pPr>
              <w:pStyle w:val="TableText"/>
            </w:pPr>
          </w:p>
        </w:tc>
        <w:tc>
          <w:tcPr>
            <w:tcW w:w="2740" w:type="dxa"/>
            <w:shd w:val="clear" w:color="auto" w:fill="D9D9D9"/>
          </w:tcPr>
          <w:p w14:paraId="3F2AC7BF" w14:textId="77777777" w:rsidR="00A503F6" w:rsidRDefault="00A503F6" w:rsidP="00BC135F">
            <w:pPr>
              <w:pStyle w:val="TableText"/>
            </w:pPr>
          </w:p>
        </w:tc>
        <w:tc>
          <w:tcPr>
            <w:tcW w:w="4358" w:type="dxa"/>
            <w:shd w:val="clear" w:color="auto" w:fill="D9D9D9"/>
          </w:tcPr>
          <w:p w14:paraId="673DCD24" w14:textId="77777777" w:rsidR="00A503F6" w:rsidRDefault="00A503F6" w:rsidP="00BC135F">
            <w:pPr>
              <w:pStyle w:val="TableText"/>
            </w:pPr>
          </w:p>
        </w:tc>
      </w:tr>
      <w:tr w:rsidR="00A503F6" w:rsidRPr="005267D4" w14:paraId="0E9A5092" w14:textId="77777777" w:rsidTr="00BC135F">
        <w:tc>
          <w:tcPr>
            <w:tcW w:w="1622" w:type="dxa"/>
            <w:shd w:val="clear" w:color="auto" w:fill="auto"/>
          </w:tcPr>
          <w:p w14:paraId="4B33A967" w14:textId="77777777" w:rsidR="00A503F6" w:rsidRPr="00F158EC" w:rsidRDefault="00A503F6" w:rsidP="00BC135F">
            <w:pPr>
              <w:pStyle w:val="TableText"/>
              <w:rPr>
                <w:b/>
              </w:rPr>
            </w:pPr>
            <w:r w:rsidRPr="0016303C">
              <w:rPr>
                <w:b/>
              </w:rPr>
              <w:t>1 May 2017</w:t>
            </w:r>
          </w:p>
        </w:tc>
        <w:tc>
          <w:tcPr>
            <w:tcW w:w="2740" w:type="dxa"/>
            <w:shd w:val="clear" w:color="auto" w:fill="FDE9D9"/>
          </w:tcPr>
          <w:p w14:paraId="17F6A8DD" w14:textId="77777777" w:rsidR="00A503F6" w:rsidRDefault="00A503F6" w:rsidP="00BC135F">
            <w:pPr>
              <w:pStyle w:val="TableText"/>
            </w:pPr>
            <w:r>
              <w:t>Report on compliance status to be released</w:t>
            </w:r>
          </w:p>
        </w:tc>
        <w:tc>
          <w:tcPr>
            <w:tcW w:w="4358" w:type="dxa"/>
            <w:shd w:val="clear" w:color="auto" w:fill="FDE9D9"/>
          </w:tcPr>
          <w:p w14:paraId="6CB8F4F5"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763FF1C5" w14:textId="77777777" w:rsidTr="00BC135F">
        <w:tc>
          <w:tcPr>
            <w:tcW w:w="1622" w:type="dxa"/>
            <w:vMerge w:val="restart"/>
          </w:tcPr>
          <w:p w14:paraId="5111A45D" w14:textId="77777777" w:rsidR="00A503F6" w:rsidRPr="00F158EC" w:rsidRDefault="00A503F6" w:rsidP="00B80B24">
            <w:pPr>
              <w:pStyle w:val="TableText"/>
              <w:keepNext/>
              <w:rPr>
                <w:b/>
              </w:rPr>
            </w:pPr>
            <w:r w:rsidRPr="00F158EC">
              <w:rPr>
                <w:b/>
              </w:rPr>
              <w:t>1 September 2017</w:t>
            </w:r>
          </w:p>
        </w:tc>
        <w:tc>
          <w:tcPr>
            <w:tcW w:w="2740" w:type="dxa"/>
            <w:vMerge w:val="restart"/>
            <w:shd w:val="clear" w:color="auto" w:fill="FDE9D9"/>
          </w:tcPr>
          <w:p w14:paraId="2CDB6DE3" w14:textId="77777777" w:rsidR="00A503F6" w:rsidRDefault="00A503F6" w:rsidP="00B80B24">
            <w:pPr>
              <w:pStyle w:val="TableText"/>
              <w:keepNext/>
            </w:pPr>
            <w:r>
              <w:t>Progress on compliance to be reviewed</w:t>
            </w:r>
          </w:p>
        </w:tc>
        <w:tc>
          <w:tcPr>
            <w:tcW w:w="4358" w:type="dxa"/>
            <w:shd w:val="clear" w:color="auto" w:fill="FABF8F"/>
          </w:tcPr>
          <w:p w14:paraId="791358BB" w14:textId="77777777" w:rsidR="00A503F6" w:rsidRDefault="00A503F6" w:rsidP="00B80B24">
            <w:pPr>
              <w:pStyle w:val="TableText"/>
              <w:keepNext/>
              <w:keepLines/>
            </w:pPr>
            <w:r w:rsidRPr="00A91563">
              <w:t xml:space="preserve">Councils to report back to Ministry on </w:t>
            </w:r>
            <w:r>
              <w:t>monitoring data and progress towards their targets</w:t>
            </w:r>
          </w:p>
        </w:tc>
      </w:tr>
      <w:tr w:rsidR="00A503F6" w:rsidRPr="005267D4" w14:paraId="36E718AF" w14:textId="77777777" w:rsidTr="00BC135F">
        <w:tc>
          <w:tcPr>
            <w:tcW w:w="1622" w:type="dxa"/>
            <w:vMerge/>
          </w:tcPr>
          <w:p w14:paraId="0E2B0BE1" w14:textId="77777777" w:rsidR="00A503F6" w:rsidRPr="00F158EC" w:rsidRDefault="00A503F6" w:rsidP="00B80B24">
            <w:pPr>
              <w:pStyle w:val="TableText"/>
              <w:keepNext/>
              <w:rPr>
                <w:b/>
              </w:rPr>
            </w:pPr>
          </w:p>
        </w:tc>
        <w:tc>
          <w:tcPr>
            <w:tcW w:w="2740" w:type="dxa"/>
            <w:vMerge/>
            <w:shd w:val="clear" w:color="auto" w:fill="FDE9D9"/>
          </w:tcPr>
          <w:p w14:paraId="24736D37" w14:textId="77777777" w:rsidR="00A503F6" w:rsidRDefault="00A503F6" w:rsidP="00B80B24">
            <w:pPr>
              <w:pStyle w:val="TableText"/>
              <w:keepNext/>
            </w:pPr>
          </w:p>
        </w:tc>
        <w:tc>
          <w:tcPr>
            <w:tcW w:w="4358" w:type="dxa"/>
            <w:shd w:val="clear" w:color="auto" w:fill="FDE9D9"/>
          </w:tcPr>
          <w:p w14:paraId="7B318C7A" w14:textId="77777777" w:rsidR="00A503F6" w:rsidRPr="00A91563" w:rsidRDefault="00A503F6" w:rsidP="00B80B24">
            <w:pPr>
              <w:pStyle w:val="TableText"/>
              <w:keepNext/>
              <w:keepLines/>
            </w:pPr>
            <w:r w:rsidRPr="00A91563">
              <w:t>The Ministr</w:t>
            </w:r>
            <w:r>
              <w:t>y</w:t>
            </w:r>
            <w:r w:rsidRPr="00A91563">
              <w:t xml:space="preserve"> to review council monitoring data and airshed implementation progress report</w:t>
            </w:r>
            <w:r>
              <w:t>s</w:t>
            </w:r>
          </w:p>
        </w:tc>
      </w:tr>
      <w:tr w:rsidR="00A503F6" w:rsidRPr="005267D4" w14:paraId="20C2B937" w14:textId="77777777" w:rsidTr="00BC135F">
        <w:tc>
          <w:tcPr>
            <w:tcW w:w="1622" w:type="dxa"/>
            <w:vMerge/>
          </w:tcPr>
          <w:p w14:paraId="5AAACEDC" w14:textId="77777777" w:rsidR="00A503F6" w:rsidRPr="00F158EC" w:rsidRDefault="00A503F6" w:rsidP="00B80B24">
            <w:pPr>
              <w:pStyle w:val="TableText"/>
              <w:keepNext/>
              <w:rPr>
                <w:b/>
              </w:rPr>
            </w:pPr>
          </w:p>
        </w:tc>
        <w:tc>
          <w:tcPr>
            <w:tcW w:w="2740" w:type="dxa"/>
            <w:vMerge/>
            <w:shd w:val="clear" w:color="auto" w:fill="FDE9D9"/>
          </w:tcPr>
          <w:p w14:paraId="65CEAD3B" w14:textId="77777777" w:rsidR="00A503F6" w:rsidRDefault="00A503F6" w:rsidP="00B80B24">
            <w:pPr>
              <w:pStyle w:val="TableText"/>
              <w:keepNext/>
            </w:pPr>
          </w:p>
        </w:tc>
        <w:tc>
          <w:tcPr>
            <w:tcW w:w="4358" w:type="dxa"/>
            <w:shd w:val="clear" w:color="auto" w:fill="FDE9D9"/>
          </w:tcPr>
          <w:p w14:paraId="44D88C12" w14:textId="77777777" w:rsidR="00A503F6" w:rsidRDefault="00A503F6" w:rsidP="00B80B24">
            <w:pPr>
              <w:pStyle w:val="TableText"/>
              <w:keepNext/>
              <w:keepLines/>
            </w:pPr>
            <w:r>
              <w:t>Under s27 of the RMA, the Minister may make a request for mandatory provision of this monitoring data</w:t>
            </w:r>
          </w:p>
          <w:p w14:paraId="42826DFF" w14:textId="77777777" w:rsidR="00A503F6" w:rsidRPr="00A91563" w:rsidRDefault="00A503F6" w:rsidP="00B80B24">
            <w:pPr>
              <w:pStyle w:val="TableText"/>
              <w:keepNext/>
              <w:keepLines/>
            </w:pPr>
            <w:r>
              <w:t>For polluted airsheds, the Minister may also make a request for mandatory provision of an airshed action plan and/or a progress report to monitor whether councils are on track to meet their targets</w:t>
            </w:r>
          </w:p>
        </w:tc>
      </w:tr>
      <w:tr w:rsidR="00A503F6" w:rsidRPr="005267D4" w14:paraId="7DA16CC9" w14:textId="77777777" w:rsidTr="00BC135F">
        <w:tc>
          <w:tcPr>
            <w:tcW w:w="1622" w:type="dxa"/>
            <w:shd w:val="clear" w:color="auto" w:fill="D9D9D9"/>
          </w:tcPr>
          <w:p w14:paraId="694823D5" w14:textId="77777777" w:rsidR="00A503F6" w:rsidRDefault="00A503F6" w:rsidP="00BC135F">
            <w:pPr>
              <w:pStyle w:val="TableText"/>
            </w:pPr>
          </w:p>
        </w:tc>
        <w:tc>
          <w:tcPr>
            <w:tcW w:w="2740" w:type="dxa"/>
            <w:shd w:val="clear" w:color="auto" w:fill="D9D9D9"/>
          </w:tcPr>
          <w:p w14:paraId="0F938CB5" w14:textId="77777777" w:rsidR="00A503F6" w:rsidRDefault="00A503F6" w:rsidP="00BC135F">
            <w:pPr>
              <w:pStyle w:val="TableText"/>
            </w:pPr>
          </w:p>
        </w:tc>
        <w:tc>
          <w:tcPr>
            <w:tcW w:w="4358" w:type="dxa"/>
            <w:shd w:val="clear" w:color="auto" w:fill="D9D9D9"/>
          </w:tcPr>
          <w:p w14:paraId="2A89A591" w14:textId="77777777" w:rsidR="00A503F6" w:rsidRDefault="00A503F6" w:rsidP="00BC135F">
            <w:pPr>
              <w:pStyle w:val="TableText"/>
            </w:pPr>
          </w:p>
        </w:tc>
      </w:tr>
      <w:tr w:rsidR="00A503F6" w:rsidRPr="005267D4" w14:paraId="7514CBB1" w14:textId="77777777" w:rsidTr="00BC135F">
        <w:tc>
          <w:tcPr>
            <w:tcW w:w="1622" w:type="dxa"/>
            <w:shd w:val="clear" w:color="auto" w:fill="auto"/>
          </w:tcPr>
          <w:p w14:paraId="34D7554E" w14:textId="77777777" w:rsidR="00A503F6" w:rsidRPr="00F158EC" w:rsidRDefault="00A503F6" w:rsidP="00BC135F">
            <w:pPr>
              <w:pStyle w:val="TableText"/>
              <w:rPr>
                <w:b/>
              </w:rPr>
            </w:pPr>
            <w:r w:rsidRPr="00193A78">
              <w:rPr>
                <w:b/>
              </w:rPr>
              <w:t>1 May 2018</w:t>
            </w:r>
          </w:p>
        </w:tc>
        <w:tc>
          <w:tcPr>
            <w:tcW w:w="2740" w:type="dxa"/>
            <w:shd w:val="clear" w:color="auto" w:fill="FDE9D9"/>
          </w:tcPr>
          <w:p w14:paraId="43F05598" w14:textId="77777777" w:rsidR="00A503F6" w:rsidRDefault="00A503F6" w:rsidP="00BC135F">
            <w:pPr>
              <w:pStyle w:val="TableText"/>
            </w:pPr>
            <w:r>
              <w:t>Report on compliance status to be released</w:t>
            </w:r>
          </w:p>
        </w:tc>
        <w:tc>
          <w:tcPr>
            <w:tcW w:w="4358" w:type="dxa"/>
            <w:shd w:val="clear" w:color="auto" w:fill="FDE9D9"/>
          </w:tcPr>
          <w:p w14:paraId="76109443"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29FD9D40" w14:textId="77777777" w:rsidTr="00BC135F">
        <w:tc>
          <w:tcPr>
            <w:tcW w:w="1622" w:type="dxa"/>
            <w:vMerge w:val="restart"/>
          </w:tcPr>
          <w:p w14:paraId="39D74128" w14:textId="77777777" w:rsidR="00A503F6" w:rsidRPr="00F158EC" w:rsidRDefault="00A503F6" w:rsidP="00BC135F">
            <w:pPr>
              <w:pStyle w:val="TableText"/>
              <w:keepNext/>
              <w:keepLines/>
              <w:rPr>
                <w:b/>
              </w:rPr>
            </w:pPr>
            <w:r w:rsidRPr="00F158EC">
              <w:rPr>
                <w:b/>
              </w:rPr>
              <w:t>1 September 2018</w:t>
            </w:r>
          </w:p>
        </w:tc>
        <w:tc>
          <w:tcPr>
            <w:tcW w:w="2740" w:type="dxa"/>
            <w:vMerge w:val="restart"/>
            <w:shd w:val="clear" w:color="auto" w:fill="FDE9D9"/>
          </w:tcPr>
          <w:p w14:paraId="11EB7F1D" w14:textId="77777777" w:rsidR="00A503F6" w:rsidRDefault="00A503F6" w:rsidP="00BC135F">
            <w:pPr>
              <w:pStyle w:val="TableText"/>
              <w:keepNext/>
              <w:keepLines/>
            </w:pPr>
            <w:r>
              <w:t>Progress on compliance to be reviewed</w:t>
            </w:r>
          </w:p>
        </w:tc>
        <w:tc>
          <w:tcPr>
            <w:tcW w:w="4358" w:type="dxa"/>
            <w:shd w:val="clear" w:color="auto" w:fill="FABF8F"/>
          </w:tcPr>
          <w:p w14:paraId="12783E60" w14:textId="77777777" w:rsidR="00A503F6" w:rsidRDefault="00A503F6" w:rsidP="00BC135F">
            <w:pPr>
              <w:pStyle w:val="TableText"/>
              <w:keepNext/>
              <w:keepLines/>
            </w:pPr>
            <w:r w:rsidRPr="00A91563">
              <w:t xml:space="preserve">Councils to report back to Ministry on </w:t>
            </w:r>
            <w:r>
              <w:t>monitoring data and progress towards their targets</w:t>
            </w:r>
          </w:p>
        </w:tc>
      </w:tr>
      <w:tr w:rsidR="00A503F6" w:rsidRPr="005267D4" w14:paraId="6A134E1A" w14:textId="77777777" w:rsidTr="00BC135F">
        <w:tc>
          <w:tcPr>
            <w:tcW w:w="1622" w:type="dxa"/>
            <w:vMerge/>
          </w:tcPr>
          <w:p w14:paraId="018678D2" w14:textId="77777777" w:rsidR="00A503F6" w:rsidRPr="00F158EC" w:rsidRDefault="00A503F6" w:rsidP="00BC135F">
            <w:pPr>
              <w:pStyle w:val="TableText"/>
              <w:keepNext/>
              <w:keepLines/>
              <w:rPr>
                <w:b/>
              </w:rPr>
            </w:pPr>
          </w:p>
        </w:tc>
        <w:tc>
          <w:tcPr>
            <w:tcW w:w="2740" w:type="dxa"/>
            <w:vMerge/>
            <w:shd w:val="clear" w:color="auto" w:fill="FDE9D9"/>
          </w:tcPr>
          <w:p w14:paraId="1ED5B83A" w14:textId="77777777" w:rsidR="00A503F6" w:rsidRDefault="00A503F6" w:rsidP="00BC135F">
            <w:pPr>
              <w:pStyle w:val="TableText"/>
              <w:keepNext/>
              <w:keepLines/>
            </w:pPr>
          </w:p>
        </w:tc>
        <w:tc>
          <w:tcPr>
            <w:tcW w:w="4358" w:type="dxa"/>
            <w:shd w:val="clear" w:color="auto" w:fill="FDE9D9"/>
          </w:tcPr>
          <w:p w14:paraId="08095BCC" w14:textId="77777777" w:rsidR="00A503F6" w:rsidRPr="00A91563" w:rsidRDefault="00A503F6" w:rsidP="00BC135F">
            <w:pPr>
              <w:pStyle w:val="TableText"/>
              <w:keepNext/>
              <w:keepLines/>
            </w:pPr>
            <w:r w:rsidRPr="00A91563">
              <w:t>The Ministr</w:t>
            </w:r>
            <w:r>
              <w:t>y</w:t>
            </w:r>
            <w:r w:rsidRPr="00A91563">
              <w:t xml:space="preserve"> to review council monitoring data and airshed implementation progress report</w:t>
            </w:r>
            <w:r>
              <w:t>s</w:t>
            </w:r>
          </w:p>
        </w:tc>
      </w:tr>
      <w:tr w:rsidR="00A503F6" w:rsidRPr="005267D4" w14:paraId="20D8E47A" w14:textId="77777777" w:rsidTr="00BC135F">
        <w:tc>
          <w:tcPr>
            <w:tcW w:w="1622" w:type="dxa"/>
            <w:vMerge/>
          </w:tcPr>
          <w:p w14:paraId="01A82B5B" w14:textId="77777777" w:rsidR="00A503F6" w:rsidRPr="00F158EC" w:rsidRDefault="00A503F6" w:rsidP="00BC135F">
            <w:pPr>
              <w:pStyle w:val="TableText"/>
              <w:keepNext/>
              <w:keepLines/>
              <w:rPr>
                <w:b/>
              </w:rPr>
            </w:pPr>
          </w:p>
        </w:tc>
        <w:tc>
          <w:tcPr>
            <w:tcW w:w="2740" w:type="dxa"/>
            <w:vMerge/>
            <w:shd w:val="clear" w:color="auto" w:fill="FDE9D9"/>
          </w:tcPr>
          <w:p w14:paraId="2B93ED12" w14:textId="77777777" w:rsidR="00A503F6" w:rsidRDefault="00A503F6" w:rsidP="00BC135F">
            <w:pPr>
              <w:pStyle w:val="TableText"/>
              <w:keepNext/>
              <w:keepLines/>
            </w:pPr>
          </w:p>
        </w:tc>
        <w:tc>
          <w:tcPr>
            <w:tcW w:w="4358" w:type="dxa"/>
            <w:shd w:val="clear" w:color="auto" w:fill="FDE9D9"/>
          </w:tcPr>
          <w:p w14:paraId="64FA890E" w14:textId="77777777" w:rsidR="00A503F6" w:rsidRDefault="00A503F6" w:rsidP="00BC135F">
            <w:pPr>
              <w:pStyle w:val="TableText"/>
              <w:keepNext/>
              <w:keepLines/>
            </w:pPr>
            <w:r>
              <w:t>Under s27 of the RMA, the Minister may make a request for mandatory provision of this monitoring data</w:t>
            </w:r>
          </w:p>
          <w:p w14:paraId="7A68C84B" w14:textId="77777777" w:rsidR="00A503F6" w:rsidRPr="00A91563" w:rsidRDefault="00A503F6" w:rsidP="00BC135F">
            <w:pPr>
              <w:pStyle w:val="TableText"/>
              <w:keepNext/>
              <w:keepLines/>
            </w:pPr>
            <w:r>
              <w:t>For polluted airsheds, the Minister may also make a request for mandatory provision of an airshed action plan and/or a progress report to monitor whether councils are on track to meet their targets</w:t>
            </w:r>
          </w:p>
        </w:tc>
      </w:tr>
      <w:tr w:rsidR="00A503F6" w:rsidRPr="005267D4" w14:paraId="16069732" w14:textId="77777777" w:rsidTr="00BC135F">
        <w:tc>
          <w:tcPr>
            <w:tcW w:w="1622" w:type="dxa"/>
            <w:shd w:val="clear" w:color="auto" w:fill="D9D9D9"/>
          </w:tcPr>
          <w:p w14:paraId="3BC1E048" w14:textId="77777777" w:rsidR="00A503F6" w:rsidRDefault="00A503F6" w:rsidP="00BC135F">
            <w:pPr>
              <w:pStyle w:val="TableText"/>
            </w:pPr>
          </w:p>
        </w:tc>
        <w:tc>
          <w:tcPr>
            <w:tcW w:w="2740" w:type="dxa"/>
            <w:shd w:val="clear" w:color="auto" w:fill="D9D9D9"/>
          </w:tcPr>
          <w:p w14:paraId="17C5FA55" w14:textId="77777777" w:rsidR="00A503F6" w:rsidRDefault="00A503F6" w:rsidP="00BC135F">
            <w:pPr>
              <w:pStyle w:val="TableText"/>
            </w:pPr>
          </w:p>
        </w:tc>
        <w:tc>
          <w:tcPr>
            <w:tcW w:w="4358" w:type="dxa"/>
            <w:shd w:val="clear" w:color="auto" w:fill="D9D9D9"/>
          </w:tcPr>
          <w:p w14:paraId="21214FFE" w14:textId="77777777" w:rsidR="00A503F6" w:rsidRDefault="00A503F6" w:rsidP="00BC135F">
            <w:pPr>
              <w:pStyle w:val="TableText"/>
            </w:pPr>
          </w:p>
        </w:tc>
      </w:tr>
      <w:tr w:rsidR="00A503F6" w:rsidRPr="005267D4" w14:paraId="236EC83A" w14:textId="77777777" w:rsidTr="00BC135F">
        <w:tc>
          <w:tcPr>
            <w:tcW w:w="1622" w:type="dxa"/>
            <w:shd w:val="clear" w:color="auto" w:fill="auto"/>
          </w:tcPr>
          <w:p w14:paraId="15E31D6D" w14:textId="77777777" w:rsidR="00A503F6" w:rsidRPr="00F158EC" w:rsidRDefault="00A503F6" w:rsidP="00BC135F">
            <w:pPr>
              <w:pStyle w:val="TableText"/>
              <w:rPr>
                <w:b/>
              </w:rPr>
            </w:pPr>
            <w:r w:rsidRPr="00193A78">
              <w:rPr>
                <w:b/>
              </w:rPr>
              <w:t>1 May 2019</w:t>
            </w:r>
          </w:p>
        </w:tc>
        <w:tc>
          <w:tcPr>
            <w:tcW w:w="2740" w:type="dxa"/>
            <w:shd w:val="clear" w:color="auto" w:fill="FDE9D9"/>
          </w:tcPr>
          <w:p w14:paraId="44ECA448" w14:textId="77777777" w:rsidR="00A503F6" w:rsidRDefault="00A503F6" w:rsidP="00BC135F">
            <w:pPr>
              <w:pStyle w:val="TableText"/>
            </w:pPr>
            <w:r>
              <w:t>Report on compliance status to be released</w:t>
            </w:r>
          </w:p>
        </w:tc>
        <w:tc>
          <w:tcPr>
            <w:tcW w:w="4358" w:type="dxa"/>
            <w:shd w:val="clear" w:color="auto" w:fill="FDE9D9"/>
          </w:tcPr>
          <w:p w14:paraId="45673526"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7A33E172" w14:textId="77777777" w:rsidTr="00BC135F">
        <w:tc>
          <w:tcPr>
            <w:tcW w:w="1622" w:type="dxa"/>
            <w:vMerge w:val="restart"/>
          </w:tcPr>
          <w:p w14:paraId="6C040F3E" w14:textId="77777777" w:rsidR="00A503F6" w:rsidRPr="00F158EC" w:rsidRDefault="00A503F6" w:rsidP="00CF14F6">
            <w:pPr>
              <w:pStyle w:val="TableText"/>
              <w:keepNext/>
              <w:rPr>
                <w:b/>
              </w:rPr>
            </w:pPr>
            <w:r w:rsidRPr="00F158EC">
              <w:rPr>
                <w:b/>
              </w:rPr>
              <w:t>1 September 2019</w:t>
            </w:r>
          </w:p>
        </w:tc>
        <w:tc>
          <w:tcPr>
            <w:tcW w:w="2740" w:type="dxa"/>
            <w:vMerge w:val="restart"/>
            <w:shd w:val="clear" w:color="auto" w:fill="FDE9D9"/>
          </w:tcPr>
          <w:p w14:paraId="72C9A3DF" w14:textId="77777777" w:rsidR="00A503F6" w:rsidRDefault="00A503F6" w:rsidP="00CF14F6">
            <w:pPr>
              <w:pStyle w:val="TableText"/>
              <w:keepNext/>
            </w:pPr>
            <w:r>
              <w:t>Progress on compliance to be reviewed</w:t>
            </w:r>
          </w:p>
        </w:tc>
        <w:tc>
          <w:tcPr>
            <w:tcW w:w="4358" w:type="dxa"/>
            <w:shd w:val="clear" w:color="auto" w:fill="FABF8F"/>
          </w:tcPr>
          <w:p w14:paraId="3CA0A703" w14:textId="77777777" w:rsidR="00A503F6" w:rsidRDefault="00A503F6" w:rsidP="00CF14F6">
            <w:pPr>
              <w:pStyle w:val="TableText"/>
              <w:keepNext/>
            </w:pPr>
            <w:r w:rsidRPr="00A91563">
              <w:t xml:space="preserve">Councils to report back to Ministry on </w:t>
            </w:r>
            <w:r>
              <w:t xml:space="preserve">monitoring data and progress towards their targets </w:t>
            </w:r>
          </w:p>
        </w:tc>
      </w:tr>
      <w:tr w:rsidR="00A503F6" w:rsidRPr="005267D4" w14:paraId="2A52EB16" w14:textId="77777777" w:rsidTr="00BC135F">
        <w:tc>
          <w:tcPr>
            <w:tcW w:w="1622" w:type="dxa"/>
            <w:vMerge/>
          </w:tcPr>
          <w:p w14:paraId="335CDDEF" w14:textId="77777777" w:rsidR="00A503F6" w:rsidRPr="00F158EC" w:rsidRDefault="00A503F6" w:rsidP="00CF14F6">
            <w:pPr>
              <w:pStyle w:val="TableText"/>
              <w:keepNext/>
              <w:rPr>
                <w:b/>
              </w:rPr>
            </w:pPr>
          </w:p>
        </w:tc>
        <w:tc>
          <w:tcPr>
            <w:tcW w:w="2740" w:type="dxa"/>
            <w:vMerge/>
            <w:shd w:val="clear" w:color="auto" w:fill="FDE9D9"/>
          </w:tcPr>
          <w:p w14:paraId="0CBAD5B2" w14:textId="77777777" w:rsidR="00A503F6" w:rsidRDefault="00A503F6" w:rsidP="00CF14F6">
            <w:pPr>
              <w:pStyle w:val="TableText"/>
              <w:keepNext/>
            </w:pPr>
          </w:p>
        </w:tc>
        <w:tc>
          <w:tcPr>
            <w:tcW w:w="4358" w:type="dxa"/>
            <w:shd w:val="clear" w:color="auto" w:fill="FDE9D9"/>
          </w:tcPr>
          <w:p w14:paraId="76A4C628" w14:textId="77777777" w:rsidR="00A503F6" w:rsidRPr="00A91563" w:rsidRDefault="00A503F6" w:rsidP="00CF14F6">
            <w:pPr>
              <w:pStyle w:val="TableText"/>
              <w:keepNext/>
            </w:pPr>
            <w:r w:rsidRPr="00A91563">
              <w:t>The Ministr</w:t>
            </w:r>
            <w:r>
              <w:t>y</w:t>
            </w:r>
            <w:r w:rsidRPr="00A91563">
              <w:t xml:space="preserve"> to review council monitoring data and airshed implementation progress report</w:t>
            </w:r>
            <w:r>
              <w:t>s</w:t>
            </w:r>
          </w:p>
        </w:tc>
      </w:tr>
      <w:tr w:rsidR="00A503F6" w:rsidRPr="005267D4" w14:paraId="639A467A" w14:textId="77777777" w:rsidTr="00BC135F">
        <w:tc>
          <w:tcPr>
            <w:tcW w:w="1622" w:type="dxa"/>
            <w:vMerge/>
          </w:tcPr>
          <w:p w14:paraId="4A117CE3" w14:textId="77777777" w:rsidR="00A503F6" w:rsidRPr="00F158EC" w:rsidRDefault="00A503F6" w:rsidP="00CF14F6">
            <w:pPr>
              <w:pStyle w:val="TableText"/>
              <w:keepNext/>
              <w:rPr>
                <w:b/>
              </w:rPr>
            </w:pPr>
          </w:p>
        </w:tc>
        <w:tc>
          <w:tcPr>
            <w:tcW w:w="2740" w:type="dxa"/>
            <w:vMerge/>
            <w:shd w:val="clear" w:color="auto" w:fill="FDE9D9"/>
          </w:tcPr>
          <w:p w14:paraId="1BF0FEC3" w14:textId="77777777" w:rsidR="00A503F6" w:rsidRDefault="00A503F6" w:rsidP="00CF14F6">
            <w:pPr>
              <w:pStyle w:val="TableText"/>
              <w:keepNext/>
            </w:pPr>
          </w:p>
        </w:tc>
        <w:tc>
          <w:tcPr>
            <w:tcW w:w="4358" w:type="dxa"/>
            <w:shd w:val="clear" w:color="auto" w:fill="FDE9D9"/>
          </w:tcPr>
          <w:p w14:paraId="076A40B5" w14:textId="77777777" w:rsidR="00A503F6" w:rsidRDefault="00A503F6" w:rsidP="00CF14F6">
            <w:pPr>
              <w:pStyle w:val="TableText"/>
              <w:keepNext/>
            </w:pPr>
            <w:r>
              <w:t>Under s27 of the RMA, the Minister may make a request for mandatory provision of this monitoring data to confirm compliance</w:t>
            </w:r>
          </w:p>
          <w:p w14:paraId="12410645" w14:textId="77777777" w:rsidR="00A503F6" w:rsidRPr="00A91563" w:rsidRDefault="00A503F6" w:rsidP="00CF14F6">
            <w:pPr>
              <w:pStyle w:val="TableText"/>
              <w:keepNext/>
            </w:pPr>
            <w:r>
              <w:t>For polluted airsheds, the Minister may also make a request for mandatory provision of an airshed action plan and/or a progress report to monitor whether councils are on track to meet their targets</w:t>
            </w:r>
          </w:p>
        </w:tc>
      </w:tr>
      <w:tr w:rsidR="00A503F6" w:rsidRPr="005267D4" w14:paraId="2DB8DFF6" w14:textId="77777777" w:rsidTr="00BC135F">
        <w:tc>
          <w:tcPr>
            <w:tcW w:w="1622" w:type="dxa"/>
            <w:shd w:val="clear" w:color="auto" w:fill="D9D9D9"/>
          </w:tcPr>
          <w:p w14:paraId="308EA61D" w14:textId="77777777" w:rsidR="00A503F6" w:rsidRDefault="00A503F6" w:rsidP="00BC135F">
            <w:pPr>
              <w:pStyle w:val="TableText"/>
            </w:pPr>
          </w:p>
        </w:tc>
        <w:tc>
          <w:tcPr>
            <w:tcW w:w="2740" w:type="dxa"/>
            <w:shd w:val="clear" w:color="auto" w:fill="D9D9D9"/>
          </w:tcPr>
          <w:p w14:paraId="6B8780AC" w14:textId="77777777" w:rsidR="00A503F6" w:rsidRDefault="00A503F6" w:rsidP="00BC135F">
            <w:pPr>
              <w:pStyle w:val="TableText"/>
            </w:pPr>
          </w:p>
        </w:tc>
        <w:tc>
          <w:tcPr>
            <w:tcW w:w="4358" w:type="dxa"/>
            <w:shd w:val="clear" w:color="auto" w:fill="D9D9D9"/>
          </w:tcPr>
          <w:p w14:paraId="48603408" w14:textId="77777777" w:rsidR="00A503F6" w:rsidRDefault="00A503F6" w:rsidP="00BC135F">
            <w:pPr>
              <w:pStyle w:val="TableText"/>
            </w:pPr>
          </w:p>
        </w:tc>
      </w:tr>
      <w:tr w:rsidR="00A503F6" w:rsidRPr="005267D4" w14:paraId="6FD140F9" w14:textId="77777777" w:rsidTr="00BC135F">
        <w:tc>
          <w:tcPr>
            <w:tcW w:w="1622" w:type="dxa"/>
            <w:shd w:val="clear" w:color="auto" w:fill="auto"/>
          </w:tcPr>
          <w:p w14:paraId="2874BE08" w14:textId="77777777" w:rsidR="00A503F6" w:rsidRPr="00F158EC" w:rsidRDefault="00A503F6" w:rsidP="00BC135F">
            <w:pPr>
              <w:pStyle w:val="TableText"/>
              <w:rPr>
                <w:b/>
              </w:rPr>
            </w:pPr>
            <w:r w:rsidRPr="00193A78">
              <w:rPr>
                <w:b/>
              </w:rPr>
              <w:t>1 May 2020</w:t>
            </w:r>
          </w:p>
        </w:tc>
        <w:tc>
          <w:tcPr>
            <w:tcW w:w="2740" w:type="dxa"/>
            <w:shd w:val="clear" w:color="auto" w:fill="FDE9D9"/>
          </w:tcPr>
          <w:p w14:paraId="21AAEE55" w14:textId="77777777" w:rsidR="00A503F6" w:rsidRDefault="00A503F6" w:rsidP="00BC135F">
            <w:pPr>
              <w:pStyle w:val="TableText"/>
            </w:pPr>
            <w:r>
              <w:t>Report on compliance status to be released</w:t>
            </w:r>
          </w:p>
        </w:tc>
        <w:tc>
          <w:tcPr>
            <w:tcW w:w="4358" w:type="dxa"/>
            <w:shd w:val="clear" w:color="auto" w:fill="FDE9D9"/>
          </w:tcPr>
          <w:p w14:paraId="3585F9E9" w14:textId="77777777" w:rsidR="00A503F6" w:rsidRDefault="00A503F6" w:rsidP="00BC135F">
            <w:pPr>
              <w:pStyle w:val="TableText"/>
              <w:keepNext/>
              <w:keepLines/>
            </w:pPr>
            <w:r w:rsidRPr="00A91563">
              <w:t>The Ministr</w:t>
            </w:r>
            <w:r>
              <w:t>y</w:t>
            </w:r>
            <w:r w:rsidRPr="00A91563">
              <w:t xml:space="preserve"> to </w:t>
            </w:r>
            <w:r>
              <w:t>publish a report showing the compliance status of all airsheds</w:t>
            </w:r>
          </w:p>
        </w:tc>
      </w:tr>
      <w:tr w:rsidR="00A503F6" w:rsidRPr="005267D4" w14:paraId="192615C4" w14:textId="77777777" w:rsidTr="00BC135F">
        <w:tc>
          <w:tcPr>
            <w:tcW w:w="1622" w:type="dxa"/>
            <w:vMerge w:val="restart"/>
          </w:tcPr>
          <w:p w14:paraId="49B68EC9" w14:textId="77777777" w:rsidR="00A503F6" w:rsidRPr="00F158EC" w:rsidRDefault="00A503F6" w:rsidP="00BC135F">
            <w:pPr>
              <w:pStyle w:val="TableText"/>
              <w:rPr>
                <w:b/>
              </w:rPr>
            </w:pPr>
            <w:r w:rsidRPr="00F158EC">
              <w:rPr>
                <w:b/>
              </w:rPr>
              <w:t>1 September 2020</w:t>
            </w:r>
          </w:p>
        </w:tc>
        <w:tc>
          <w:tcPr>
            <w:tcW w:w="2740" w:type="dxa"/>
            <w:vMerge w:val="restart"/>
            <w:shd w:val="clear" w:color="auto" w:fill="E36C0A"/>
          </w:tcPr>
          <w:p w14:paraId="7B909872" w14:textId="77777777" w:rsidR="00A503F6" w:rsidRDefault="00A503F6" w:rsidP="00BC135F">
            <w:pPr>
              <w:pStyle w:val="TableText"/>
            </w:pPr>
            <w:r w:rsidRPr="00F158EC">
              <w:t>All airsheds to meet one or fewer permissible exceedances</w:t>
            </w:r>
          </w:p>
        </w:tc>
        <w:tc>
          <w:tcPr>
            <w:tcW w:w="4358" w:type="dxa"/>
            <w:shd w:val="clear" w:color="auto" w:fill="E36C0A"/>
          </w:tcPr>
          <w:p w14:paraId="75354F09" w14:textId="77777777" w:rsidR="00A503F6" w:rsidRDefault="00A503F6" w:rsidP="00BC135F">
            <w:pPr>
              <w:pStyle w:val="TableText"/>
            </w:pPr>
            <w:r>
              <w:t>All councils to achieve no more than one permissible exceedances per rolling 12-month period from this date</w:t>
            </w:r>
          </w:p>
        </w:tc>
      </w:tr>
      <w:tr w:rsidR="00A503F6" w:rsidRPr="005267D4" w14:paraId="543DCE71" w14:textId="77777777" w:rsidTr="00BC135F">
        <w:tc>
          <w:tcPr>
            <w:tcW w:w="1622" w:type="dxa"/>
            <w:vMerge/>
          </w:tcPr>
          <w:p w14:paraId="651DBFAA" w14:textId="77777777" w:rsidR="00A503F6" w:rsidRPr="00F158EC" w:rsidRDefault="00A503F6" w:rsidP="00BC135F">
            <w:pPr>
              <w:pStyle w:val="TableText"/>
              <w:keepNext/>
              <w:keepLines/>
              <w:rPr>
                <w:b/>
              </w:rPr>
            </w:pPr>
          </w:p>
        </w:tc>
        <w:tc>
          <w:tcPr>
            <w:tcW w:w="2740" w:type="dxa"/>
            <w:vMerge/>
            <w:shd w:val="clear" w:color="auto" w:fill="E36C0A"/>
          </w:tcPr>
          <w:p w14:paraId="414ED731" w14:textId="77777777" w:rsidR="00A503F6" w:rsidRPr="00F158EC" w:rsidRDefault="00A503F6" w:rsidP="00BC135F">
            <w:pPr>
              <w:pStyle w:val="TableText"/>
              <w:keepNext/>
              <w:keepLines/>
            </w:pPr>
          </w:p>
        </w:tc>
        <w:tc>
          <w:tcPr>
            <w:tcW w:w="4358" w:type="dxa"/>
            <w:shd w:val="clear" w:color="auto" w:fill="FDE9D9"/>
          </w:tcPr>
          <w:p w14:paraId="08A24500" w14:textId="77777777" w:rsidR="00A503F6" w:rsidRDefault="00A503F6" w:rsidP="00BC135F">
            <w:pPr>
              <w:pStyle w:val="TableText"/>
              <w:keepNext/>
              <w:keepLines/>
            </w:pPr>
            <w:r>
              <w:t>Under s24A of the RMA, the Minister may commence an  investigation of the performance of any non-complying councils</w:t>
            </w:r>
          </w:p>
        </w:tc>
      </w:tr>
      <w:tr w:rsidR="00A503F6" w:rsidRPr="005267D4" w14:paraId="6E9EB060" w14:textId="77777777" w:rsidTr="00BC135F">
        <w:tc>
          <w:tcPr>
            <w:tcW w:w="1622" w:type="dxa"/>
            <w:shd w:val="clear" w:color="auto" w:fill="D9D9D9"/>
          </w:tcPr>
          <w:p w14:paraId="62259CCA" w14:textId="77777777" w:rsidR="00A503F6" w:rsidRDefault="00A503F6" w:rsidP="00BC135F">
            <w:pPr>
              <w:pStyle w:val="TableText"/>
            </w:pPr>
          </w:p>
        </w:tc>
        <w:tc>
          <w:tcPr>
            <w:tcW w:w="2740" w:type="dxa"/>
            <w:shd w:val="clear" w:color="auto" w:fill="D9D9D9"/>
          </w:tcPr>
          <w:p w14:paraId="57FCE61F" w14:textId="77777777" w:rsidR="00A503F6" w:rsidRDefault="00A503F6" w:rsidP="00BC135F">
            <w:pPr>
              <w:pStyle w:val="TableText"/>
            </w:pPr>
          </w:p>
        </w:tc>
        <w:tc>
          <w:tcPr>
            <w:tcW w:w="4358" w:type="dxa"/>
            <w:shd w:val="clear" w:color="auto" w:fill="D9D9D9"/>
          </w:tcPr>
          <w:p w14:paraId="1C150CF4" w14:textId="77777777" w:rsidR="00A503F6" w:rsidRDefault="00A503F6" w:rsidP="00BC135F">
            <w:pPr>
              <w:pStyle w:val="TableText"/>
            </w:pPr>
          </w:p>
        </w:tc>
      </w:tr>
      <w:tr w:rsidR="00A503F6" w:rsidRPr="005267D4" w14:paraId="319E1227" w14:textId="77777777" w:rsidTr="00BC135F">
        <w:tc>
          <w:tcPr>
            <w:tcW w:w="1622" w:type="dxa"/>
          </w:tcPr>
          <w:p w14:paraId="58E13481" w14:textId="77777777" w:rsidR="00A503F6" w:rsidRPr="00F158EC" w:rsidRDefault="00A503F6" w:rsidP="00BC135F">
            <w:pPr>
              <w:pStyle w:val="TableText"/>
              <w:rPr>
                <w:b/>
              </w:rPr>
            </w:pPr>
            <w:r w:rsidRPr="00F158EC">
              <w:rPr>
                <w:b/>
              </w:rPr>
              <w:t>1 September 2025</w:t>
            </w:r>
          </w:p>
        </w:tc>
        <w:tc>
          <w:tcPr>
            <w:tcW w:w="2740" w:type="dxa"/>
            <w:shd w:val="clear" w:color="auto" w:fill="E36C0A"/>
          </w:tcPr>
          <w:p w14:paraId="52A82CC7" w14:textId="77777777" w:rsidR="00A503F6" w:rsidRDefault="00A503F6" w:rsidP="00BC135F">
            <w:pPr>
              <w:pStyle w:val="TableText"/>
            </w:pPr>
            <w:r>
              <w:t>Requirement for offsets for new significant industry in polluted airsheds ceases</w:t>
            </w:r>
          </w:p>
        </w:tc>
        <w:tc>
          <w:tcPr>
            <w:tcW w:w="4358" w:type="dxa"/>
            <w:shd w:val="clear" w:color="auto" w:fill="E36C0A"/>
          </w:tcPr>
          <w:p w14:paraId="18CAA80F" w14:textId="77777777" w:rsidR="00A503F6" w:rsidRDefault="00A503F6" w:rsidP="00BC135F">
            <w:pPr>
              <w:pStyle w:val="TableText"/>
            </w:pPr>
            <w:r>
              <w:t>All councils to have achieved five years of no breaches and therefore should no longer have any “polluted” airsheds” in New Zealand</w:t>
            </w:r>
          </w:p>
        </w:tc>
      </w:tr>
    </w:tbl>
    <w:p w14:paraId="182B3FAE" w14:textId="77777777" w:rsidR="00A503F6" w:rsidRDefault="00A503F6" w:rsidP="00A503F6">
      <w:pPr>
        <w:pStyle w:val="Note"/>
      </w:pPr>
      <w:r w:rsidRPr="005267D4">
        <w:t>Note</w:t>
      </w:r>
      <w:r>
        <w:t>s</w:t>
      </w:r>
      <w:r w:rsidRPr="005267D4">
        <w:t>:</w:t>
      </w:r>
    </w:p>
    <w:p w14:paraId="4E36C410" w14:textId="77777777" w:rsidR="00A503F6" w:rsidRDefault="00A503F6" w:rsidP="00152DF6">
      <w:pPr>
        <w:pStyle w:val="Note"/>
        <w:numPr>
          <w:ilvl w:val="0"/>
          <w:numId w:val="5"/>
        </w:numPr>
      </w:pPr>
      <w:r>
        <w:t>Councils are encouraged  to achieve compliance earlier than the timing indicated</w:t>
      </w:r>
    </w:p>
    <w:p w14:paraId="260C6917" w14:textId="77777777" w:rsidR="00A503F6" w:rsidRDefault="00A503F6" w:rsidP="00152DF6">
      <w:pPr>
        <w:pStyle w:val="Note"/>
        <w:numPr>
          <w:ilvl w:val="0"/>
          <w:numId w:val="5"/>
        </w:numPr>
      </w:pPr>
      <w:r>
        <w:t xml:space="preserve">None of the other reporting requirements/recommendations shown </w:t>
      </w:r>
      <w:r w:rsidRPr="00427B76">
        <w:t xml:space="preserve">supersede the mandatory requirement for councils to publicly report all breaches of the </w:t>
      </w:r>
      <w:r>
        <w:t xml:space="preserve">ambient </w:t>
      </w:r>
      <w:r w:rsidRPr="00427B76">
        <w:t>standards (</w:t>
      </w:r>
      <w:r>
        <w:t>R</w:t>
      </w:r>
      <w:r w:rsidRPr="00427B76">
        <w:t xml:space="preserve">egulation 16), </w:t>
      </w:r>
      <w:r>
        <w:t xml:space="preserve">which applies </w:t>
      </w:r>
      <w:r w:rsidRPr="00427B76">
        <w:t xml:space="preserve">irrespective of the number </w:t>
      </w:r>
      <w:r>
        <w:t xml:space="preserve">or timing </w:t>
      </w:r>
      <w:r w:rsidRPr="00427B76">
        <w:t>of permissible exceedances</w:t>
      </w:r>
      <w:r>
        <w:t>.</w:t>
      </w:r>
    </w:p>
    <w:p w14:paraId="45285193" w14:textId="77777777" w:rsidR="00671541" w:rsidRPr="008D0B78" w:rsidRDefault="00A43A4A" w:rsidP="00671541">
      <w:pPr>
        <w:pStyle w:val="Heading3"/>
      </w:pPr>
      <w:r>
        <w:t>4.12</w:t>
      </w:r>
      <w:r w:rsidR="00671541" w:rsidRPr="008D0B78">
        <w:t>.</w:t>
      </w:r>
      <w:r w:rsidR="00671541">
        <w:t>2</w:t>
      </w:r>
      <w:r w:rsidR="00671541" w:rsidRPr="008D0B78">
        <w:t xml:space="preserve"> Airshed </w:t>
      </w:r>
      <w:r w:rsidR="008221B3">
        <w:t>a</w:t>
      </w:r>
      <w:r w:rsidR="008221B3" w:rsidRPr="008D0B78">
        <w:t xml:space="preserve">ction </w:t>
      </w:r>
      <w:r w:rsidR="008221B3">
        <w:t>p</w:t>
      </w:r>
      <w:r w:rsidR="008221B3" w:rsidRPr="008D0B78">
        <w:t>lans</w:t>
      </w:r>
      <w:r w:rsidR="008221B3">
        <w:t xml:space="preserve"> </w:t>
      </w:r>
      <w:r w:rsidR="00671541">
        <w:t>for PM</w:t>
      </w:r>
      <w:r w:rsidR="00671541" w:rsidRPr="008D0B78">
        <w:rPr>
          <w:vertAlign w:val="subscript"/>
        </w:rPr>
        <w:t>10</w:t>
      </w:r>
    </w:p>
    <w:p w14:paraId="36CE536A" w14:textId="77777777" w:rsidR="00671541" w:rsidRDefault="00671541" w:rsidP="00671541">
      <w:pPr>
        <w:keepLines/>
      </w:pPr>
      <w:r>
        <w:t>A number of the</w:t>
      </w:r>
      <w:r w:rsidRPr="00F930B2">
        <w:t xml:space="preserve"> gazetted</w:t>
      </w:r>
      <w:r>
        <w:t xml:space="preserve"> airsheds </w:t>
      </w:r>
      <w:r w:rsidR="00596A69">
        <w:t>exceed</w:t>
      </w:r>
      <w:r>
        <w:t>, or are likely to exceed</w:t>
      </w:r>
      <w:r w:rsidR="00596A69">
        <w:t>,</w:t>
      </w:r>
      <w:r>
        <w:t xml:space="preserve"> the PM</w:t>
      </w:r>
      <w:r w:rsidRPr="00E14216">
        <w:rPr>
          <w:vertAlign w:val="subscript"/>
        </w:rPr>
        <w:t>10</w:t>
      </w:r>
      <w:r w:rsidR="00265922">
        <w:t xml:space="preserve"> standard. </w:t>
      </w:r>
      <w:r>
        <w:t xml:space="preserve">The </w:t>
      </w:r>
      <w:r w:rsidRPr="00343F69">
        <w:t>Compliance Strategy</w:t>
      </w:r>
      <w:r w:rsidR="00B80B24">
        <w:t xml:space="preserve"> (MfE 2011e)</w:t>
      </w:r>
      <w:r>
        <w:t xml:space="preserve"> recommends that regional c</w:t>
      </w:r>
      <w:r w:rsidRPr="00234369">
        <w:t>ouncil</w:t>
      </w:r>
      <w:r>
        <w:t xml:space="preserve">s </w:t>
      </w:r>
      <w:r w:rsidRPr="00234369">
        <w:t>develop a</w:t>
      </w:r>
      <w:r>
        <w:t>n ‘airshed action</w:t>
      </w:r>
      <w:r w:rsidRPr="00234369">
        <w:t xml:space="preserve"> plan</w:t>
      </w:r>
      <w:r>
        <w:t>’</w:t>
      </w:r>
      <w:r w:rsidRPr="00234369">
        <w:t xml:space="preserve"> to </w:t>
      </w:r>
      <w:r w:rsidR="00A503F6">
        <w:t xml:space="preserve">outline how it is intended to achieve compliance with </w:t>
      </w:r>
      <w:r w:rsidRPr="00234369">
        <w:t xml:space="preserve">the </w:t>
      </w:r>
      <w:r>
        <w:t>PM</w:t>
      </w:r>
      <w:r w:rsidRPr="00E14216">
        <w:rPr>
          <w:vertAlign w:val="subscript"/>
        </w:rPr>
        <w:t>10</w:t>
      </w:r>
      <w:r>
        <w:t xml:space="preserve"> </w:t>
      </w:r>
      <w:r w:rsidRPr="00234369">
        <w:t>standard</w:t>
      </w:r>
      <w:r w:rsidR="00A503F6">
        <w:t xml:space="preserve"> by the required deadline</w:t>
      </w:r>
      <w:r w:rsidR="00265922">
        <w:t>.</w:t>
      </w:r>
    </w:p>
    <w:p w14:paraId="2462C946" w14:textId="77777777" w:rsidR="00671541" w:rsidRDefault="00671541" w:rsidP="00671541">
      <w:pPr>
        <w:keepLines/>
      </w:pPr>
    </w:p>
    <w:p w14:paraId="7CD04C02" w14:textId="77777777" w:rsidR="00671541" w:rsidRDefault="00671541" w:rsidP="00671541">
      <w:pPr>
        <w:keepLines/>
      </w:pPr>
      <w:r w:rsidRPr="00234369">
        <w:t>Air</w:t>
      </w:r>
      <w:r>
        <w:t>shed</w:t>
      </w:r>
      <w:r w:rsidRPr="00234369">
        <w:t xml:space="preserve"> action plans may also be prepared for</w:t>
      </w:r>
      <w:r>
        <w:t xml:space="preserve"> other pollutants or for</w:t>
      </w:r>
      <w:r w:rsidRPr="00234369">
        <w:t xml:space="preserve"> areas that </w:t>
      </w:r>
      <w:r>
        <w:t>do not</w:t>
      </w:r>
      <w:r w:rsidRPr="00234369">
        <w:t xml:space="preserve"> breach the ambient standards</w:t>
      </w:r>
      <w:r w:rsidR="00596A69">
        <w:t> to maintain or enhance air quality</w:t>
      </w:r>
      <w:r w:rsidR="00265922">
        <w:t xml:space="preserve">. </w:t>
      </w:r>
      <w:r>
        <w:t xml:space="preserve">An airshed action plan is not a legal requirement of the Regulations (ie, airshed </w:t>
      </w:r>
      <w:r w:rsidR="00596A69">
        <w:t>action plans are not mandatory)</w:t>
      </w:r>
      <w:r>
        <w:t xml:space="preserve"> rather</w:t>
      </w:r>
      <w:r w:rsidR="00596A69">
        <w:t>,</w:t>
      </w:r>
      <w:r>
        <w:t xml:space="preserve"> </w:t>
      </w:r>
      <w:r w:rsidR="00596A69">
        <w:t>they are</w:t>
      </w:r>
      <w:r>
        <w:t xml:space="preserve"> a strategy to achieve compliance.</w:t>
      </w:r>
    </w:p>
    <w:p w14:paraId="5E00D0CD" w14:textId="77777777" w:rsidR="00671541" w:rsidRDefault="00671541" w:rsidP="00671541">
      <w:pPr>
        <w:rPr>
          <w:rFonts w:eastAsia="Arial Unicode MS"/>
        </w:rPr>
      </w:pPr>
    </w:p>
    <w:p w14:paraId="60572DD9" w14:textId="77777777" w:rsidR="00671541" w:rsidRDefault="00671541" w:rsidP="00671541">
      <w:pPr>
        <w:rPr>
          <w:rFonts w:eastAsia="Arial Unicode MS"/>
        </w:rPr>
      </w:pPr>
      <w:r w:rsidRPr="00234369">
        <w:rPr>
          <w:rFonts w:eastAsia="Arial Unicode MS"/>
        </w:rPr>
        <w:t>An effective air quality management</w:t>
      </w:r>
      <w:r w:rsidR="00022E1E">
        <w:rPr>
          <w:rFonts w:eastAsia="Arial Unicode MS"/>
        </w:rPr>
        <w:t xml:space="preserve"> framework is shown in t</w:t>
      </w:r>
      <w:r w:rsidR="00022E1E" w:rsidRPr="00234369">
        <w:rPr>
          <w:rFonts w:eastAsia="Arial Unicode MS"/>
        </w:rPr>
        <w:t xml:space="preserve">able </w:t>
      </w:r>
      <w:r w:rsidR="00B80B24">
        <w:rPr>
          <w:rFonts w:eastAsia="Arial Unicode MS"/>
        </w:rPr>
        <w:t>8</w:t>
      </w:r>
      <w:r w:rsidR="00022E1E">
        <w:rPr>
          <w:rFonts w:eastAsia="Arial Unicode MS"/>
        </w:rPr>
        <w:t>.</w:t>
      </w:r>
      <w:r>
        <w:rPr>
          <w:rFonts w:eastAsia="Arial Unicode MS"/>
        </w:rPr>
        <w:t xml:space="preserve"> </w:t>
      </w:r>
      <w:r w:rsidRPr="00234369">
        <w:rPr>
          <w:rFonts w:eastAsia="Arial Unicode MS"/>
        </w:rPr>
        <w:t>An</w:t>
      </w:r>
      <w:r>
        <w:rPr>
          <w:rFonts w:eastAsia="Arial Unicode MS"/>
        </w:rPr>
        <w:t>y</w:t>
      </w:r>
      <w:r w:rsidRPr="00234369">
        <w:rPr>
          <w:rFonts w:eastAsia="Arial Unicode MS"/>
        </w:rPr>
        <w:t xml:space="preserve"> air</w:t>
      </w:r>
      <w:r>
        <w:rPr>
          <w:rFonts w:eastAsia="Arial Unicode MS"/>
        </w:rPr>
        <w:t>shed</w:t>
      </w:r>
      <w:r w:rsidRPr="00234369">
        <w:rPr>
          <w:rFonts w:eastAsia="Arial Unicode MS"/>
        </w:rPr>
        <w:t xml:space="preserve"> action plan needs to address these key elements to successfully (and efficiently) target problem emissions</w:t>
      </w:r>
      <w:r>
        <w:rPr>
          <w:rFonts w:eastAsia="Arial Unicode MS"/>
        </w:rPr>
        <w:t>.</w:t>
      </w:r>
    </w:p>
    <w:p w14:paraId="0B86D4D2" w14:textId="77777777" w:rsidR="00671541" w:rsidRDefault="00671541" w:rsidP="00671541">
      <w:pPr>
        <w:rPr>
          <w:rFonts w:eastAsia="Arial Unicode MS"/>
        </w:rPr>
      </w:pPr>
    </w:p>
    <w:p w14:paraId="4E9F40D9" w14:textId="77777777" w:rsidR="00671541" w:rsidRDefault="00671541" w:rsidP="00671541">
      <w:pPr>
        <w:keepLines/>
      </w:pPr>
      <w:r w:rsidRPr="00022C72">
        <w:t>It is recommended that airshed action plans be prepared in a transparent manner so that affected parties, which include the general public and industry, are informed and able to participate.  This does not mean however, that full consultation as defined under the RMA is necessary – such decisions are at the discretion of the council.</w:t>
      </w:r>
    </w:p>
    <w:p w14:paraId="4E87A663" w14:textId="77777777" w:rsidR="00671541" w:rsidRPr="00022C72" w:rsidRDefault="00671541" w:rsidP="00671541">
      <w:pPr>
        <w:keepLines/>
      </w:pPr>
      <w:bookmarkStart w:id="133" w:name="_Toc88025132"/>
      <w:bookmarkStart w:id="134" w:name="_Toc222291438"/>
      <w:bookmarkStart w:id="135" w:name="_Toc222291587"/>
      <w:bookmarkStart w:id="136" w:name="_Toc222291847"/>
    </w:p>
    <w:p w14:paraId="450710D6" w14:textId="77777777" w:rsidR="00F04FC5" w:rsidRDefault="00F04FC5">
      <w:pPr>
        <w:jc w:val="left"/>
        <w:rPr>
          <w:rFonts w:ascii="Arial" w:hAnsi="Arial"/>
          <w:b/>
          <w:sz w:val="20"/>
        </w:rPr>
      </w:pPr>
      <w:bookmarkStart w:id="137" w:name="_Toc222292000"/>
      <w:bookmarkStart w:id="138" w:name="_Toc222292281"/>
      <w:bookmarkStart w:id="139" w:name="_Toc222301584"/>
      <w:bookmarkStart w:id="140" w:name="_Toc377645817"/>
      <w:r>
        <w:br w:type="page"/>
      </w:r>
    </w:p>
    <w:p w14:paraId="3B1DB8A9" w14:textId="77777777" w:rsidR="00671541" w:rsidRDefault="00671541" w:rsidP="00407749">
      <w:pPr>
        <w:pStyle w:val="Tableheading"/>
      </w:pPr>
      <w:r>
        <w:t xml:space="preserve">Table </w:t>
      </w:r>
      <w:r w:rsidR="00020B84">
        <w:t>11</w:t>
      </w:r>
      <w:r>
        <w:t>:</w:t>
      </w:r>
      <w:r>
        <w:tab/>
        <w:t>Elements of an air quality management framework</w:t>
      </w:r>
      <w:bookmarkEnd w:id="133"/>
      <w:r>
        <w:t>*</w:t>
      </w:r>
      <w:bookmarkEnd w:id="134"/>
      <w:bookmarkEnd w:id="135"/>
      <w:bookmarkEnd w:id="136"/>
      <w:bookmarkEnd w:id="137"/>
      <w:bookmarkEnd w:id="138"/>
      <w:bookmarkEnd w:id="139"/>
      <w:bookmarkEnd w:id="140"/>
    </w:p>
    <w:tbl>
      <w:tblPr>
        <w:tblW w:w="8612" w:type="dxa"/>
        <w:tblInd w:w="108" w:type="dxa"/>
        <w:tblBorders>
          <w:top w:val="single" w:sz="8" w:space="0" w:color="auto"/>
          <w:bottom w:val="single" w:sz="8" w:space="0" w:color="auto"/>
        </w:tblBorders>
        <w:tblLayout w:type="fixed"/>
        <w:tblLook w:val="01E0" w:firstRow="1" w:lastRow="1" w:firstColumn="1" w:lastColumn="1" w:noHBand="0" w:noVBand="0"/>
      </w:tblPr>
      <w:tblGrid>
        <w:gridCol w:w="2127"/>
        <w:gridCol w:w="6485"/>
      </w:tblGrid>
      <w:tr w:rsidR="00671541" w:rsidRPr="00C663AF" w14:paraId="4F7D15C0" w14:textId="77777777" w:rsidTr="004C6A0B">
        <w:trPr>
          <w:cantSplit/>
        </w:trPr>
        <w:tc>
          <w:tcPr>
            <w:tcW w:w="2127" w:type="dxa"/>
            <w:tcBorders>
              <w:top w:val="single" w:sz="8" w:space="0" w:color="auto"/>
              <w:bottom w:val="single" w:sz="8" w:space="0" w:color="auto"/>
            </w:tcBorders>
            <w:shd w:val="clear" w:color="auto" w:fill="auto"/>
          </w:tcPr>
          <w:p w14:paraId="7E41F9D7" w14:textId="77777777" w:rsidR="00671541" w:rsidRPr="00C663AF" w:rsidRDefault="00671541" w:rsidP="0090025D">
            <w:pPr>
              <w:pStyle w:val="TableText"/>
            </w:pPr>
            <w:r w:rsidRPr="00C663AF">
              <w:t>Element</w:t>
            </w:r>
          </w:p>
        </w:tc>
        <w:tc>
          <w:tcPr>
            <w:tcW w:w="6485" w:type="dxa"/>
            <w:tcBorders>
              <w:top w:val="single" w:sz="8" w:space="0" w:color="auto"/>
              <w:bottom w:val="single" w:sz="8" w:space="0" w:color="auto"/>
            </w:tcBorders>
          </w:tcPr>
          <w:p w14:paraId="441AB420" w14:textId="77777777" w:rsidR="00671541" w:rsidRPr="00C663AF" w:rsidRDefault="00671541" w:rsidP="0090025D">
            <w:pPr>
              <w:pStyle w:val="TableText"/>
            </w:pPr>
            <w:r w:rsidRPr="00C663AF">
              <w:t>Details</w:t>
            </w:r>
          </w:p>
        </w:tc>
      </w:tr>
      <w:tr w:rsidR="00671541" w14:paraId="10FBC42E" w14:textId="77777777" w:rsidTr="004C6A0B">
        <w:trPr>
          <w:cantSplit/>
        </w:trPr>
        <w:tc>
          <w:tcPr>
            <w:tcW w:w="2127" w:type="dxa"/>
            <w:tcBorders>
              <w:top w:val="single" w:sz="8" w:space="0" w:color="auto"/>
            </w:tcBorders>
            <w:shd w:val="clear" w:color="auto" w:fill="auto"/>
          </w:tcPr>
          <w:p w14:paraId="0CB856B2" w14:textId="77777777" w:rsidR="00671541" w:rsidRDefault="00671541" w:rsidP="0090025D">
            <w:pPr>
              <w:pStyle w:val="TableText"/>
            </w:pPr>
            <w:r>
              <w:t>Ambient air quality standards</w:t>
            </w:r>
          </w:p>
        </w:tc>
        <w:tc>
          <w:tcPr>
            <w:tcW w:w="6485" w:type="dxa"/>
            <w:tcBorders>
              <w:top w:val="single" w:sz="8" w:space="0" w:color="auto"/>
            </w:tcBorders>
          </w:tcPr>
          <w:p w14:paraId="16E2AC61" w14:textId="77777777" w:rsidR="00671541" w:rsidRDefault="00671541" w:rsidP="0090025D">
            <w:pPr>
              <w:pStyle w:val="TableText"/>
            </w:pPr>
            <w:r>
              <w:t>Based on health and environmental indicators. Provided by national environmental standards. Augmented by national ambient air quality guidelines and ambient targets specified in regional plans.</w:t>
            </w:r>
          </w:p>
        </w:tc>
      </w:tr>
      <w:tr w:rsidR="00671541" w14:paraId="1ED7BE33" w14:textId="77777777" w:rsidTr="004C6A0B">
        <w:trPr>
          <w:cantSplit/>
        </w:trPr>
        <w:tc>
          <w:tcPr>
            <w:tcW w:w="2127" w:type="dxa"/>
            <w:shd w:val="clear" w:color="auto" w:fill="auto"/>
          </w:tcPr>
          <w:p w14:paraId="25A1E25E" w14:textId="77777777" w:rsidR="00671541" w:rsidRDefault="00671541" w:rsidP="0090025D">
            <w:pPr>
              <w:pStyle w:val="TableText"/>
            </w:pPr>
            <w:r>
              <w:t>Monitoring networks</w:t>
            </w:r>
          </w:p>
        </w:tc>
        <w:tc>
          <w:tcPr>
            <w:tcW w:w="6485" w:type="dxa"/>
          </w:tcPr>
          <w:p w14:paraId="4E75F8D4" w14:textId="77777777" w:rsidR="00671541" w:rsidRDefault="00671541" w:rsidP="0090025D">
            <w:pPr>
              <w:pStyle w:val="TableText"/>
            </w:pPr>
            <w:r>
              <w:t>Must include both air quality and meteorology. Additional monitoring to that required for the purposes of the national environmental standards may be necessary.</w:t>
            </w:r>
          </w:p>
        </w:tc>
      </w:tr>
      <w:tr w:rsidR="00671541" w14:paraId="34F699C0" w14:textId="77777777" w:rsidTr="004C6A0B">
        <w:trPr>
          <w:cantSplit/>
        </w:trPr>
        <w:tc>
          <w:tcPr>
            <w:tcW w:w="2127" w:type="dxa"/>
            <w:shd w:val="clear" w:color="auto" w:fill="auto"/>
          </w:tcPr>
          <w:p w14:paraId="55A8748E" w14:textId="77777777" w:rsidR="00671541" w:rsidRDefault="00671541" w:rsidP="0090025D">
            <w:pPr>
              <w:pStyle w:val="TableText"/>
            </w:pPr>
            <w:r>
              <w:t>Emission inventories</w:t>
            </w:r>
          </w:p>
        </w:tc>
        <w:tc>
          <w:tcPr>
            <w:tcW w:w="6485" w:type="dxa"/>
          </w:tcPr>
          <w:p w14:paraId="3A8C571C" w14:textId="77777777" w:rsidR="00671541" w:rsidRDefault="00671541" w:rsidP="0090025D">
            <w:pPr>
              <w:pStyle w:val="TableText"/>
            </w:pPr>
            <w:r>
              <w:t xml:space="preserve">Emissions quantified by source and location.  </w:t>
            </w:r>
          </w:p>
        </w:tc>
      </w:tr>
      <w:tr w:rsidR="00671541" w14:paraId="152E62C6" w14:textId="77777777" w:rsidTr="004C6A0B">
        <w:trPr>
          <w:cantSplit/>
        </w:trPr>
        <w:tc>
          <w:tcPr>
            <w:tcW w:w="2127" w:type="dxa"/>
            <w:shd w:val="clear" w:color="auto" w:fill="auto"/>
          </w:tcPr>
          <w:p w14:paraId="737526A6" w14:textId="77777777" w:rsidR="00671541" w:rsidRDefault="00671541" w:rsidP="0090025D">
            <w:pPr>
              <w:pStyle w:val="TableText"/>
            </w:pPr>
            <w:r>
              <w:t>Predictive models</w:t>
            </w:r>
          </w:p>
        </w:tc>
        <w:tc>
          <w:tcPr>
            <w:tcW w:w="6485" w:type="dxa"/>
          </w:tcPr>
          <w:p w14:paraId="7058AE94" w14:textId="77777777" w:rsidR="00671541" w:rsidRDefault="00671541" w:rsidP="0090025D">
            <w:pPr>
              <w:pStyle w:val="TableText"/>
            </w:pPr>
            <w:r>
              <w:t xml:space="preserve">Validated numerical prediction tools to calculate spatial, short and long term impacts.  Models are used to estimate projections for emissions inventories and the dispersion characteristics of an airshed to ultimately provide the comprehensive understanding of the airshed that is so necessary for determining action. </w:t>
            </w:r>
          </w:p>
        </w:tc>
      </w:tr>
      <w:tr w:rsidR="00671541" w14:paraId="3D185617" w14:textId="77777777" w:rsidTr="004C6A0B">
        <w:trPr>
          <w:cantSplit/>
        </w:trPr>
        <w:tc>
          <w:tcPr>
            <w:tcW w:w="2127" w:type="dxa"/>
            <w:shd w:val="clear" w:color="auto" w:fill="auto"/>
          </w:tcPr>
          <w:p w14:paraId="2F8FF4E9" w14:textId="77777777" w:rsidR="00671541" w:rsidRDefault="00671541" w:rsidP="0090025D">
            <w:pPr>
              <w:pStyle w:val="TableText"/>
            </w:pPr>
            <w:r>
              <w:t>Regulatory instruments</w:t>
            </w:r>
          </w:p>
        </w:tc>
        <w:tc>
          <w:tcPr>
            <w:tcW w:w="6485" w:type="dxa"/>
          </w:tcPr>
          <w:p w14:paraId="40B36437" w14:textId="77777777" w:rsidR="00671541" w:rsidRDefault="00671541" w:rsidP="0090025D">
            <w:pPr>
              <w:pStyle w:val="TableText"/>
            </w:pPr>
            <w:r>
              <w:t>Regulations, regional plans, by-laws, incentives,</w:t>
            </w:r>
            <w:r w:rsidR="00596A69">
              <w:t xml:space="preserve"> education</w:t>
            </w:r>
            <w:r>
              <w:t xml:space="preserve"> etc.</w:t>
            </w:r>
          </w:p>
        </w:tc>
      </w:tr>
      <w:tr w:rsidR="00671541" w14:paraId="15868BE7" w14:textId="77777777" w:rsidTr="004C6A0B">
        <w:trPr>
          <w:cantSplit/>
        </w:trPr>
        <w:tc>
          <w:tcPr>
            <w:tcW w:w="2127" w:type="dxa"/>
            <w:shd w:val="clear" w:color="auto" w:fill="auto"/>
          </w:tcPr>
          <w:p w14:paraId="69AB8E77" w14:textId="77777777" w:rsidR="00671541" w:rsidRDefault="00671541" w:rsidP="0090025D">
            <w:pPr>
              <w:pStyle w:val="TableText"/>
            </w:pPr>
            <w:r>
              <w:t>Communication</w:t>
            </w:r>
          </w:p>
        </w:tc>
        <w:tc>
          <w:tcPr>
            <w:tcW w:w="6485" w:type="dxa"/>
          </w:tcPr>
          <w:p w14:paraId="75854A76" w14:textId="77777777" w:rsidR="00671541" w:rsidRDefault="00671541" w:rsidP="0090025D">
            <w:pPr>
              <w:pStyle w:val="TableText"/>
            </w:pPr>
            <w:r>
              <w:t>System to give information to public on air quality.  Includes reporting requirements under national environmental standards.</w:t>
            </w:r>
          </w:p>
        </w:tc>
      </w:tr>
      <w:tr w:rsidR="00671541" w14:paraId="45F556BE" w14:textId="77777777" w:rsidTr="004C6A0B">
        <w:trPr>
          <w:cantSplit/>
        </w:trPr>
        <w:tc>
          <w:tcPr>
            <w:tcW w:w="2127" w:type="dxa"/>
            <w:shd w:val="clear" w:color="auto" w:fill="auto"/>
          </w:tcPr>
          <w:p w14:paraId="65B1DA48" w14:textId="77777777" w:rsidR="00671541" w:rsidRDefault="00671541" w:rsidP="0090025D">
            <w:pPr>
              <w:pStyle w:val="TableText"/>
            </w:pPr>
            <w:r>
              <w:t>Strategy</w:t>
            </w:r>
          </w:p>
        </w:tc>
        <w:tc>
          <w:tcPr>
            <w:tcW w:w="6485" w:type="dxa"/>
          </w:tcPr>
          <w:p w14:paraId="730FF34A" w14:textId="77777777" w:rsidR="00671541" w:rsidRDefault="00671541" w:rsidP="0090025D">
            <w:pPr>
              <w:pStyle w:val="TableText"/>
            </w:pPr>
            <w:r>
              <w:t>Policies and measures to ensure ambient standards are achieved and maintained, eg, regional plans, airshed action plan.</w:t>
            </w:r>
          </w:p>
        </w:tc>
      </w:tr>
    </w:tbl>
    <w:p w14:paraId="700D9069" w14:textId="77777777" w:rsidR="00671541" w:rsidRPr="00EC656F" w:rsidRDefault="00671541" w:rsidP="0090025D">
      <w:pPr>
        <w:rPr>
          <w:rFonts w:eastAsia="Arial Unicode MS"/>
        </w:rPr>
      </w:pPr>
      <w:bookmarkStart w:id="141" w:name="_Toc82851138"/>
      <w:bookmarkStart w:id="142" w:name="_Toc84646413"/>
      <w:bookmarkStart w:id="143" w:name="_Toc87954625"/>
      <w:r w:rsidRPr="00EC656F">
        <w:rPr>
          <w:rFonts w:eastAsia="Arial Unicode MS"/>
        </w:rPr>
        <w:t>*</w:t>
      </w:r>
      <w:r>
        <w:rPr>
          <w:rFonts w:eastAsia="Arial Unicode MS"/>
        </w:rPr>
        <w:t xml:space="preserve"> </w:t>
      </w:r>
      <w:r w:rsidRPr="00EC656F">
        <w:rPr>
          <w:rFonts w:eastAsia="Arial Unicode MS"/>
        </w:rPr>
        <w:t xml:space="preserve">Adapted from </w:t>
      </w:r>
      <w:r w:rsidRPr="00195C67">
        <w:rPr>
          <w:rFonts w:eastAsia="Arial Unicode MS"/>
        </w:rPr>
        <w:t>Elsom (2004).</w:t>
      </w:r>
    </w:p>
    <w:bookmarkEnd w:id="141"/>
    <w:bookmarkEnd w:id="142"/>
    <w:bookmarkEnd w:id="143"/>
    <w:p w14:paraId="536A00BB" w14:textId="77777777" w:rsidR="00671541" w:rsidRDefault="00671541" w:rsidP="0090025D"/>
    <w:p w14:paraId="24AAF80D" w14:textId="77777777" w:rsidR="00671541" w:rsidRDefault="00671541" w:rsidP="0090025D">
      <w:r w:rsidRPr="00234369">
        <w:t>The preparation of an air</w:t>
      </w:r>
      <w:r>
        <w:t>shed</w:t>
      </w:r>
      <w:r w:rsidRPr="00234369">
        <w:t xml:space="preserve"> action plan</w:t>
      </w:r>
      <w:r>
        <w:t>s is discussed in detail in the Compliance Strategy</w:t>
      </w:r>
      <w:r w:rsidR="00B80B24">
        <w:t xml:space="preserve"> (MfE, 2011e)</w:t>
      </w:r>
      <w:r w:rsidR="00596A69">
        <w:t>. In summary,</w:t>
      </w:r>
      <w:r>
        <w:t xml:space="preserve"> however an airshed action plan</w:t>
      </w:r>
      <w:r w:rsidRPr="00234369">
        <w:t xml:space="preserve"> may be broken into five steps as outlined below.</w:t>
      </w:r>
    </w:p>
    <w:p w14:paraId="4DFAD6B3" w14:textId="77777777" w:rsidR="00671541" w:rsidRDefault="00671541" w:rsidP="00952E2A">
      <w:pPr>
        <w:pStyle w:val="ListParagraph"/>
        <w:numPr>
          <w:ilvl w:val="0"/>
          <w:numId w:val="23"/>
        </w:numPr>
        <w:spacing w:before="120"/>
        <w:ind w:left="357" w:hanging="357"/>
      </w:pPr>
      <w:r>
        <w:t>What is the state of ambient air quality at the present in the airshed – what do you know and, equally important, what don’t you know</w:t>
      </w:r>
      <w:r w:rsidR="00B80B24">
        <w:t>?</w:t>
      </w:r>
    </w:p>
    <w:p w14:paraId="2B0B71E9" w14:textId="77777777" w:rsidR="00671541" w:rsidRDefault="00671541" w:rsidP="00952E2A">
      <w:pPr>
        <w:pStyle w:val="ListParagraph"/>
        <w:numPr>
          <w:ilvl w:val="0"/>
          <w:numId w:val="23"/>
        </w:numPr>
        <w:spacing w:before="120"/>
        <w:ind w:left="357" w:hanging="357"/>
      </w:pPr>
      <w:r>
        <w:t>Estimate the state of future ambient air quality within the airshed</w:t>
      </w:r>
      <w:r w:rsidR="00866F64">
        <w:t>.</w:t>
      </w:r>
      <w:r>
        <w:t xml:space="preserve"> </w:t>
      </w:r>
    </w:p>
    <w:p w14:paraId="711DCC29" w14:textId="77777777" w:rsidR="00671541" w:rsidRDefault="00671541" w:rsidP="00952E2A">
      <w:pPr>
        <w:pStyle w:val="ListParagraph"/>
        <w:numPr>
          <w:ilvl w:val="0"/>
          <w:numId w:val="23"/>
        </w:numPr>
        <w:spacing w:before="120"/>
        <w:ind w:left="357" w:hanging="357"/>
      </w:pPr>
      <w:r>
        <w:t>Identify and prioritise policies or strategies to improve air quality within that particular airshed</w:t>
      </w:r>
      <w:r w:rsidR="00866F64">
        <w:t>.</w:t>
      </w:r>
    </w:p>
    <w:p w14:paraId="1F2E3CE7" w14:textId="77777777" w:rsidR="00671541" w:rsidRDefault="00671541" w:rsidP="00952E2A">
      <w:pPr>
        <w:pStyle w:val="ListParagraph"/>
        <w:numPr>
          <w:ilvl w:val="0"/>
          <w:numId w:val="23"/>
        </w:numPr>
        <w:spacing w:before="120"/>
        <w:ind w:left="357" w:hanging="357"/>
      </w:pPr>
      <w:r>
        <w:t>Take action</w:t>
      </w:r>
      <w:r w:rsidR="00866F64">
        <w:t>.</w:t>
      </w:r>
    </w:p>
    <w:p w14:paraId="4BE33512" w14:textId="77777777" w:rsidR="00671541" w:rsidRDefault="00671541" w:rsidP="00952E2A">
      <w:pPr>
        <w:pStyle w:val="ListParagraph"/>
        <w:numPr>
          <w:ilvl w:val="0"/>
          <w:numId w:val="23"/>
        </w:numPr>
        <w:spacing w:before="120"/>
        <w:ind w:left="357" w:hanging="357"/>
      </w:pPr>
      <w:r>
        <w:t>Review the effectiveness of the airshed action plan and determine whether the airshed will attain the ambient PM</w:t>
      </w:r>
      <w:r w:rsidRPr="00BB11AA">
        <w:rPr>
          <w:vertAlign w:val="subscript"/>
        </w:rPr>
        <w:t>10</w:t>
      </w:r>
      <w:r>
        <w:t xml:space="preserve"> standard within the desired timeframe.</w:t>
      </w:r>
    </w:p>
    <w:p w14:paraId="6677D47F" w14:textId="77777777" w:rsidR="00B24E45" w:rsidRDefault="00B24E45" w:rsidP="0090025D">
      <w:pPr>
        <w:pStyle w:val="Heading3"/>
      </w:pPr>
      <w:r>
        <w:t>4.</w:t>
      </w:r>
      <w:r w:rsidR="00A43A4A">
        <w:t>12</w:t>
      </w:r>
      <w:r w:rsidR="00F31C01">
        <w:t>.3</w:t>
      </w:r>
      <w:r>
        <w:tab/>
      </w:r>
      <w:r w:rsidR="008221B3">
        <w:t xml:space="preserve"> </w:t>
      </w:r>
      <w:r>
        <w:t>What about SLiPs and CLiPS?</w:t>
      </w:r>
    </w:p>
    <w:p w14:paraId="1E1FE7A0" w14:textId="77777777" w:rsidR="00A00B40" w:rsidRPr="00A00B40" w:rsidRDefault="00CB7B2B" w:rsidP="0090025D">
      <w:r w:rsidRPr="00A00B40">
        <w:t>The previous version of the Regulations</w:t>
      </w:r>
      <w:r w:rsidR="00A00B40" w:rsidRPr="00A00B40">
        <w:t xml:space="preserve"> </w:t>
      </w:r>
      <w:r w:rsidRPr="00A00B40">
        <w:t xml:space="preserve">required </w:t>
      </w:r>
      <w:r w:rsidR="00A503F6">
        <w:t>either a Straight Line Path</w:t>
      </w:r>
      <w:r w:rsidR="00A00B40" w:rsidRPr="00A00B40">
        <w:t xml:space="preserve"> (SLiP) or a Curved Line Path (CLiP)</w:t>
      </w:r>
      <w:r w:rsidR="00596A69">
        <w:t xml:space="preserve"> to compliance with the PM</w:t>
      </w:r>
      <w:r w:rsidR="00596A69" w:rsidRPr="00596A69">
        <w:rPr>
          <w:vertAlign w:val="subscript"/>
        </w:rPr>
        <w:t>10</w:t>
      </w:r>
      <w:r w:rsidR="00596A69">
        <w:t xml:space="preserve"> standard</w:t>
      </w:r>
      <w:r w:rsidR="00A00B40" w:rsidRPr="00A00B40">
        <w:t xml:space="preserve">.  </w:t>
      </w:r>
    </w:p>
    <w:p w14:paraId="4905B6A6" w14:textId="77777777" w:rsidR="00A00B40" w:rsidRPr="00A00B40" w:rsidRDefault="00A00B40" w:rsidP="0090025D"/>
    <w:p w14:paraId="7B3CC9C1" w14:textId="77777777" w:rsidR="00A00B40" w:rsidRPr="00A00B40" w:rsidRDefault="00A00B40" w:rsidP="0090025D">
      <w:r w:rsidRPr="00A00B40">
        <w:t xml:space="preserve">The SLiP or CLiP </w:t>
      </w:r>
      <w:r>
        <w:t>was a projection</w:t>
      </w:r>
      <w:r w:rsidRPr="00A00B40">
        <w:t xml:space="preserve"> of how a regional council would attain compliance with the ambient PM</w:t>
      </w:r>
      <w:r w:rsidRPr="00A00B40">
        <w:rPr>
          <w:vertAlign w:val="subscript"/>
        </w:rPr>
        <w:t>10</w:t>
      </w:r>
      <w:r w:rsidRPr="00A00B40">
        <w:t xml:space="preserve"> standard within an airshed by 2013. They were determined by two things:</w:t>
      </w:r>
    </w:p>
    <w:p w14:paraId="6614EDF1" w14:textId="77777777" w:rsidR="00A00B40" w:rsidRPr="00A00B40" w:rsidRDefault="00A00B40" w:rsidP="00952E2A">
      <w:pPr>
        <w:pStyle w:val="Bullet"/>
        <w:numPr>
          <w:ilvl w:val="0"/>
          <w:numId w:val="14"/>
        </w:numPr>
        <w:ind w:left="357" w:hanging="357"/>
      </w:pPr>
      <w:r w:rsidRPr="00A00B40">
        <w:t>the state of the air quality at the relevant date (ie, when the PM</w:t>
      </w:r>
      <w:r w:rsidRPr="00261A2A">
        <w:rPr>
          <w:vertAlign w:val="subscript"/>
        </w:rPr>
        <w:t>10</w:t>
      </w:r>
      <w:r w:rsidRPr="00952E2A">
        <w:t xml:space="preserve"> </w:t>
      </w:r>
      <w:r w:rsidR="00C500EF" w:rsidRPr="00A00B40">
        <w:t>Regulation</w:t>
      </w:r>
      <w:r w:rsidRPr="00A00B40">
        <w:t xml:space="preserve"> came into force on 1 September 2005 or the </w:t>
      </w:r>
      <w:r w:rsidRPr="00F930B2">
        <w:t>gazettal</w:t>
      </w:r>
      <w:r w:rsidRPr="00A00B40">
        <w:t xml:space="preserve"> date of the airshed)</w:t>
      </w:r>
    </w:p>
    <w:p w14:paraId="4BF92811" w14:textId="77777777" w:rsidR="00A00B40" w:rsidRPr="00A00B40" w:rsidRDefault="00A00B40" w:rsidP="00952E2A">
      <w:pPr>
        <w:pStyle w:val="Bullet"/>
        <w:numPr>
          <w:ilvl w:val="0"/>
          <w:numId w:val="14"/>
        </w:numPr>
        <w:ind w:left="357" w:hanging="357"/>
      </w:pPr>
      <w:r w:rsidRPr="00A00B40">
        <w:t xml:space="preserve">the rate at which things were required to improve to achieve compliance by 1 September 2013. </w:t>
      </w:r>
    </w:p>
    <w:p w14:paraId="3082F522" w14:textId="77777777" w:rsidR="00A00B40" w:rsidRPr="00A00B40" w:rsidRDefault="00A00B40" w:rsidP="0090025D"/>
    <w:p w14:paraId="2B02F4D7" w14:textId="77777777" w:rsidR="00A00B40" w:rsidRPr="00A00B40" w:rsidRDefault="00A00B40" w:rsidP="0090025D">
      <w:r w:rsidRPr="00A00B40">
        <w:t>The SLiP or CLiP was then used to determine whether resource consent could be granted for discharges of PM</w:t>
      </w:r>
      <w:r w:rsidRPr="00A00B40">
        <w:rPr>
          <w:vertAlign w:val="subscript"/>
        </w:rPr>
        <w:t>10</w:t>
      </w:r>
      <w:r w:rsidRPr="00A00B40">
        <w:t xml:space="preserve"> within an airshed.</w:t>
      </w:r>
    </w:p>
    <w:p w14:paraId="2B77ADA1" w14:textId="77777777" w:rsidR="00A00B40" w:rsidRPr="00F22B84" w:rsidRDefault="00A00B40" w:rsidP="0090025D">
      <w:r w:rsidRPr="00F22B84">
        <w:t xml:space="preserve">  </w:t>
      </w:r>
    </w:p>
    <w:p w14:paraId="294CC4F1" w14:textId="77777777" w:rsidR="00F22B84" w:rsidRDefault="00A00B40" w:rsidP="0090025D">
      <w:r w:rsidRPr="00F22B84">
        <w:t xml:space="preserve">The 2011 amendments </w:t>
      </w:r>
      <w:r w:rsidR="00596A69">
        <w:t xml:space="preserve">repealed the requirement for </w:t>
      </w:r>
      <w:r w:rsidR="00265922">
        <w:t xml:space="preserve">SLiPs or CLiPs. </w:t>
      </w:r>
      <w:r w:rsidRPr="00F22B84">
        <w:t xml:space="preserve">Therefore, they are </w:t>
      </w:r>
      <w:r w:rsidRPr="001E72FB">
        <w:rPr>
          <w:b/>
        </w:rPr>
        <w:t>no longer mandatory</w:t>
      </w:r>
      <w:r w:rsidR="00596A69">
        <w:rPr>
          <w:b/>
        </w:rPr>
        <w:t xml:space="preserve"> and</w:t>
      </w:r>
      <w:r w:rsidR="001E72FB">
        <w:rPr>
          <w:b/>
        </w:rPr>
        <w:t xml:space="preserve"> do not have any impact</w:t>
      </w:r>
      <w:r w:rsidR="00F22B84" w:rsidRPr="001E72FB">
        <w:rPr>
          <w:b/>
        </w:rPr>
        <w:t xml:space="preserve"> on the granting of resource consents</w:t>
      </w:r>
      <w:r w:rsidR="00B80B24">
        <w:rPr>
          <w:b/>
        </w:rPr>
        <w:t xml:space="preserve"> (unless in a regional plan)</w:t>
      </w:r>
      <w:r w:rsidRPr="00F22B84">
        <w:t xml:space="preserve">. In practice however, SLiPs or CLiPs </w:t>
      </w:r>
      <w:r w:rsidR="00596A69">
        <w:t>may</w:t>
      </w:r>
      <w:r w:rsidRPr="00F22B84">
        <w:t xml:space="preserve"> still be</w:t>
      </w:r>
      <w:r w:rsidR="00596A69">
        <w:t xml:space="preserve"> a useful</w:t>
      </w:r>
      <w:r w:rsidRPr="00F22B84">
        <w:t xml:space="preserve"> part of an </w:t>
      </w:r>
      <w:r w:rsidR="0086727A" w:rsidRPr="00F22B84">
        <w:t>airshed action plan</w:t>
      </w:r>
      <w:r w:rsidR="00B80B24">
        <w:t>; by</w:t>
      </w:r>
      <w:r w:rsidR="00F22B84" w:rsidRPr="00F22B84">
        <w:t xml:space="preserve"> </w:t>
      </w:r>
      <w:r w:rsidR="00671541">
        <w:t xml:space="preserve">showing how an airshed has been trending in the past and </w:t>
      </w:r>
      <w:r w:rsidR="00F22B84" w:rsidRPr="00F22B84">
        <w:t>projecti</w:t>
      </w:r>
      <w:r w:rsidR="00F22B84">
        <w:t>ng</w:t>
      </w:r>
      <w:r w:rsidR="00F22B84" w:rsidRPr="00F22B84">
        <w:t xml:space="preserve"> how a regional council will attain compliance with the PM</w:t>
      </w:r>
      <w:r w:rsidR="00F22B84" w:rsidRPr="00F22B84">
        <w:rPr>
          <w:vertAlign w:val="subscript"/>
        </w:rPr>
        <w:t>10</w:t>
      </w:r>
      <w:r w:rsidR="00F22B84" w:rsidRPr="00F22B84">
        <w:t xml:space="preserve"> standard.</w:t>
      </w:r>
      <w:r w:rsidR="001E72FB">
        <w:t xml:space="preserve">  If a </w:t>
      </w:r>
      <w:r w:rsidR="00A503F6">
        <w:t xml:space="preserve">Council continues to use a </w:t>
      </w:r>
      <w:r w:rsidR="001E72FB">
        <w:t>SLiP or CLiP</w:t>
      </w:r>
      <w:r w:rsidR="00B80B24">
        <w:t>,</w:t>
      </w:r>
      <w:r w:rsidR="001E72FB">
        <w:t xml:space="preserve"> </w:t>
      </w:r>
      <w:r w:rsidR="00A503F6">
        <w:t>it may need</w:t>
      </w:r>
      <w:r w:rsidR="001E72FB">
        <w:t xml:space="preserve"> to</w:t>
      </w:r>
      <w:r w:rsidR="00A503F6">
        <w:t xml:space="preserve"> be</w:t>
      </w:r>
      <w:r w:rsidR="001E72FB">
        <w:t xml:space="preserve"> amend</w:t>
      </w:r>
      <w:r w:rsidR="00A503F6">
        <w:t>ed</w:t>
      </w:r>
      <w:r w:rsidR="001E72FB">
        <w:t xml:space="preserve"> to take into account the </w:t>
      </w:r>
      <w:r w:rsidR="00596A69">
        <w:t xml:space="preserve">new </w:t>
      </w:r>
      <w:r w:rsidR="001E72FB">
        <w:t>split target compliance</w:t>
      </w:r>
      <w:r w:rsidR="00596A69">
        <w:t xml:space="preserve"> dates</w:t>
      </w:r>
      <w:r w:rsidR="001E72FB">
        <w:t xml:space="preserve">. </w:t>
      </w:r>
    </w:p>
    <w:p w14:paraId="012C2806" w14:textId="77777777" w:rsidR="00E54515" w:rsidRPr="00F22B84" w:rsidRDefault="00E54515" w:rsidP="0090025D"/>
    <w:p w14:paraId="160812D3" w14:textId="77777777" w:rsidR="003948D8" w:rsidRDefault="00A43A4A" w:rsidP="0090025D">
      <w:pPr>
        <w:pStyle w:val="Heading2"/>
      </w:pPr>
      <w:bookmarkStart w:id="144" w:name="_Toc300856621"/>
      <w:r>
        <w:t>4.13</w:t>
      </w:r>
      <w:r w:rsidR="00596052">
        <w:tab/>
      </w:r>
      <w:r w:rsidR="003948D8">
        <w:t>Enforcement</w:t>
      </w:r>
      <w:bookmarkEnd w:id="144"/>
    </w:p>
    <w:p w14:paraId="4EC6D54F" w14:textId="77777777" w:rsidR="00260E78" w:rsidRDefault="00260E78" w:rsidP="0090025D">
      <w:r w:rsidRPr="00234369">
        <w:t xml:space="preserve">Any person who discharges </w:t>
      </w:r>
      <w:r>
        <w:t>emissions of PM</w:t>
      </w:r>
      <w:r w:rsidRPr="00260E78">
        <w:rPr>
          <w:vertAlign w:val="subscript"/>
        </w:rPr>
        <w:t>10</w:t>
      </w:r>
      <w:r>
        <w:t xml:space="preserve"> from an activity, particularly if it requires resource consent, </w:t>
      </w:r>
      <w:r w:rsidRPr="00234369">
        <w:t>could be subject to enforcement action from the regional council in accordance with the enforcement provisions of the RMA</w:t>
      </w:r>
      <w:r w:rsidR="00265922">
        <w:t xml:space="preserve">. </w:t>
      </w:r>
      <w:r>
        <w:t xml:space="preserve">These provisions are discussed in more detail in section </w:t>
      </w:r>
      <w:r w:rsidRPr="00B80B24">
        <w:t>2.4</w:t>
      </w:r>
      <w:r>
        <w:t xml:space="preserve">.  </w:t>
      </w:r>
    </w:p>
    <w:p w14:paraId="3CF226EE" w14:textId="77777777" w:rsidR="00260E78" w:rsidRDefault="00260E78" w:rsidP="0090025D"/>
    <w:p w14:paraId="30CC57EC" w14:textId="77777777" w:rsidR="00260E78" w:rsidRPr="00B80B24" w:rsidRDefault="00260E78" w:rsidP="0090025D">
      <w:r w:rsidRPr="008A1AB7">
        <w:t>In addition to this, section 44A(8) of the RMA now requires</w:t>
      </w:r>
      <w:r>
        <w:t xml:space="preserve"> </w:t>
      </w:r>
      <w:r w:rsidRPr="00B80B24">
        <w:t>that ‘every local authority and consent authority must enforce the observance of national environmental standards to the extent to which their powers enable them to do so’.</w:t>
      </w:r>
    </w:p>
    <w:p w14:paraId="2A55BBF2" w14:textId="77777777" w:rsidR="00260E78" w:rsidRPr="008A1AB7" w:rsidRDefault="00260E78" w:rsidP="0090025D"/>
    <w:p w14:paraId="36180A22" w14:textId="77777777" w:rsidR="00260E78" w:rsidRDefault="00260E78" w:rsidP="0090025D">
      <w:r w:rsidRPr="008A1AB7">
        <w:t>There is therefore, an obligation on regional councils</w:t>
      </w:r>
      <w:r>
        <w:t>, territorial local authorities and requiring authorities, when considering designation applications,</w:t>
      </w:r>
      <w:r w:rsidRPr="008A1AB7">
        <w:t xml:space="preserve"> to </w:t>
      </w:r>
      <w:r>
        <w:t xml:space="preserve">enforce </w:t>
      </w:r>
      <w:r w:rsidRPr="008A1AB7">
        <w:t xml:space="preserve">the </w:t>
      </w:r>
      <w:r>
        <w:t>PM</w:t>
      </w:r>
      <w:r w:rsidRPr="00260E78">
        <w:rPr>
          <w:vertAlign w:val="subscript"/>
        </w:rPr>
        <w:t>10</w:t>
      </w:r>
      <w:r>
        <w:t xml:space="preserve"> </w:t>
      </w:r>
      <w:r w:rsidR="00C500EF">
        <w:t>Regulation</w:t>
      </w:r>
      <w:r>
        <w:t>s</w:t>
      </w:r>
      <w:r w:rsidRPr="008A1AB7">
        <w:t>.</w:t>
      </w:r>
    </w:p>
    <w:p w14:paraId="53497E50" w14:textId="77777777" w:rsidR="00260E78" w:rsidRDefault="00260E78" w:rsidP="0090025D"/>
    <w:p w14:paraId="457F933C" w14:textId="77777777" w:rsidR="00260E78" w:rsidRDefault="00260E78" w:rsidP="0090025D">
      <w:r w:rsidRPr="00360CCC">
        <w:t xml:space="preserve">Given the time the Regulations have been in force, it is not unreasonable to expect that the Minister for the Environment may take action </w:t>
      </w:r>
      <w:r>
        <w:t>under section 24A of the RMA to investigate the performance of any council that has an airshed that is not complying with the ambient PM</w:t>
      </w:r>
      <w:r w:rsidRPr="00260E78">
        <w:rPr>
          <w:vertAlign w:val="subscript"/>
        </w:rPr>
        <w:t>10</w:t>
      </w:r>
      <w:r>
        <w:t xml:space="preserve"> standard by the relevant attainment date.</w:t>
      </w:r>
    </w:p>
    <w:p w14:paraId="4A404C46" w14:textId="77777777" w:rsidR="00E54515" w:rsidRDefault="00E54515" w:rsidP="0090025D"/>
    <w:p w14:paraId="1FBAED5A" w14:textId="77777777" w:rsidR="003948D8" w:rsidRPr="000A61B9" w:rsidRDefault="00A43A4A" w:rsidP="0090025D">
      <w:pPr>
        <w:pStyle w:val="Heading2"/>
      </w:pPr>
      <w:bookmarkStart w:id="145" w:name="_Toc300856622"/>
      <w:r>
        <w:t>4.14</w:t>
      </w:r>
      <w:r w:rsidR="003948D8">
        <w:tab/>
      </w:r>
      <w:r w:rsidR="003948D8" w:rsidRPr="000A61B9">
        <w:t>Reporting requirements</w:t>
      </w:r>
      <w:bookmarkEnd w:id="145"/>
    </w:p>
    <w:p w14:paraId="613059F4" w14:textId="77777777" w:rsidR="003948D8" w:rsidRDefault="003948D8" w:rsidP="0090025D">
      <w:r>
        <w:t>The Minister for the Environment may, under section 27 of the RMA, request information on the implementation of the Regulations from</w:t>
      </w:r>
      <w:r w:rsidR="001C22B8">
        <w:t xml:space="preserve"> regional councils at any time.</w:t>
      </w:r>
      <w:r>
        <w:t xml:space="preserve"> Councils have 20 working days to respond.</w:t>
      </w:r>
    </w:p>
    <w:p w14:paraId="16F7D1B1" w14:textId="77777777" w:rsidR="003948D8" w:rsidRDefault="003948D8" w:rsidP="0090025D"/>
    <w:p w14:paraId="3C3423EE" w14:textId="77777777" w:rsidR="003948D8" w:rsidRDefault="003948D8" w:rsidP="0090025D">
      <w:r>
        <w:t>For information on reporting to the Minister for the Environment in relation to PM</w:t>
      </w:r>
      <w:r w:rsidRPr="003948D8">
        <w:rPr>
          <w:vertAlign w:val="subscript"/>
        </w:rPr>
        <w:t>10</w:t>
      </w:r>
      <w:r w:rsidR="00B80B24">
        <w:t>,</w:t>
      </w:r>
      <w:r>
        <w:t xml:space="preserve"> please refer to the </w:t>
      </w:r>
      <w:r w:rsidRPr="00343F69">
        <w:t>Compliance Strategy</w:t>
      </w:r>
      <w:r>
        <w:t xml:space="preserve"> (MfE, 2011</w:t>
      </w:r>
      <w:r w:rsidRPr="00B80B24">
        <w:t xml:space="preserve">). Table </w:t>
      </w:r>
      <w:r w:rsidR="00B80B24" w:rsidRPr="00B80B24">
        <w:t>7</w:t>
      </w:r>
      <w:r w:rsidRPr="00B80B24">
        <w:t xml:space="preserve"> in section 4.1</w:t>
      </w:r>
      <w:r w:rsidR="00B80B24" w:rsidRPr="00B80B24">
        <w:t>2</w:t>
      </w:r>
      <w:r>
        <w:t xml:space="preserve"> (from the </w:t>
      </w:r>
      <w:r w:rsidRPr="00343F69">
        <w:t>Compliance Strategy</w:t>
      </w:r>
      <w:r>
        <w:t>) highlights that the Minister may require:</w:t>
      </w:r>
    </w:p>
    <w:p w14:paraId="375336E1" w14:textId="77777777" w:rsidR="003948D8" w:rsidRDefault="003948D8" w:rsidP="004152F8">
      <w:pPr>
        <w:pStyle w:val="Bullet"/>
        <w:numPr>
          <w:ilvl w:val="0"/>
          <w:numId w:val="14"/>
        </w:numPr>
        <w:ind w:left="357" w:hanging="357"/>
      </w:pPr>
      <w:r>
        <w:t>reporting of PM</w:t>
      </w:r>
      <w:r w:rsidRPr="00261A2A">
        <w:rPr>
          <w:vertAlign w:val="subscript"/>
        </w:rPr>
        <w:t>10</w:t>
      </w:r>
      <w:r>
        <w:t xml:space="preserve"> monitoring data to determine the status of airsheds</w:t>
      </w:r>
    </w:p>
    <w:p w14:paraId="0E6D3247" w14:textId="77777777" w:rsidR="003948D8" w:rsidRDefault="003948D8" w:rsidP="004152F8">
      <w:pPr>
        <w:pStyle w:val="Bullet"/>
        <w:numPr>
          <w:ilvl w:val="0"/>
          <w:numId w:val="14"/>
        </w:numPr>
        <w:ind w:left="357" w:hanging="357"/>
      </w:pPr>
      <w:r>
        <w:t>an airshed action plan to show how PM</w:t>
      </w:r>
      <w:r w:rsidRPr="00261A2A">
        <w:rPr>
          <w:vertAlign w:val="subscript"/>
        </w:rPr>
        <w:t>10</w:t>
      </w:r>
      <w:r>
        <w:t xml:space="preserve"> standard will be achieved</w:t>
      </w:r>
    </w:p>
    <w:p w14:paraId="0E2E8DC9" w14:textId="77777777" w:rsidR="003948D8" w:rsidRDefault="003948D8" w:rsidP="004152F8">
      <w:pPr>
        <w:pStyle w:val="Bullet"/>
        <w:numPr>
          <w:ilvl w:val="0"/>
          <w:numId w:val="14"/>
        </w:numPr>
        <w:ind w:left="357" w:hanging="357"/>
      </w:pPr>
      <w:r>
        <w:t>reporting on progress on achieving the PM</w:t>
      </w:r>
      <w:r w:rsidRPr="00261A2A">
        <w:rPr>
          <w:vertAlign w:val="subscript"/>
        </w:rPr>
        <w:t>10</w:t>
      </w:r>
      <w:r>
        <w:t xml:space="preserve"> standards.  </w:t>
      </w:r>
    </w:p>
    <w:p w14:paraId="2B021024" w14:textId="77777777" w:rsidR="00260E78" w:rsidRDefault="00260E78" w:rsidP="0090025D">
      <w:pPr>
        <w:pStyle w:val="Bullet"/>
      </w:pPr>
    </w:p>
    <w:p w14:paraId="093210CB" w14:textId="77777777" w:rsidR="003948D8" w:rsidRDefault="003948D8" w:rsidP="0090025D"/>
    <w:p w14:paraId="60BAFBCF" w14:textId="77777777" w:rsidR="003948D8" w:rsidRDefault="003948D8" w:rsidP="0090025D"/>
    <w:p w14:paraId="005B19A8" w14:textId="77777777" w:rsidR="003948D8" w:rsidRPr="00056475" w:rsidRDefault="003948D8" w:rsidP="0090025D">
      <w:pPr>
        <w:sectPr w:rsidR="003948D8" w:rsidRPr="00056475">
          <w:pgSz w:w="11907" w:h="16840" w:code="9"/>
          <w:pgMar w:top="1701" w:right="1418" w:bottom="1701" w:left="1418" w:header="567" w:footer="567" w:gutter="567"/>
          <w:cols w:space="720"/>
        </w:sectPr>
      </w:pPr>
    </w:p>
    <w:p w14:paraId="41F3F342" w14:textId="77777777" w:rsidR="00B245D8" w:rsidRDefault="00AD10EA" w:rsidP="0090025D">
      <w:pPr>
        <w:pStyle w:val="Heading1"/>
      </w:pPr>
      <w:bookmarkStart w:id="146" w:name="_Toc300856623"/>
      <w:r>
        <w:t>5</w:t>
      </w:r>
      <w:r>
        <w:tab/>
        <w:t>Domestic Fires</w:t>
      </w:r>
      <w:bookmarkEnd w:id="146"/>
    </w:p>
    <w:p w14:paraId="46C811C8" w14:textId="77777777" w:rsidR="00AD10EA" w:rsidRDefault="00AD10EA" w:rsidP="0090025D">
      <w:pPr>
        <w:pStyle w:val="Heading2"/>
      </w:pPr>
      <w:bookmarkStart w:id="147" w:name="_Toc300856624"/>
      <w:r>
        <w:t>5.1</w:t>
      </w:r>
      <w:r>
        <w:tab/>
        <w:t>Introduction</w:t>
      </w:r>
      <w:bookmarkEnd w:id="147"/>
    </w:p>
    <w:p w14:paraId="045EEF9D" w14:textId="77777777" w:rsidR="00205E16" w:rsidRDefault="00425F28" w:rsidP="0090025D">
      <w:r>
        <w:t>T</w:t>
      </w:r>
      <w:r w:rsidR="007B6585" w:rsidRPr="007B6585">
        <w:t>he main source of PM</w:t>
      </w:r>
      <w:r w:rsidR="007B6585" w:rsidRPr="007B6585">
        <w:rPr>
          <w:vertAlign w:val="subscript"/>
        </w:rPr>
        <w:t>10</w:t>
      </w:r>
      <w:r w:rsidR="007B6585" w:rsidRPr="007B6585">
        <w:t xml:space="preserve"> emissions </w:t>
      </w:r>
      <w:r>
        <w:t xml:space="preserve">in most urban areas in New Zealand </w:t>
      </w:r>
      <w:r w:rsidR="007B6585" w:rsidRPr="007B6585">
        <w:t>is solid f</w:t>
      </w:r>
      <w:r w:rsidR="00FD76FC">
        <w:t>uel burning in domestic fires.</w:t>
      </w:r>
    </w:p>
    <w:p w14:paraId="491B183A" w14:textId="77777777" w:rsidR="00205E16" w:rsidRDefault="00205E16" w:rsidP="0090025D"/>
    <w:p w14:paraId="2F7D39C5" w14:textId="77777777" w:rsidR="007B6585" w:rsidRDefault="00205E16" w:rsidP="0090025D">
      <w:r>
        <w:t xml:space="preserve">At the time of </w:t>
      </w:r>
      <w:r w:rsidRPr="00205E16">
        <w:t>writing, approximately</w:t>
      </w:r>
      <w:r w:rsidR="00A503F6">
        <w:t xml:space="preserve"> 22</w:t>
      </w:r>
      <w:r w:rsidR="00E3539D" w:rsidRPr="00205E16">
        <w:t xml:space="preserve"> urban airsheds in New Zealand suffer poor air quality due to elevated levels of</w:t>
      </w:r>
      <w:r w:rsidRPr="00205E16">
        <w:t xml:space="preserve"> PM</w:t>
      </w:r>
      <w:r w:rsidRPr="00205E16">
        <w:rPr>
          <w:vertAlign w:val="subscript"/>
        </w:rPr>
        <w:t>10</w:t>
      </w:r>
      <w:r w:rsidRPr="00205E16">
        <w:t xml:space="preserve"> </w:t>
      </w:r>
      <w:r w:rsidR="00E3539D" w:rsidRPr="00205E16">
        <w:t>particularly in the winter due to emissions from domestic heating.</w:t>
      </w:r>
      <w:r w:rsidRPr="00205E16">
        <w:t xml:space="preserve"> </w:t>
      </w:r>
      <w:r w:rsidR="00E3539D" w:rsidRPr="00205E16">
        <w:t>These areas range from large cities such as Auckland (which also has significant</w:t>
      </w:r>
      <w:r w:rsidRPr="00205E16">
        <w:t xml:space="preserve"> </w:t>
      </w:r>
      <w:r w:rsidR="00E3539D" w:rsidRPr="00205E16">
        <w:t>emissions from the transport sector) and Christchurch, to medium sized places such as</w:t>
      </w:r>
      <w:r w:rsidRPr="00205E16">
        <w:t xml:space="preserve"> </w:t>
      </w:r>
      <w:r w:rsidR="00E3539D" w:rsidRPr="00205E16">
        <w:t>Rotorua and Nelson as well as very small centres such as Reefton and Alexandra.</w:t>
      </w:r>
      <w:r w:rsidRPr="00205E16">
        <w:t xml:space="preserve"> </w:t>
      </w:r>
      <w:r w:rsidR="007B6585" w:rsidRPr="00205E16">
        <w:t>The</w:t>
      </w:r>
      <w:r w:rsidR="00FA6C8F">
        <w:t xml:space="preserve"> domestic fire </w:t>
      </w:r>
      <w:r w:rsidR="00C500EF">
        <w:t>Regulation</w:t>
      </w:r>
      <w:r w:rsidR="00FA6C8F">
        <w:t>s</w:t>
      </w:r>
      <w:r w:rsidR="007B6585" w:rsidRPr="00205E16">
        <w:t xml:space="preserve"> </w:t>
      </w:r>
      <w:r w:rsidR="00FA6C8F" w:rsidRPr="007B6585">
        <w:t xml:space="preserve">are therefore </w:t>
      </w:r>
      <w:r w:rsidR="00425F28">
        <w:t>expected to result in reduced</w:t>
      </w:r>
      <w:r w:rsidR="00FA6C8F" w:rsidRPr="007B6585">
        <w:t xml:space="preserve"> PM</w:t>
      </w:r>
      <w:r w:rsidR="00FA6C8F" w:rsidRPr="007B6585">
        <w:rPr>
          <w:vertAlign w:val="subscript"/>
        </w:rPr>
        <w:t>10</w:t>
      </w:r>
      <w:r w:rsidR="00FA6C8F" w:rsidRPr="007B6585">
        <w:t xml:space="preserve"> </w:t>
      </w:r>
      <w:r w:rsidR="00425F28">
        <w:t>levels</w:t>
      </w:r>
      <w:r w:rsidR="00FA6C8F" w:rsidRPr="007B6585">
        <w:t xml:space="preserve"> and </w:t>
      </w:r>
      <w:r w:rsidR="00425F28">
        <w:t>improved</w:t>
      </w:r>
      <w:r w:rsidR="00FA6C8F" w:rsidRPr="007B6585">
        <w:t xml:space="preserve"> health</w:t>
      </w:r>
      <w:r w:rsidR="00FA6C8F" w:rsidRPr="00205E16">
        <w:t xml:space="preserve"> </w:t>
      </w:r>
      <w:r w:rsidR="007B6585" w:rsidRPr="00205E16">
        <w:t>in areas with</w:t>
      </w:r>
      <w:r w:rsidR="007B6585" w:rsidRPr="007B6585">
        <w:t xml:space="preserve"> elevated PM</w:t>
      </w:r>
      <w:r w:rsidR="007B6585" w:rsidRPr="007B6585">
        <w:rPr>
          <w:vertAlign w:val="subscript"/>
        </w:rPr>
        <w:t>10</w:t>
      </w:r>
      <w:r w:rsidR="007B6585" w:rsidRPr="007B6585">
        <w:t xml:space="preserve"> levels.</w:t>
      </w:r>
    </w:p>
    <w:p w14:paraId="721E0617" w14:textId="77777777" w:rsidR="00FA6C8F" w:rsidRPr="00AD10EA" w:rsidRDefault="00FA6C8F" w:rsidP="0090025D">
      <w:pPr>
        <w:pStyle w:val="BodyText"/>
        <w:rPr>
          <w:highlight w:val="yellow"/>
        </w:rPr>
      </w:pPr>
    </w:p>
    <w:p w14:paraId="04DCA429" w14:textId="77777777" w:rsidR="00FA6C8F" w:rsidRPr="00E23812" w:rsidRDefault="00FA6C8F" w:rsidP="0090025D">
      <w:r w:rsidRPr="00E23812">
        <w:t xml:space="preserve">While the </w:t>
      </w:r>
      <w:r>
        <w:t xml:space="preserve">domestic fire </w:t>
      </w:r>
      <w:r w:rsidR="00C500EF">
        <w:t>Regulation</w:t>
      </w:r>
      <w:r>
        <w:t>s</w:t>
      </w:r>
      <w:r w:rsidRPr="00E23812">
        <w:t xml:space="preserve"> only limit emissions of particulates, they have the additional benefit of controlling the emissions of other harmful pollutants such as carbon monoxide, volatile organic compounds, polycyclic aromatic hydrocarbons, toxics and dioxins.</w:t>
      </w:r>
    </w:p>
    <w:p w14:paraId="1F92597E" w14:textId="77777777" w:rsidR="00FA6C8F" w:rsidRDefault="00FA6C8F" w:rsidP="0090025D"/>
    <w:p w14:paraId="4C7FEAC6" w14:textId="77777777" w:rsidR="00FA6C8F" w:rsidRDefault="00425F28" w:rsidP="0090025D">
      <w:pPr>
        <w:pStyle w:val="BodyText"/>
      </w:pPr>
      <w:r>
        <w:t>The</w:t>
      </w:r>
      <w:r w:rsidR="00FA6C8F" w:rsidRPr="00D172AD">
        <w:t xml:space="preserve"> R</w:t>
      </w:r>
      <w:r w:rsidR="00AD10EA" w:rsidRPr="00D172AD">
        <w:t>egulation</w:t>
      </w:r>
      <w:r w:rsidR="00FA6C8F" w:rsidRPr="00D172AD">
        <w:t xml:space="preserve">s </w:t>
      </w:r>
      <w:r>
        <w:t>have two sets of provisions for</w:t>
      </w:r>
      <w:r w:rsidR="00AD10EA" w:rsidRPr="00D172AD">
        <w:t xml:space="preserve"> domestic fires</w:t>
      </w:r>
      <w:r w:rsidR="00FA6C8F" w:rsidRPr="00D172AD">
        <w:t>:</w:t>
      </w:r>
    </w:p>
    <w:p w14:paraId="625E8A04" w14:textId="77777777" w:rsidR="00425F28" w:rsidRPr="004152F8" w:rsidRDefault="00FA38E0" w:rsidP="004152F8">
      <w:pPr>
        <w:pStyle w:val="Bullet"/>
        <w:numPr>
          <w:ilvl w:val="0"/>
          <w:numId w:val="14"/>
        </w:numPr>
        <w:ind w:left="357" w:hanging="357"/>
      </w:pPr>
      <w:r w:rsidRPr="00D172AD">
        <w:t xml:space="preserve">the </w:t>
      </w:r>
      <w:r w:rsidR="00425F28" w:rsidRPr="00D172AD">
        <w:t xml:space="preserve">standards for new woodburners </w:t>
      </w:r>
      <w:r w:rsidR="00425F28">
        <w:t>(Regulations 22 to 24)</w:t>
      </w:r>
    </w:p>
    <w:p w14:paraId="5FE19E5B" w14:textId="77777777" w:rsidR="00FA6C8F" w:rsidRPr="00D172AD" w:rsidRDefault="00FA38E0" w:rsidP="004152F8">
      <w:pPr>
        <w:pStyle w:val="Bullet"/>
        <w:numPr>
          <w:ilvl w:val="0"/>
          <w:numId w:val="14"/>
        </w:numPr>
        <w:ind w:left="357" w:hanging="357"/>
      </w:pPr>
      <w:r>
        <w:t>a</w:t>
      </w:r>
      <w:r w:rsidRPr="00D172AD">
        <w:t xml:space="preserve"> </w:t>
      </w:r>
      <w:r w:rsidR="00AD10EA" w:rsidRPr="00D172AD">
        <w:t xml:space="preserve">ban on </w:t>
      </w:r>
      <w:r w:rsidR="00FA6C8F" w:rsidRPr="00D172AD">
        <w:t xml:space="preserve">new solid-fuel burning </w:t>
      </w:r>
      <w:r w:rsidR="00AD10EA" w:rsidRPr="00D172AD">
        <w:t xml:space="preserve">open fires in airsheds </w:t>
      </w:r>
      <w:r w:rsidR="00FA6C8F" w:rsidRPr="00D172AD">
        <w:t>that breach the ambient PM</w:t>
      </w:r>
      <w:r w:rsidR="00FA6C8F" w:rsidRPr="00261A2A">
        <w:rPr>
          <w:vertAlign w:val="subscript"/>
        </w:rPr>
        <w:t>10</w:t>
      </w:r>
      <w:r w:rsidR="00FA6C8F" w:rsidRPr="00D172AD">
        <w:t xml:space="preserve"> standard</w:t>
      </w:r>
      <w:r w:rsidR="00425F28">
        <w:t xml:space="preserve"> (Regulation 24A)</w:t>
      </w:r>
      <w:r>
        <w:t>.</w:t>
      </w:r>
    </w:p>
    <w:p w14:paraId="6D850044" w14:textId="77777777" w:rsidR="00FA6C8F" w:rsidRPr="00FA6C8F" w:rsidRDefault="00FA6C8F" w:rsidP="0090025D">
      <w:pPr>
        <w:pStyle w:val="BodyText"/>
        <w:rPr>
          <w:lang w:eastAsia="en-NZ"/>
        </w:rPr>
      </w:pPr>
    </w:p>
    <w:p w14:paraId="22683088" w14:textId="77777777" w:rsidR="00FA6C8F" w:rsidRDefault="00FA6C8F" w:rsidP="0090025D">
      <w:pPr>
        <w:rPr>
          <w:lang w:eastAsia="en-NZ"/>
        </w:rPr>
      </w:pPr>
      <w:r>
        <w:rPr>
          <w:lang w:eastAsia="en-NZ"/>
        </w:rPr>
        <w:t>Some regional councils and unitary authorities also have</w:t>
      </w:r>
      <w:r w:rsidR="00425F28">
        <w:rPr>
          <w:lang w:eastAsia="en-NZ"/>
        </w:rPr>
        <w:t xml:space="preserve"> rules in their regional plans for </w:t>
      </w:r>
      <w:r>
        <w:rPr>
          <w:lang w:eastAsia="en-NZ"/>
        </w:rPr>
        <w:t xml:space="preserve">open fires or </w:t>
      </w:r>
      <w:r w:rsidR="00425F28">
        <w:rPr>
          <w:lang w:eastAsia="en-NZ"/>
        </w:rPr>
        <w:t xml:space="preserve">solid fuel </w:t>
      </w:r>
      <w:r>
        <w:rPr>
          <w:lang w:eastAsia="en-NZ"/>
        </w:rPr>
        <w:t>burners. These rules are in addition to, and in some cases more stringent</w:t>
      </w:r>
      <w:r w:rsidR="00425F28">
        <w:rPr>
          <w:lang w:eastAsia="en-NZ"/>
        </w:rPr>
        <w:t xml:space="preserve"> than, the requirements in the R</w:t>
      </w:r>
      <w:r>
        <w:rPr>
          <w:lang w:eastAsia="en-NZ"/>
        </w:rPr>
        <w:t xml:space="preserve">egulations. Councils with regional rules for domestic fires include Auckland Council, Hawke’s Bay Regional Council, Nelson City Council, Tasman District Council, </w:t>
      </w:r>
      <w:r w:rsidR="00675F61">
        <w:rPr>
          <w:lang w:eastAsia="en-NZ"/>
        </w:rPr>
        <w:t xml:space="preserve">Environment </w:t>
      </w:r>
      <w:r>
        <w:rPr>
          <w:lang w:eastAsia="en-NZ"/>
        </w:rPr>
        <w:t>Canterbury and Otago Regional Council.</w:t>
      </w:r>
    </w:p>
    <w:p w14:paraId="121AA6C1" w14:textId="77777777" w:rsidR="00FA6C8F" w:rsidRDefault="00FA6C8F" w:rsidP="0090025D">
      <w:pPr>
        <w:rPr>
          <w:lang w:eastAsia="en-NZ"/>
        </w:rPr>
      </w:pPr>
    </w:p>
    <w:p w14:paraId="237BE952" w14:textId="77777777" w:rsidR="00FA6C8F" w:rsidRDefault="00FA6C8F" w:rsidP="0090025D">
      <w:pPr>
        <w:rPr>
          <w:highlight w:val="yellow"/>
        </w:rPr>
      </w:pPr>
      <w:r>
        <w:rPr>
          <w:lang w:eastAsia="en-NZ"/>
        </w:rPr>
        <w:t>In August 2010 Rotorua District Council enacted New Zealand’s first air quality bylaw to</w:t>
      </w:r>
      <w:r w:rsidR="00675F61">
        <w:rPr>
          <w:lang w:eastAsia="en-NZ"/>
        </w:rPr>
        <w:t xml:space="preserve"> </w:t>
      </w:r>
      <w:r>
        <w:rPr>
          <w:lang w:eastAsia="en-NZ"/>
        </w:rPr>
        <w:t>reduce emissions of PM</w:t>
      </w:r>
      <w:r>
        <w:rPr>
          <w:sz w:val="14"/>
          <w:szCs w:val="14"/>
          <w:lang w:eastAsia="en-NZ"/>
        </w:rPr>
        <w:t xml:space="preserve">10 </w:t>
      </w:r>
      <w:r>
        <w:rPr>
          <w:lang w:eastAsia="en-NZ"/>
        </w:rPr>
        <w:t>from home heating in Rotorua. In addition to regional rules for domestic heating, bans on outdoor open burning are becoming increasingly common across New Zealand as awareness of PM</w:t>
      </w:r>
      <w:r>
        <w:rPr>
          <w:sz w:val="14"/>
          <w:szCs w:val="14"/>
          <w:lang w:eastAsia="en-NZ"/>
        </w:rPr>
        <w:t xml:space="preserve">10 </w:t>
      </w:r>
      <w:r>
        <w:rPr>
          <w:lang w:eastAsia="en-NZ"/>
        </w:rPr>
        <w:t>and dioxins from this type of burning grows.</w:t>
      </w:r>
    </w:p>
    <w:p w14:paraId="63B2B2E6" w14:textId="77777777" w:rsidR="00FA6C8F" w:rsidRDefault="00FA6C8F" w:rsidP="0090025D">
      <w:pPr>
        <w:pStyle w:val="BodyText"/>
        <w:rPr>
          <w:lang w:eastAsia="en-NZ"/>
        </w:rPr>
      </w:pPr>
    </w:p>
    <w:p w14:paraId="5985FFAA" w14:textId="77777777" w:rsidR="00AD10EA" w:rsidRPr="00234369" w:rsidRDefault="00AD10EA" w:rsidP="0090025D">
      <w:r w:rsidRPr="00162DBB">
        <w:t xml:space="preserve">This section outlines the </w:t>
      </w:r>
      <w:r w:rsidR="00B80B24" w:rsidRPr="00162DBB">
        <w:t xml:space="preserve">woodburner standards (section </w:t>
      </w:r>
      <w:r w:rsidR="00B80B24" w:rsidRPr="00B80B24">
        <w:t xml:space="preserve">5.2) and the new </w:t>
      </w:r>
      <w:r w:rsidR="00162DBB" w:rsidRPr="00B80B24">
        <w:t xml:space="preserve">solid-fuel burning open fire bans (section </w:t>
      </w:r>
      <w:r w:rsidR="00B80B24" w:rsidRPr="00B80B24">
        <w:t>5.3</w:t>
      </w:r>
      <w:r w:rsidR="00162DBB" w:rsidRPr="00B80B24">
        <w:t xml:space="preserve">) </w:t>
      </w:r>
      <w:r w:rsidRPr="00B80B24">
        <w:t>including what they do, and do not</w:t>
      </w:r>
      <w:r w:rsidRPr="00162DBB">
        <w:t>, apply to.</w:t>
      </w:r>
    </w:p>
    <w:p w14:paraId="04ADFBFF" w14:textId="77777777" w:rsidR="00425F28" w:rsidRDefault="00425F28" w:rsidP="0090025D"/>
    <w:p w14:paraId="21A913F2" w14:textId="77777777" w:rsidR="00D172AD" w:rsidRDefault="00D172AD" w:rsidP="0090025D">
      <w:r>
        <w:t xml:space="preserve">Figure </w:t>
      </w:r>
      <w:r w:rsidR="00377747" w:rsidRPr="008D3E65">
        <w:t>3</w:t>
      </w:r>
      <w:r>
        <w:t xml:space="preserve"> below provides a summary flow diagram showing how the Regulations apply for both new solid-fuel burni</w:t>
      </w:r>
      <w:r w:rsidR="001C22B8">
        <w:t xml:space="preserve">ng open fires and woodburners. </w:t>
      </w:r>
      <w:r>
        <w:t xml:space="preserve">The flow diagram only relates to the </w:t>
      </w:r>
      <w:r w:rsidR="00C500EF">
        <w:t xml:space="preserve">Regulations </w:t>
      </w:r>
      <w:r w:rsidR="00425F28">
        <w:t>and</w:t>
      </w:r>
      <w:r>
        <w:t xml:space="preserve"> does not consider the </w:t>
      </w:r>
      <w:r w:rsidR="00425F28">
        <w:t>additional requirements of</w:t>
      </w:r>
      <w:r>
        <w:t xml:space="preserve"> any regional rules or bylaws. </w:t>
      </w:r>
    </w:p>
    <w:p w14:paraId="6E6EE821" w14:textId="77777777" w:rsidR="00BC34FD" w:rsidRPr="00BC34FD" w:rsidRDefault="00BC34FD" w:rsidP="0090025D">
      <w:pPr>
        <w:pStyle w:val="Figureheading"/>
      </w:pPr>
      <w:bookmarkStart w:id="148" w:name="_Toc376785756"/>
      <w:r w:rsidRPr="00BC34FD">
        <w:t xml:space="preserve">Figure </w:t>
      </w:r>
      <w:r w:rsidR="007019E8" w:rsidRPr="008D3E65">
        <w:t>2</w:t>
      </w:r>
      <w:r w:rsidRPr="00BC34FD">
        <w:t>:</w:t>
      </w:r>
      <w:r w:rsidRPr="00BC34FD">
        <w:tab/>
      </w:r>
      <w:r w:rsidR="00162DBB">
        <w:t>Flow diagram for Regulations regarding domestic fires</w:t>
      </w:r>
      <w:bookmarkEnd w:id="148"/>
    </w:p>
    <w:p w14:paraId="2FCC2330" w14:textId="40DC05FC" w:rsidR="008D7158" w:rsidRDefault="0043717E" w:rsidP="0090025D">
      <w:r w:rsidRPr="008D79FF">
        <w:rPr>
          <w:noProof/>
          <w:lang w:val="en-US"/>
        </w:rPr>
        <w:drawing>
          <wp:inline distT="0" distB="0" distL="0" distR="0" wp14:anchorId="1E2527DB" wp14:editId="34B5E341">
            <wp:extent cx="5362575" cy="456247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62575" cy="4562475"/>
                    </a:xfrm>
                    <a:prstGeom prst="rect">
                      <a:avLst/>
                    </a:prstGeom>
                    <a:noFill/>
                    <a:ln>
                      <a:noFill/>
                    </a:ln>
                  </pic:spPr>
                </pic:pic>
              </a:graphicData>
            </a:graphic>
          </wp:inline>
        </w:drawing>
      </w:r>
    </w:p>
    <w:p w14:paraId="456EC32D" w14:textId="77777777" w:rsidR="006E6057" w:rsidRDefault="006E6057" w:rsidP="0090025D">
      <w:pPr>
        <w:pStyle w:val="Heading2"/>
      </w:pPr>
      <w:bookmarkStart w:id="149" w:name="_Toc300856625"/>
      <w:r>
        <w:t>5.2</w:t>
      </w:r>
      <w:r>
        <w:tab/>
        <w:t>Woodburners</w:t>
      </w:r>
      <w:bookmarkEnd w:id="149"/>
    </w:p>
    <w:p w14:paraId="45426DEA" w14:textId="77777777" w:rsidR="006E6057" w:rsidRDefault="006E6057" w:rsidP="0090025D">
      <w:pPr>
        <w:pStyle w:val="Heading3"/>
      </w:pPr>
      <w:r>
        <w:t>5.2.1</w:t>
      </w:r>
      <w:r>
        <w:tab/>
        <w:t>What are the woodburner standards?</w:t>
      </w:r>
    </w:p>
    <w:p w14:paraId="207F784F" w14:textId="77777777" w:rsidR="006E6057" w:rsidRPr="00234369" w:rsidRDefault="006E6057" w:rsidP="0090025D">
      <w:r>
        <w:t>Regulation</w:t>
      </w:r>
      <w:r w:rsidRPr="00234369">
        <w:t>s 23 and 24 require the following:</w:t>
      </w:r>
    </w:p>
    <w:p w14:paraId="5537416B" w14:textId="77777777" w:rsidR="00162DB3" w:rsidRDefault="00162DB3" w:rsidP="00162DB3">
      <w:pPr>
        <w:pStyle w:val="Blockquote"/>
        <w:spacing w:before="0"/>
        <w:ind w:left="1134" w:hanging="567"/>
        <w:rPr>
          <w:b/>
        </w:rPr>
      </w:pPr>
    </w:p>
    <w:p w14:paraId="43D59417" w14:textId="77777777" w:rsidR="00162DB3" w:rsidRPr="00DC42BD" w:rsidRDefault="00162DB3" w:rsidP="00162DB3">
      <w:pPr>
        <w:pStyle w:val="Blockquote"/>
        <w:spacing w:before="0"/>
        <w:ind w:left="1134" w:hanging="567"/>
        <w:rPr>
          <w:b/>
        </w:rPr>
      </w:pPr>
      <w:r w:rsidRPr="00DC42BD">
        <w:rPr>
          <w:b/>
        </w:rPr>
        <w:t>23</w:t>
      </w:r>
      <w:r>
        <w:rPr>
          <w:b/>
        </w:rPr>
        <w:tab/>
      </w:r>
      <w:r>
        <w:rPr>
          <w:b/>
        </w:rPr>
        <w:tab/>
      </w:r>
      <w:r w:rsidRPr="00DC42BD">
        <w:rPr>
          <w:b/>
        </w:rPr>
        <w:t>Design standard</w:t>
      </w:r>
    </w:p>
    <w:p w14:paraId="739F179C" w14:textId="77777777" w:rsidR="00162DB3" w:rsidRPr="00234369" w:rsidRDefault="00162DB3" w:rsidP="00162DB3">
      <w:pPr>
        <w:pStyle w:val="Blockquote"/>
        <w:spacing w:before="0"/>
        <w:ind w:left="1134" w:hanging="567"/>
      </w:pPr>
      <w:r w:rsidRPr="00485F30">
        <w:t>(</w:t>
      </w:r>
      <w:r w:rsidRPr="00234369">
        <w:t>1)</w:t>
      </w:r>
      <w:r>
        <w:tab/>
      </w:r>
      <w:r w:rsidRPr="00234369">
        <w:t xml:space="preserve">The design standard for a </w:t>
      </w:r>
      <w:r>
        <w:t>woodburner</w:t>
      </w:r>
      <w:r w:rsidRPr="00234369">
        <w:t xml:space="preserve"> is a discharge of less than 1.5 gram of particles for each kilogram of dry wood burnt.</w:t>
      </w:r>
    </w:p>
    <w:p w14:paraId="3959B309" w14:textId="77777777" w:rsidR="00162DB3" w:rsidRDefault="00162DB3" w:rsidP="00162DB3">
      <w:pPr>
        <w:pStyle w:val="Blockquote"/>
        <w:spacing w:before="0"/>
        <w:ind w:left="1134" w:hanging="567"/>
      </w:pPr>
      <w:r w:rsidRPr="00234369">
        <w:t>(2)</w:t>
      </w:r>
      <w:r>
        <w:tab/>
      </w:r>
      <w:r w:rsidRPr="00234369">
        <w:t xml:space="preserve">The discharge must be measured in accordance with </w:t>
      </w:r>
      <w:r>
        <w:t>–</w:t>
      </w:r>
    </w:p>
    <w:p w14:paraId="41362162" w14:textId="77777777" w:rsidR="00162DB3" w:rsidRDefault="00162DB3" w:rsidP="00162DB3">
      <w:pPr>
        <w:pStyle w:val="Blockquote"/>
        <w:spacing w:before="0"/>
        <w:ind w:left="1701" w:hanging="567"/>
      </w:pPr>
      <w:r>
        <w:t>(a)</w:t>
      </w:r>
      <w:r>
        <w:tab/>
        <w:t>the method specified in Australian/New Zealand Standard AS/NZS 4013:1999, Domestic solid fuel burning appliances – Method for determination of flue gas emissions; or</w:t>
      </w:r>
    </w:p>
    <w:p w14:paraId="54AB8085" w14:textId="77777777" w:rsidR="00162DB3" w:rsidRPr="00234369" w:rsidRDefault="00162DB3" w:rsidP="00162DB3">
      <w:pPr>
        <w:pStyle w:val="Blockquote"/>
        <w:spacing w:before="0"/>
        <w:ind w:left="1701" w:hanging="567"/>
      </w:pPr>
      <w:r>
        <w:t>(b)</w:t>
      </w:r>
      <w:r>
        <w:tab/>
        <w:t>for a woodburner excluded from that method, another method that is functionally equivalent.</w:t>
      </w:r>
    </w:p>
    <w:p w14:paraId="526E58F0" w14:textId="77777777" w:rsidR="00162DB3" w:rsidRDefault="00162DB3" w:rsidP="00162DB3">
      <w:pPr>
        <w:pStyle w:val="Blockquote"/>
        <w:spacing w:before="0"/>
        <w:ind w:left="1134" w:hanging="567"/>
        <w:rPr>
          <w:b/>
        </w:rPr>
      </w:pPr>
    </w:p>
    <w:p w14:paraId="6E56DB3B" w14:textId="77777777" w:rsidR="00162DB3" w:rsidRPr="00DC42BD" w:rsidRDefault="00162DB3" w:rsidP="00162DB3">
      <w:pPr>
        <w:pStyle w:val="Blockquote"/>
        <w:spacing w:before="0"/>
        <w:ind w:left="1134" w:hanging="567"/>
        <w:rPr>
          <w:b/>
        </w:rPr>
      </w:pPr>
      <w:r w:rsidRPr="00DC42BD">
        <w:rPr>
          <w:b/>
        </w:rPr>
        <w:t>24</w:t>
      </w:r>
      <w:r>
        <w:rPr>
          <w:b/>
        </w:rPr>
        <w:tab/>
      </w:r>
      <w:r w:rsidRPr="00DC42BD">
        <w:rPr>
          <w:b/>
        </w:rPr>
        <w:t>Thermal efficiency standard</w:t>
      </w:r>
    </w:p>
    <w:p w14:paraId="152563CB" w14:textId="77777777" w:rsidR="00162DB3" w:rsidRDefault="00162DB3" w:rsidP="00162DB3">
      <w:pPr>
        <w:pStyle w:val="Blockquote"/>
        <w:spacing w:before="0"/>
        <w:ind w:left="1134" w:hanging="567"/>
      </w:pPr>
      <w:r w:rsidRPr="00234369">
        <w:t>(1)</w:t>
      </w:r>
      <w:r>
        <w:tab/>
      </w:r>
      <w:r w:rsidRPr="00234369">
        <w:t xml:space="preserve">The thermal efficiency standard for a </w:t>
      </w:r>
      <w:r>
        <w:t>woodburner –</w:t>
      </w:r>
    </w:p>
    <w:p w14:paraId="567211E0" w14:textId="77777777" w:rsidR="00162DB3" w:rsidRPr="00234369" w:rsidRDefault="00162DB3" w:rsidP="00162DB3">
      <w:pPr>
        <w:pStyle w:val="Blockquote"/>
        <w:spacing w:before="0"/>
        <w:ind w:left="1701" w:hanging="567"/>
      </w:pPr>
      <w:r w:rsidRPr="00234369">
        <w:t>(a)</w:t>
      </w:r>
      <w:r w:rsidRPr="00234369">
        <w:tab/>
        <w:t>is the ratio of useable heat energy output to energy input (thermal efficiency); and</w:t>
      </w:r>
    </w:p>
    <w:p w14:paraId="7124A1E1" w14:textId="77777777" w:rsidR="00162DB3" w:rsidRPr="00234369" w:rsidRDefault="00162DB3" w:rsidP="00162DB3">
      <w:pPr>
        <w:pStyle w:val="Blockquote"/>
        <w:spacing w:before="0"/>
        <w:ind w:left="1701" w:hanging="567"/>
      </w:pPr>
      <w:r w:rsidRPr="00234369">
        <w:t>(b)</w:t>
      </w:r>
      <w:r w:rsidRPr="00234369">
        <w:tab/>
        <w:t>must be not less than 65%.</w:t>
      </w:r>
    </w:p>
    <w:p w14:paraId="256316F9" w14:textId="77777777" w:rsidR="00162DB3" w:rsidRDefault="00162DB3" w:rsidP="00162DB3">
      <w:pPr>
        <w:pStyle w:val="Blockquote"/>
        <w:spacing w:before="0"/>
        <w:ind w:left="1134" w:hanging="567"/>
      </w:pPr>
      <w:r w:rsidRPr="00234369">
        <w:t>(2)</w:t>
      </w:r>
      <w:r>
        <w:tab/>
      </w:r>
      <w:r w:rsidRPr="00234369">
        <w:t xml:space="preserve">The thermal efficiency must be calculated in accordance with </w:t>
      </w:r>
      <w:r>
        <w:t>–</w:t>
      </w:r>
    </w:p>
    <w:p w14:paraId="65750707" w14:textId="77777777" w:rsidR="00162DB3" w:rsidRDefault="00162DB3" w:rsidP="00162DB3">
      <w:pPr>
        <w:pStyle w:val="Blockquote"/>
        <w:spacing w:before="0"/>
        <w:ind w:left="1701" w:hanging="567"/>
      </w:pPr>
      <w:r>
        <w:t>(a)</w:t>
      </w:r>
      <w:r>
        <w:tab/>
      </w:r>
      <w:r w:rsidRPr="00234369">
        <w:t>the method specified in Australian/New Zealand Standard AS/NZ 4012:1999, Domestic solid fuel burning appliances</w:t>
      </w:r>
      <w:r>
        <w:t xml:space="preserve"> – </w:t>
      </w:r>
      <w:r w:rsidRPr="00234369">
        <w:t>Method for determinatio</w:t>
      </w:r>
      <w:r>
        <w:t>n of power output and efficiency; or</w:t>
      </w:r>
    </w:p>
    <w:p w14:paraId="559B76B3" w14:textId="77777777" w:rsidR="00162DB3" w:rsidRPr="00234369" w:rsidRDefault="00162DB3" w:rsidP="00162DB3">
      <w:pPr>
        <w:pStyle w:val="Blockquote"/>
        <w:spacing w:before="0"/>
        <w:ind w:left="1701" w:hanging="567"/>
      </w:pPr>
      <w:r>
        <w:t>(b)</w:t>
      </w:r>
      <w:r>
        <w:tab/>
        <w:t>for a woodburner excluded from that method, another method that is functionally equivalent.</w:t>
      </w:r>
    </w:p>
    <w:p w14:paraId="4825A517" w14:textId="77777777" w:rsidR="006E6057" w:rsidRDefault="006E6057" w:rsidP="0090025D"/>
    <w:p w14:paraId="673B4B0E" w14:textId="77777777" w:rsidR="006E6057" w:rsidRPr="00234369" w:rsidRDefault="006E6057" w:rsidP="0090025D">
      <w:r w:rsidRPr="00234369">
        <w:t xml:space="preserve">The </w:t>
      </w:r>
      <w:r>
        <w:t xml:space="preserve">woodburner </w:t>
      </w:r>
      <w:r w:rsidRPr="00234369">
        <w:t>standard</w:t>
      </w:r>
      <w:r>
        <w:t>s</w:t>
      </w:r>
      <w:r w:rsidRPr="00234369">
        <w:t xml:space="preserve"> specif</w:t>
      </w:r>
      <w:r>
        <w:t>y</w:t>
      </w:r>
      <w:r w:rsidRPr="00234369">
        <w:t xml:space="preserve"> a maximum</w:t>
      </w:r>
      <w:r>
        <w:t xml:space="preserve"> particle emission limit of 1.5 </w:t>
      </w:r>
      <w:r w:rsidRPr="00234369">
        <w:t>g/kg of wood burnt as measured in accordan</w:t>
      </w:r>
      <w:r>
        <w:t xml:space="preserve">ce with AS/NZS </w:t>
      </w:r>
      <w:r w:rsidRPr="00234369">
        <w:t>4013</w:t>
      </w:r>
      <w:r>
        <w:t>:1999</w:t>
      </w:r>
      <w:r w:rsidRPr="00EA3FE4">
        <w:t xml:space="preserve"> </w:t>
      </w:r>
      <w:r w:rsidRPr="003E2E14">
        <w:rPr>
          <w:i/>
        </w:rPr>
        <w:t>Domestic solid fuel burning appliances – Method for determination of flue gas emissions</w:t>
      </w:r>
      <w:r>
        <w:t xml:space="preserve">.  </w:t>
      </w:r>
      <w:r w:rsidRPr="00234369">
        <w:t>This method specifies a test procedure for determining the rate of particulate</w:t>
      </w:r>
      <w:r>
        <w:t xml:space="preserve"> emission from batch feed solid-</w:t>
      </w:r>
      <w:r w:rsidRPr="00234369">
        <w:t>fuel burning appliances.</w:t>
      </w:r>
    </w:p>
    <w:p w14:paraId="68BB40E9" w14:textId="77777777" w:rsidR="006E6057" w:rsidRDefault="006E6057" w:rsidP="0090025D"/>
    <w:p w14:paraId="72B608E7" w14:textId="77777777" w:rsidR="006E6057" w:rsidRDefault="006E6057" w:rsidP="0090025D">
      <w:r w:rsidRPr="00234369">
        <w:t xml:space="preserve">The </w:t>
      </w:r>
      <w:r>
        <w:t xml:space="preserve">woodburner </w:t>
      </w:r>
      <w:r w:rsidRPr="00234369">
        <w:t>standard</w:t>
      </w:r>
      <w:r>
        <w:t>s</w:t>
      </w:r>
      <w:r w:rsidRPr="00234369">
        <w:t xml:space="preserve"> further specif</w:t>
      </w:r>
      <w:r>
        <w:t>y</w:t>
      </w:r>
      <w:r w:rsidRPr="00234369">
        <w:t xml:space="preserve"> a m</w:t>
      </w:r>
      <w:r>
        <w:t>inimum thermal efficiency of 65</w:t>
      </w:r>
      <w:r w:rsidR="00B24BCC">
        <w:t>%</w:t>
      </w:r>
      <w:r>
        <w:t xml:space="preserve"> </w:t>
      </w:r>
      <w:r w:rsidRPr="00234369">
        <w:t xml:space="preserve">as measured in accordance with </w:t>
      </w:r>
      <w:r>
        <w:t>AS/NZS</w:t>
      </w:r>
      <w:r w:rsidRPr="00234369">
        <w:t xml:space="preserve"> 4012</w:t>
      </w:r>
      <w:r>
        <w:t>:1999</w:t>
      </w:r>
      <w:r w:rsidRPr="00EA3FE4">
        <w:t xml:space="preserve"> </w:t>
      </w:r>
      <w:r w:rsidRPr="003E2E14">
        <w:rPr>
          <w:i/>
        </w:rPr>
        <w:t>Domestic solid fuel burning appliances – Method for determination of power output and efficiency</w:t>
      </w:r>
      <w:r w:rsidR="001C22B8">
        <w:t xml:space="preserve">. </w:t>
      </w:r>
      <w:r w:rsidRPr="00234369">
        <w:t>This method specifies a test procedure for the determination of the average efficiency and average thermal power output</w:t>
      </w:r>
      <w:r>
        <w:t xml:space="preserve"> from batch feed domestic solid-</w:t>
      </w:r>
      <w:r w:rsidRPr="00234369">
        <w:t>fuel burning appliances.</w:t>
      </w:r>
    </w:p>
    <w:p w14:paraId="4C807317" w14:textId="77777777" w:rsidR="006E6057" w:rsidRDefault="006E6057" w:rsidP="0090025D">
      <w:pPr>
        <w:pStyle w:val="Heading5"/>
      </w:pPr>
      <w:r>
        <w:t>Amendments</w:t>
      </w:r>
    </w:p>
    <w:p w14:paraId="76CC05DB" w14:textId="77777777" w:rsidR="006E6057" w:rsidRDefault="006E6057" w:rsidP="0090025D">
      <w:r w:rsidRPr="0085047C">
        <w:t xml:space="preserve">Regulations 23 and 24 </w:t>
      </w:r>
      <w:r>
        <w:t xml:space="preserve">were </w:t>
      </w:r>
      <w:r w:rsidRPr="0085047C">
        <w:t xml:space="preserve">amended in 2011 to enable the use of functionally equivalent </w:t>
      </w:r>
      <w:r>
        <w:t>test methods to A</w:t>
      </w:r>
      <w:r w:rsidR="001C22B8">
        <w:t xml:space="preserve">S/NZS 4012 and 4013. </w:t>
      </w:r>
      <w:r>
        <w:t xml:space="preserve">The intent behind this amendment was to provide a way to </w:t>
      </w:r>
      <w:r w:rsidRPr="0085047C">
        <w:t xml:space="preserve">determine compliance </w:t>
      </w:r>
      <w:r>
        <w:t xml:space="preserve">for </w:t>
      </w:r>
      <w:r w:rsidRPr="0085047C">
        <w:t>woodburners that would otherwise be excluded from the test methods</w:t>
      </w:r>
      <w:r>
        <w:t xml:space="preserve"> (eg, wood-fired central heating appliances).</w:t>
      </w:r>
    </w:p>
    <w:p w14:paraId="0C098DDC" w14:textId="77777777" w:rsidR="006E6057" w:rsidRDefault="006E6057" w:rsidP="0090025D">
      <w:pPr>
        <w:pStyle w:val="Heading3"/>
      </w:pPr>
      <w:r>
        <w:t>5.2.2</w:t>
      </w:r>
      <w:r>
        <w:tab/>
        <w:t>What do the woodburner standards apply to?</w:t>
      </w:r>
    </w:p>
    <w:p w14:paraId="6593E897" w14:textId="77777777" w:rsidR="006E6057" w:rsidRDefault="006E6057" w:rsidP="0090025D">
      <w:pPr>
        <w:pStyle w:val="BodyText"/>
      </w:pPr>
      <w:r>
        <w:t xml:space="preserve">Regulation 23 and 24 </w:t>
      </w:r>
      <w:r w:rsidRPr="000562CA">
        <w:rPr>
          <w:b/>
        </w:rPr>
        <w:t>apply</w:t>
      </w:r>
      <w:r>
        <w:t xml:space="preserve"> to domestic woodburners installed after 1 September 2005 on prope</w:t>
      </w:r>
      <w:r w:rsidR="001C22B8">
        <w:t xml:space="preserve">rties smaller than 2 hectares. </w:t>
      </w:r>
      <w:r>
        <w:t xml:space="preserve">They </w:t>
      </w:r>
      <w:r w:rsidRPr="000562CA">
        <w:rPr>
          <w:b/>
        </w:rPr>
        <w:t>do not apply</w:t>
      </w:r>
      <w:r>
        <w:t xml:space="preserve"> to woodburners installed prior to this date.</w:t>
      </w:r>
    </w:p>
    <w:p w14:paraId="764EE77B" w14:textId="77777777" w:rsidR="006E6057" w:rsidRDefault="006E6057" w:rsidP="0090025D">
      <w:pPr>
        <w:pStyle w:val="BodyText"/>
      </w:pPr>
    </w:p>
    <w:p w14:paraId="4C1358D6" w14:textId="77777777" w:rsidR="006E6057" w:rsidRDefault="006E6057" w:rsidP="0090025D">
      <w:pPr>
        <w:pStyle w:val="BodyText"/>
      </w:pPr>
      <w:r>
        <w:t>The Regulations are aimed at reducing discharges of PM</w:t>
      </w:r>
      <w:r w:rsidRPr="000562CA">
        <w:rPr>
          <w:vertAlign w:val="subscript"/>
        </w:rPr>
        <w:t>10</w:t>
      </w:r>
      <w:r>
        <w:t xml:space="preserve"> from </w:t>
      </w:r>
      <w:r w:rsidR="00A503F6">
        <w:t xml:space="preserve">inefficient and dirty woodburners which represent </w:t>
      </w:r>
      <w:r w:rsidR="001C22B8">
        <w:t xml:space="preserve">a major potential source. </w:t>
      </w:r>
      <w:r>
        <w:t xml:space="preserve">The Regulations apply to the installation of woodburners. They do not apply to </w:t>
      </w:r>
      <w:r w:rsidRPr="00690721">
        <w:t>multi-fuel burners</w:t>
      </w:r>
      <w:r>
        <w:t xml:space="preserve"> (burners that use coal and wood)</w:t>
      </w:r>
      <w:r w:rsidRPr="00690721">
        <w:t>, coal burners</w:t>
      </w:r>
      <w:r>
        <w:t>,</w:t>
      </w:r>
      <w:r w:rsidRPr="00690721">
        <w:t xml:space="preserve"> pellet fires, and wood/coal stoves designed for the primary purpose of cooking</w:t>
      </w:r>
      <w:r>
        <w:t>.</w:t>
      </w:r>
    </w:p>
    <w:p w14:paraId="1D43ED06" w14:textId="77777777" w:rsidR="006E6057" w:rsidRDefault="006E6057" w:rsidP="0090025D">
      <w:pPr>
        <w:pStyle w:val="BodyText"/>
      </w:pPr>
    </w:p>
    <w:p w14:paraId="51E8CC81" w14:textId="77777777" w:rsidR="006E6057" w:rsidRDefault="006E6057" w:rsidP="0090025D">
      <w:pPr>
        <w:pStyle w:val="BodyText"/>
      </w:pPr>
      <w:r>
        <w:t>Many regional plans already have controls on the use of woodburners an</w:t>
      </w:r>
      <w:r w:rsidR="001C22B8">
        <w:t xml:space="preserve">d these should be referred to. </w:t>
      </w:r>
      <w:r>
        <w:t xml:space="preserve">Several regional plans (including Auckland’s, Canterbury’s and Nelson’s) prevent the burning of any solid fuel other than clean wood or </w:t>
      </w:r>
      <w:r w:rsidR="001C22B8">
        <w:t xml:space="preserve">paper products in woodburners. </w:t>
      </w:r>
      <w:r>
        <w:t xml:space="preserve">The burning of refuse, plastics, and other household waste can cause significant discharges of hazardous air </w:t>
      </w:r>
      <w:r w:rsidR="001C22B8">
        <w:t xml:space="preserve">pollutants, including dioxins. </w:t>
      </w:r>
      <w:r>
        <w:t>Regional plans may also have requirements on the quality of the wood that can be used including suitable wood moisture contents and the use of treated timber and mar</w:t>
      </w:r>
      <w:r w:rsidR="001C22B8">
        <w:t>ine (salt infused) driftwood.</w:t>
      </w:r>
    </w:p>
    <w:p w14:paraId="6AFA5C15" w14:textId="77777777" w:rsidR="006E6057" w:rsidRDefault="006E6057" w:rsidP="0090025D">
      <w:pPr>
        <w:pStyle w:val="BodyText"/>
      </w:pPr>
    </w:p>
    <w:p w14:paraId="21AB8F10" w14:textId="77777777" w:rsidR="006E6057" w:rsidRPr="000562CA" w:rsidRDefault="00A503F6" w:rsidP="0090025D">
      <w:pPr>
        <w:pStyle w:val="BodyText"/>
      </w:pPr>
      <w:r>
        <w:t>B</w:t>
      </w:r>
      <w:r w:rsidR="006E6057">
        <w:t>urning</w:t>
      </w:r>
      <w:r>
        <w:t xml:space="preserve"> </w:t>
      </w:r>
      <w:r w:rsidR="006E6057">
        <w:t xml:space="preserve">any materials other than wood or paper in a woodburner can damage the </w:t>
      </w:r>
      <w:r>
        <w:t>appliance</w:t>
      </w:r>
      <w:r w:rsidR="001C22B8">
        <w:t xml:space="preserve">. </w:t>
      </w:r>
      <w:r w:rsidR="006E6057">
        <w:t>This is not recommended by woodburner manufacturers and may void the warranty.</w:t>
      </w:r>
      <w:r>
        <w:t xml:space="preserve"> Manufacturers specify the use of dry wood in the accompanying user manual and retailer best practice includes teaching the customers how to use the fire most efficiently. The woodburner authorisation manual </w:t>
      </w:r>
      <w:r w:rsidR="00B17151" w:rsidRPr="008D3E65">
        <w:t>(MfE, 2011</w:t>
      </w:r>
      <w:r w:rsidR="008D3E65" w:rsidRPr="008D3E65">
        <w:t>b</w:t>
      </w:r>
      <w:r w:rsidR="00B17151">
        <w:t xml:space="preserve">) </w:t>
      </w:r>
      <w:r>
        <w:t xml:space="preserve">contains a great deal of information </w:t>
      </w:r>
      <w:r w:rsidR="00B17151">
        <w:t xml:space="preserve">about woodburners, the </w:t>
      </w:r>
      <w:r w:rsidR="00B17151" w:rsidRPr="008D3E65">
        <w:t>authoris</w:t>
      </w:r>
      <w:r w:rsidR="001C22B8">
        <w:t xml:space="preserve">ation process and local rules. </w:t>
      </w:r>
      <w:r w:rsidR="00B17151" w:rsidRPr="008D3E65">
        <w:t xml:space="preserve">This manual is available on the Ministry website </w:t>
      </w:r>
      <w:hyperlink r:id="rId42" w:history="1">
        <w:r w:rsidR="00B17151" w:rsidRPr="008D3E65">
          <w:rPr>
            <w:rStyle w:val="Hyperlink"/>
            <w:color w:val="auto"/>
          </w:rPr>
          <w:t>www.mfe.govt.nz</w:t>
        </w:r>
      </w:hyperlink>
      <w:r w:rsidR="008D3E65">
        <w:rPr>
          <w:rStyle w:val="Hyperlink"/>
          <w:color w:val="auto"/>
        </w:rPr>
        <w:t>.</w:t>
      </w:r>
      <w:r w:rsidR="00B17151">
        <w:t xml:space="preserve"> </w:t>
      </w:r>
    </w:p>
    <w:p w14:paraId="4D9C0EFC" w14:textId="77777777" w:rsidR="00E54515" w:rsidRDefault="00E54515">
      <w:pPr>
        <w:jc w:val="left"/>
        <w:rPr>
          <w:rFonts w:ascii="Arial" w:hAnsi="Arial"/>
          <w:b/>
          <w:sz w:val="28"/>
        </w:rPr>
      </w:pPr>
      <w:bookmarkStart w:id="150" w:name="_Toc87954630"/>
      <w:bookmarkStart w:id="151" w:name="_Toc222291804"/>
      <w:bookmarkStart w:id="152" w:name="_Toc222292150"/>
      <w:bookmarkStart w:id="153" w:name="_Toc222292238"/>
      <w:bookmarkStart w:id="154" w:name="_Toc242861961"/>
      <w:bookmarkStart w:id="155" w:name="_Toc77997010"/>
      <w:r>
        <w:br w:type="page"/>
      </w:r>
    </w:p>
    <w:p w14:paraId="76F7BFE5" w14:textId="77777777" w:rsidR="006E6057" w:rsidRPr="000C434D" w:rsidRDefault="006E6057" w:rsidP="0090025D">
      <w:pPr>
        <w:pStyle w:val="Heading3"/>
      </w:pPr>
      <w:r w:rsidRPr="005C6E33">
        <w:t>5.</w:t>
      </w:r>
      <w:r>
        <w:t>2</w:t>
      </w:r>
      <w:r w:rsidRPr="005C6E33">
        <w:t>.3</w:t>
      </w:r>
      <w:r>
        <w:tab/>
        <w:t>What is a woodburner?</w:t>
      </w:r>
      <w:bookmarkEnd w:id="150"/>
      <w:bookmarkEnd w:id="151"/>
      <w:bookmarkEnd w:id="152"/>
      <w:bookmarkEnd w:id="153"/>
      <w:bookmarkEnd w:id="154"/>
    </w:p>
    <w:p w14:paraId="1989B90B" w14:textId="77777777" w:rsidR="006E6057" w:rsidRDefault="006E6057" w:rsidP="0090025D">
      <w:r w:rsidRPr="00234369">
        <w:t>Under the Regulation</w:t>
      </w:r>
      <w:r>
        <w:t>s</w:t>
      </w:r>
      <w:r w:rsidRPr="00234369">
        <w:t xml:space="preserve"> a </w:t>
      </w:r>
      <w:r>
        <w:t>woodburner</w:t>
      </w:r>
      <w:r w:rsidRPr="00234369">
        <w:t xml:space="preserve"> is defined as:</w:t>
      </w:r>
    </w:p>
    <w:p w14:paraId="538C906B" w14:textId="77777777" w:rsidR="001650CD" w:rsidRDefault="001650CD" w:rsidP="001650CD">
      <w:pPr>
        <w:pStyle w:val="Blockquote"/>
        <w:spacing w:before="0"/>
        <w:ind w:leftChars="258" w:left="1132" w:hangingChars="282" w:hanging="564"/>
      </w:pPr>
      <w:r w:rsidRPr="005F41BA">
        <w:rPr>
          <w:b/>
        </w:rPr>
        <w:t>Woodburner</w:t>
      </w:r>
      <w:r>
        <w:t xml:space="preserve"> –</w:t>
      </w:r>
    </w:p>
    <w:p w14:paraId="528D4644" w14:textId="77777777" w:rsidR="001650CD" w:rsidRPr="00234369" w:rsidRDefault="001650CD" w:rsidP="001650CD">
      <w:pPr>
        <w:pStyle w:val="Blockquote"/>
        <w:spacing w:before="0"/>
        <w:ind w:leftChars="258" w:left="1132" w:hangingChars="282" w:hanging="564"/>
      </w:pPr>
      <w:r>
        <w:t>(a)</w:t>
      </w:r>
      <w:r>
        <w:tab/>
        <w:t xml:space="preserve">means a </w:t>
      </w:r>
      <w:r w:rsidRPr="00234369">
        <w:t>domestic heating appliance that burns wood; but</w:t>
      </w:r>
    </w:p>
    <w:p w14:paraId="10CD800A" w14:textId="77777777" w:rsidR="001650CD" w:rsidRDefault="001650CD" w:rsidP="001650CD">
      <w:pPr>
        <w:pStyle w:val="Blockquote"/>
        <w:spacing w:before="0"/>
        <w:ind w:leftChars="258" w:left="1132" w:hangingChars="282" w:hanging="564"/>
      </w:pPr>
      <w:r>
        <w:t>(b)</w:t>
      </w:r>
      <w:r>
        <w:tab/>
      </w:r>
      <w:r w:rsidRPr="00234369">
        <w:t>does not include</w:t>
      </w:r>
      <w:r>
        <w:t> –</w:t>
      </w:r>
    </w:p>
    <w:p w14:paraId="36B5B13C" w14:textId="77777777" w:rsidR="001650CD" w:rsidRPr="00234369" w:rsidRDefault="001650CD" w:rsidP="001650CD">
      <w:pPr>
        <w:pStyle w:val="Blockquote"/>
        <w:spacing w:before="0"/>
        <w:ind w:leftChars="516" w:left="1699" w:hangingChars="282" w:hanging="564"/>
      </w:pPr>
      <w:r>
        <w:t>i.</w:t>
      </w:r>
      <w:r>
        <w:tab/>
      </w:r>
      <w:r w:rsidRPr="00234369">
        <w:t>an open fire; or</w:t>
      </w:r>
    </w:p>
    <w:p w14:paraId="735D2E13" w14:textId="77777777" w:rsidR="001650CD" w:rsidRPr="00234369" w:rsidRDefault="001650CD" w:rsidP="001650CD">
      <w:pPr>
        <w:pStyle w:val="Blockquote"/>
        <w:spacing w:before="0"/>
        <w:ind w:leftChars="516" w:left="1699" w:hangingChars="282" w:hanging="564"/>
      </w:pPr>
      <w:r>
        <w:t>ii.</w:t>
      </w:r>
      <w:r>
        <w:tab/>
      </w:r>
      <w:r w:rsidRPr="00234369">
        <w:t>a multifuel heater, a pellet heater, or a coal burning heater; or</w:t>
      </w:r>
    </w:p>
    <w:p w14:paraId="58BD8297" w14:textId="77777777" w:rsidR="001650CD" w:rsidRDefault="001650CD" w:rsidP="001650CD">
      <w:pPr>
        <w:pStyle w:val="Blockquote"/>
        <w:spacing w:before="0"/>
        <w:ind w:leftChars="516" w:left="1699" w:hangingChars="282" w:hanging="564"/>
      </w:pPr>
      <w:r>
        <w:t>iii.</w:t>
      </w:r>
      <w:r>
        <w:tab/>
      </w:r>
      <w:r w:rsidRPr="00234369">
        <w:t>a stove that is</w:t>
      </w:r>
      <w:r>
        <w:t> –</w:t>
      </w:r>
    </w:p>
    <w:p w14:paraId="7947C613" w14:textId="77777777" w:rsidR="001650CD" w:rsidRPr="00234369" w:rsidRDefault="001650CD" w:rsidP="001650CD">
      <w:pPr>
        <w:pStyle w:val="Blockquote"/>
        <w:spacing w:before="0"/>
        <w:ind w:leftChars="772" w:left="2266" w:hangingChars="284" w:hanging="568"/>
      </w:pPr>
      <w:r>
        <w:t>(A)</w:t>
      </w:r>
      <w:r>
        <w:tab/>
      </w:r>
      <w:r w:rsidRPr="00234369">
        <w:t>designed and used for cooking; and</w:t>
      </w:r>
    </w:p>
    <w:p w14:paraId="5186C455" w14:textId="77777777" w:rsidR="001650CD" w:rsidRDefault="001650CD" w:rsidP="001650CD">
      <w:pPr>
        <w:pStyle w:val="Blockquote"/>
        <w:spacing w:before="0"/>
        <w:ind w:leftChars="772" w:left="2266" w:hangingChars="284" w:hanging="568"/>
      </w:pPr>
      <w:r>
        <w:t>(B)</w:t>
      </w:r>
      <w:r>
        <w:tab/>
      </w:r>
      <w:r w:rsidRPr="00234369">
        <w:t>heated by burning wood.</w:t>
      </w:r>
    </w:p>
    <w:p w14:paraId="3A26CD6B" w14:textId="77777777" w:rsidR="006E6057" w:rsidRDefault="006E6057" w:rsidP="0090025D"/>
    <w:p w14:paraId="7DA341DB" w14:textId="77777777" w:rsidR="006E6057" w:rsidRDefault="006E6057" w:rsidP="0090025D">
      <w:r>
        <w:t xml:space="preserve">Typical domestic woodburners have fully enclosed metal fireboxes with a door primary and secondary air controls to allow for the efficient burning of wood within the combustion chamber. </w:t>
      </w:r>
    </w:p>
    <w:p w14:paraId="7B227367" w14:textId="77777777" w:rsidR="006E6057" w:rsidRDefault="006E6057" w:rsidP="0090025D"/>
    <w:p w14:paraId="73B23891" w14:textId="77777777" w:rsidR="006E6057" w:rsidRDefault="006E6057" w:rsidP="0090025D">
      <w:r>
        <w:t>A woodburner is designed to burn wood (and</w:t>
      </w:r>
      <w:r w:rsidR="001C22B8">
        <w:t xml:space="preserve"> paper): it does not burn coal.</w:t>
      </w:r>
      <w:r>
        <w:t xml:space="preserve"> A multi-fuel burner is designed to burn both wood and/or coal and has over fuel and under fuel combustion air supply with separate controls, a grate in the base of the firebo</w:t>
      </w:r>
      <w:r w:rsidR="001C22B8">
        <w:t>x and an ash pan.</w:t>
      </w:r>
    </w:p>
    <w:p w14:paraId="17310026" w14:textId="77777777" w:rsidR="006E6057" w:rsidRDefault="006E6057" w:rsidP="0090025D"/>
    <w:p w14:paraId="4DDF73D1" w14:textId="77777777" w:rsidR="006E6057" w:rsidRDefault="006E6057" w:rsidP="0090025D">
      <w:r>
        <w:t xml:space="preserve">The woodburner </w:t>
      </w:r>
      <w:r w:rsidR="00C500EF">
        <w:t>Regulation</w:t>
      </w:r>
      <w:r>
        <w:t>s specifically exclude:</w:t>
      </w:r>
    </w:p>
    <w:p w14:paraId="106AF3BE" w14:textId="77777777" w:rsidR="006E6057" w:rsidRDefault="006E6057" w:rsidP="004152F8">
      <w:pPr>
        <w:pStyle w:val="Bullet"/>
        <w:numPr>
          <w:ilvl w:val="0"/>
          <w:numId w:val="14"/>
        </w:numPr>
        <w:ind w:left="357" w:hanging="357"/>
      </w:pPr>
      <w:r>
        <w:t xml:space="preserve">open fires (discussed in section </w:t>
      </w:r>
      <w:r w:rsidRPr="00FA38E0">
        <w:t>5.2</w:t>
      </w:r>
      <w:r>
        <w:t>)</w:t>
      </w:r>
    </w:p>
    <w:p w14:paraId="72157931" w14:textId="77777777" w:rsidR="006E6057" w:rsidRDefault="006E6057" w:rsidP="004152F8">
      <w:pPr>
        <w:pStyle w:val="Bullet"/>
        <w:numPr>
          <w:ilvl w:val="0"/>
          <w:numId w:val="14"/>
        </w:numPr>
        <w:ind w:left="357" w:hanging="357"/>
      </w:pPr>
      <w:r>
        <w:t>multi-fuel burners (or heaters)</w:t>
      </w:r>
    </w:p>
    <w:p w14:paraId="3CD73D58" w14:textId="77777777" w:rsidR="006E6057" w:rsidRDefault="006E6057" w:rsidP="004152F8">
      <w:pPr>
        <w:pStyle w:val="Bullet"/>
        <w:numPr>
          <w:ilvl w:val="0"/>
          <w:numId w:val="14"/>
        </w:numPr>
        <w:ind w:left="357" w:hanging="357"/>
      </w:pPr>
      <w:r>
        <w:t>pellet fires (or burners/heaters)</w:t>
      </w:r>
    </w:p>
    <w:p w14:paraId="28592C37" w14:textId="77777777" w:rsidR="006E6057" w:rsidRDefault="006E6057" w:rsidP="004152F8">
      <w:pPr>
        <w:pStyle w:val="Bullet"/>
        <w:numPr>
          <w:ilvl w:val="0"/>
          <w:numId w:val="14"/>
        </w:numPr>
        <w:ind w:left="357" w:hanging="357"/>
      </w:pPr>
      <w:r>
        <w:t>coal burners (or heaters)</w:t>
      </w:r>
    </w:p>
    <w:p w14:paraId="00020C42" w14:textId="77777777" w:rsidR="006E6057" w:rsidRDefault="006E6057" w:rsidP="004152F8">
      <w:pPr>
        <w:pStyle w:val="Bullet"/>
        <w:numPr>
          <w:ilvl w:val="0"/>
          <w:numId w:val="14"/>
        </w:numPr>
        <w:ind w:left="357" w:hanging="357"/>
      </w:pPr>
      <w:r>
        <w:t>cooking stoves.</w:t>
      </w:r>
    </w:p>
    <w:p w14:paraId="699CDE05" w14:textId="77777777" w:rsidR="006E6057" w:rsidRPr="006E584A" w:rsidRDefault="006E6057" w:rsidP="0090025D">
      <w:pPr>
        <w:pStyle w:val="Heading3"/>
      </w:pPr>
      <w:bookmarkStart w:id="156" w:name="_Toc87954631"/>
      <w:bookmarkStart w:id="157" w:name="_Toc222291805"/>
      <w:bookmarkStart w:id="158" w:name="_Toc222292151"/>
      <w:bookmarkStart w:id="159" w:name="_Toc222292239"/>
      <w:bookmarkStart w:id="160" w:name="_Toc242861962"/>
      <w:r w:rsidRPr="005C6E33">
        <w:t>5.</w:t>
      </w:r>
      <w:r>
        <w:t>2</w:t>
      </w:r>
      <w:r w:rsidRPr="005C6E33">
        <w:t>.</w:t>
      </w:r>
      <w:r>
        <w:t>4</w:t>
      </w:r>
      <w:r>
        <w:tab/>
        <w:t>Where do</w:t>
      </w:r>
      <w:r w:rsidRPr="006E584A">
        <w:t xml:space="preserve"> </w:t>
      </w:r>
      <w:r>
        <w:t>the Regulations ap</w:t>
      </w:r>
      <w:r w:rsidRPr="006E584A">
        <w:t>ply?</w:t>
      </w:r>
      <w:bookmarkEnd w:id="156"/>
      <w:bookmarkEnd w:id="157"/>
      <w:bookmarkEnd w:id="158"/>
      <w:bookmarkEnd w:id="159"/>
      <w:bookmarkEnd w:id="160"/>
    </w:p>
    <w:p w14:paraId="41FE5FCD" w14:textId="77777777" w:rsidR="00ED6E85" w:rsidRPr="003C5940" w:rsidRDefault="006E6057" w:rsidP="00ED6E85">
      <w:r>
        <w:t>Regulation</w:t>
      </w:r>
      <w:r w:rsidRPr="00234369">
        <w:t xml:space="preserve"> 22 states that the </w:t>
      </w:r>
      <w:r>
        <w:t xml:space="preserve">woodburner </w:t>
      </w:r>
      <w:r w:rsidRPr="00234369">
        <w:t>standard</w:t>
      </w:r>
      <w:r>
        <w:t>s</w:t>
      </w:r>
      <w:r w:rsidRPr="00234369">
        <w:t xml:space="preserve"> appl</w:t>
      </w:r>
      <w:r>
        <w:t>y</w:t>
      </w:r>
      <w:r w:rsidRPr="00234369">
        <w:t xml:space="preserve"> to </w:t>
      </w:r>
      <w:r>
        <w:t>woodburner</w:t>
      </w:r>
      <w:r w:rsidRPr="00234369">
        <w:t>s installed in certain properties</w:t>
      </w:r>
      <w:r>
        <w:rPr>
          <w:rFonts w:ascii="Arial" w:hAnsi="Arial" w:cs="Arial"/>
          <w:szCs w:val="22"/>
        </w:rPr>
        <w:t>:</w:t>
      </w:r>
      <w:r w:rsidR="00ED6E85" w:rsidRPr="00ED6E85">
        <w:t xml:space="preserve"> </w:t>
      </w:r>
    </w:p>
    <w:p w14:paraId="56AE1815" w14:textId="77777777" w:rsidR="00ED6E85" w:rsidRPr="00DC42BD" w:rsidRDefault="00ED6E85" w:rsidP="00ED6E85">
      <w:pPr>
        <w:pStyle w:val="Blockquote"/>
        <w:spacing w:before="0"/>
        <w:ind w:leftChars="258" w:left="1130" w:hangingChars="281" w:hanging="562"/>
        <w:rPr>
          <w:b/>
        </w:rPr>
      </w:pPr>
      <w:r w:rsidRPr="00DC42BD">
        <w:rPr>
          <w:b/>
        </w:rPr>
        <w:t>22</w:t>
      </w:r>
      <w:r w:rsidRPr="00DC42BD">
        <w:rPr>
          <w:b/>
        </w:rPr>
        <w:tab/>
        <w:t xml:space="preserve">Discharge from </w:t>
      </w:r>
      <w:r>
        <w:rPr>
          <w:b/>
        </w:rPr>
        <w:t>woodburner</w:t>
      </w:r>
      <w:r w:rsidRPr="00DC42BD">
        <w:rPr>
          <w:b/>
        </w:rPr>
        <w:t>s installed in certain properties after 1 September 2005 prohibited</w:t>
      </w:r>
    </w:p>
    <w:p w14:paraId="6FDECAF2" w14:textId="77777777" w:rsidR="00ED6E85" w:rsidRPr="00234369" w:rsidRDefault="00ED6E85" w:rsidP="00ED6E85">
      <w:pPr>
        <w:pStyle w:val="Blockquote"/>
        <w:spacing w:before="0"/>
        <w:ind w:leftChars="258" w:left="1130" w:hangingChars="281" w:hanging="562"/>
      </w:pPr>
      <w:r>
        <w:t>(1)</w:t>
      </w:r>
      <w:r>
        <w:tab/>
      </w:r>
      <w:r w:rsidRPr="00234369">
        <w:t xml:space="preserve">The discharge of particles to air from a </w:t>
      </w:r>
      <w:r>
        <w:t>woodburner</w:t>
      </w:r>
      <w:r w:rsidRPr="00234369">
        <w:t xml:space="preserve"> installed after 1 September 2005 in a building or property with an allotment size of less than 2 hectares is prohibited.</w:t>
      </w:r>
    </w:p>
    <w:p w14:paraId="511CA6A4" w14:textId="77777777" w:rsidR="00ED6E85" w:rsidRDefault="00ED6E85" w:rsidP="00ED6E85">
      <w:pPr>
        <w:pStyle w:val="Blockquote"/>
        <w:spacing w:before="0"/>
        <w:ind w:leftChars="258" w:left="1130" w:hangingChars="281" w:hanging="562"/>
      </w:pPr>
      <w:r>
        <w:t>(2)</w:t>
      </w:r>
      <w:r>
        <w:tab/>
      </w:r>
      <w:r w:rsidRPr="00234369">
        <w:t xml:space="preserve">Subclause (1) does not apply if the discharge from the </w:t>
      </w:r>
      <w:r>
        <w:t>woodburner</w:t>
      </w:r>
      <w:r w:rsidRPr="00234369">
        <w:t xml:space="preserve"> complies with</w:t>
      </w:r>
      <w:r>
        <w:t> –</w:t>
      </w:r>
    </w:p>
    <w:p w14:paraId="5331BDD0" w14:textId="77777777" w:rsidR="00ED6E85" w:rsidRPr="00234369" w:rsidRDefault="00ED6E85" w:rsidP="00ED6E85">
      <w:pPr>
        <w:pStyle w:val="Blockquote"/>
        <w:spacing w:before="0"/>
        <w:ind w:leftChars="516" w:left="1701" w:hangingChars="283" w:hanging="566"/>
      </w:pPr>
      <w:r>
        <w:t>(a)</w:t>
      </w:r>
      <w:r>
        <w:tab/>
      </w:r>
      <w:r w:rsidRPr="00234369">
        <w:t>the design standard in regulation 23; and</w:t>
      </w:r>
    </w:p>
    <w:p w14:paraId="364BC568" w14:textId="77777777" w:rsidR="00ED6E85" w:rsidRPr="00234369" w:rsidRDefault="00ED6E85" w:rsidP="00ED6E85">
      <w:pPr>
        <w:pStyle w:val="Blockquote"/>
        <w:spacing w:before="0"/>
        <w:ind w:leftChars="516" w:left="1701" w:hangingChars="283" w:hanging="566"/>
      </w:pPr>
      <w:r>
        <w:t>(b)</w:t>
      </w:r>
      <w:r>
        <w:tab/>
      </w:r>
      <w:r w:rsidRPr="00234369">
        <w:t>the thermal efficiency standard in regulation 24.</w:t>
      </w:r>
    </w:p>
    <w:p w14:paraId="13E0EF64" w14:textId="77777777" w:rsidR="006E6057" w:rsidRDefault="006E6057" w:rsidP="0090025D"/>
    <w:p w14:paraId="374C832E" w14:textId="77777777" w:rsidR="006E6057" w:rsidRDefault="006E6057" w:rsidP="0090025D">
      <w:r w:rsidRPr="00234369">
        <w:t xml:space="preserve">The </w:t>
      </w:r>
      <w:r>
        <w:t>woodburner</w:t>
      </w:r>
      <w:r w:rsidRPr="00234369">
        <w:t xml:space="preserve"> standard</w:t>
      </w:r>
      <w:r>
        <w:t>s</w:t>
      </w:r>
      <w:r w:rsidRPr="00234369">
        <w:t xml:space="preserve"> appl</w:t>
      </w:r>
      <w:r>
        <w:t>y</w:t>
      </w:r>
      <w:r w:rsidRPr="00234369">
        <w:t xml:space="preserve"> to all new </w:t>
      </w:r>
      <w:r>
        <w:t>woodburner</w:t>
      </w:r>
      <w:r w:rsidRPr="00234369">
        <w:t>s installed after 1</w:t>
      </w:r>
      <w:r>
        <w:rPr>
          <w:vertAlign w:val="superscript"/>
        </w:rPr>
        <w:t xml:space="preserve"> </w:t>
      </w:r>
      <w:r w:rsidRPr="00234369">
        <w:t>September 2005</w:t>
      </w:r>
      <w:r>
        <w:t xml:space="preserve"> on</w:t>
      </w:r>
      <w:r w:rsidRPr="00234369">
        <w:t xml:space="preserve"> a property with a lot size of 2 ha or less (20,000 m</w:t>
      </w:r>
      <w:r w:rsidRPr="00234369">
        <w:rPr>
          <w:vertAlign w:val="superscript"/>
        </w:rPr>
        <w:t>2</w:t>
      </w:r>
      <w:r w:rsidRPr="00234369">
        <w:t>)</w:t>
      </w:r>
      <w:r w:rsidR="001C22B8">
        <w:t>.</w:t>
      </w:r>
      <w:r>
        <w:t xml:space="preserve"> This is most </w:t>
      </w:r>
      <w:r w:rsidR="001C22B8">
        <w:t>urban areas within New Zealand.</w:t>
      </w:r>
      <w:r>
        <w:t xml:space="preserve"> </w:t>
      </w:r>
      <w:r w:rsidRPr="00234369">
        <w:t>Information on the size of a lot is available from the property title</w:t>
      </w:r>
      <w:r>
        <w:t>, local council rates notice</w:t>
      </w:r>
      <w:r w:rsidRPr="00234369">
        <w:t xml:space="preserve"> or Land Information Memoranda (LIM) report.</w:t>
      </w:r>
    </w:p>
    <w:p w14:paraId="0D5149DD" w14:textId="77777777" w:rsidR="006E6057" w:rsidRDefault="006E6057" w:rsidP="0090025D"/>
    <w:p w14:paraId="028B6813" w14:textId="77777777" w:rsidR="006E6057" w:rsidRPr="004B4324" w:rsidRDefault="006E6057" w:rsidP="0090025D">
      <w:r w:rsidRPr="004B4324">
        <w:t xml:space="preserve">The </w:t>
      </w:r>
      <w:r w:rsidR="00C500EF">
        <w:t>Regulation</w:t>
      </w:r>
      <w:r w:rsidRPr="004B4324">
        <w:t xml:space="preserve"> only </w:t>
      </w:r>
      <w:r w:rsidRPr="004B4324">
        <w:rPr>
          <w:b/>
        </w:rPr>
        <w:t>applies to</w:t>
      </w:r>
      <w:r w:rsidRPr="004B4324">
        <w:t xml:space="preserve"> </w:t>
      </w:r>
      <w:r w:rsidRPr="00F44062">
        <w:rPr>
          <w:b/>
        </w:rPr>
        <w:t>domestic</w:t>
      </w:r>
      <w:r>
        <w:t xml:space="preserve"> woodburners</w:t>
      </w:r>
      <w:r w:rsidRPr="004B4324">
        <w:t>. These are</w:t>
      </w:r>
      <w:r>
        <w:t xml:space="preserve"> woodburners installed in </w:t>
      </w:r>
      <w:r w:rsidRPr="004B4324">
        <w:t xml:space="preserve">buildings </w:t>
      </w:r>
      <w:r>
        <w:t>like dwelling</w:t>
      </w:r>
      <w:r w:rsidRPr="004B4324">
        <w:t xml:space="preserve"> houses, apartments, holiday homes, farm accommodat</w:t>
      </w:r>
      <w:r w:rsidR="001C22B8">
        <w:t xml:space="preserve">ion and other home residences. </w:t>
      </w:r>
      <w:r w:rsidRPr="004B4324">
        <w:t xml:space="preserve">The </w:t>
      </w:r>
      <w:r w:rsidR="00C500EF" w:rsidRPr="004B4324">
        <w:t>Regulation</w:t>
      </w:r>
      <w:r w:rsidRPr="004B4324">
        <w:t xml:space="preserve"> </w:t>
      </w:r>
      <w:r w:rsidRPr="004B4324">
        <w:rPr>
          <w:b/>
        </w:rPr>
        <w:t>does not apply</w:t>
      </w:r>
      <w:r w:rsidRPr="004B4324">
        <w:t xml:space="preserve"> </w:t>
      </w:r>
      <w:r w:rsidRPr="004B4324">
        <w:rPr>
          <w:b/>
        </w:rPr>
        <w:t xml:space="preserve">to </w:t>
      </w:r>
      <w:r>
        <w:rPr>
          <w:b/>
        </w:rPr>
        <w:t xml:space="preserve">woodburners  in </w:t>
      </w:r>
      <w:r w:rsidRPr="004B4324">
        <w:rPr>
          <w:b/>
        </w:rPr>
        <w:t>commercial buildings</w:t>
      </w:r>
      <w:r w:rsidRPr="004B4324">
        <w:t xml:space="preserve"> such as restaurants, motels, hotels</w:t>
      </w:r>
      <w:r>
        <w:t>, marae and other cultural facilities, schools, community halls</w:t>
      </w:r>
      <w:r w:rsidRPr="004B4324">
        <w:t xml:space="preserve"> and </w:t>
      </w:r>
      <w:r>
        <w:t>offices</w:t>
      </w:r>
      <w:r w:rsidRPr="004B4324">
        <w:t>.</w:t>
      </w:r>
    </w:p>
    <w:p w14:paraId="39244AA3" w14:textId="77777777" w:rsidR="006E6057" w:rsidRPr="004B4324" w:rsidRDefault="006E6057" w:rsidP="0090025D"/>
    <w:p w14:paraId="40502FBA" w14:textId="77777777" w:rsidR="006E6057" w:rsidRPr="00E43E15" w:rsidRDefault="006E6057" w:rsidP="0090025D">
      <w:pPr>
        <w:rPr>
          <w:highlight w:val="yellow"/>
        </w:rPr>
      </w:pPr>
      <w:r>
        <w:t xml:space="preserve">The woodburner </w:t>
      </w:r>
      <w:r w:rsidR="00C500EF">
        <w:t>Regulation</w:t>
      </w:r>
      <w:r>
        <w:t>s apply regardles</w:t>
      </w:r>
      <w:r w:rsidR="001C22B8">
        <w:t xml:space="preserve">s of the state of air quality. </w:t>
      </w:r>
      <w:r>
        <w:t>In this regard they are unlike the open fire ban as they make no reference to breaches of PM</w:t>
      </w:r>
      <w:r w:rsidRPr="00DB46FA">
        <w:rPr>
          <w:vertAlign w:val="subscript"/>
        </w:rPr>
        <w:t>10</w:t>
      </w:r>
      <w:r>
        <w:t xml:space="preserve"> standards or airsheds.</w:t>
      </w:r>
    </w:p>
    <w:p w14:paraId="5F43BB40" w14:textId="77777777" w:rsidR="006E6057" w:rsidRDefault="006E6057" w:rsidP="0090025D"/>
    <w:p w14:paraId="4473676F" w14:textId="77777777" w:rsidR="006E6057" w:rsidRPr="00690721" w:rsidRDefault="006E6057" w:rsidP="0090025D">
      <w:r w:rsidRPr="00690721">
        <w:t xml:space="preserve">The </w:t>
      </w:r>
      <w:r w:rsidR="00C500EF">
        <w:t>woodburner R</w:t>
      </w:r>
      <w:r>
        <w:t>egulations</w:t>
      </w:r>
      <w:r w:rsidRPr="00690721">
        <w:t xml:space="preserve"> do not apply to existing </w:t>
      </w:r>
      <w:r>
        <w:t>woodburner</w:t>
      </w:r>
      <w:r w:rsidRPr="00690721">
        <w:t>s</w:t>
      </w:r>
      <w:r>
        <w:t xml:space="preserve"> installed </w:t>
      </w:r>
      <w:r w:rsidR="001C22B8">
        <w:t>before</w:t>
      </w:r>
      <w:r>
        <w:t xml:space="preserve"> 1 September 2005 – </w:t>
      </w:r>
      <w:r w:rsidRPr="00690721">
        <w:t>unless they are reinstalled</w:t>
      </w:r>
      <w:r>
        <w:t xml:space="preserve"> into a property eg, burner taken out and put back in after renovation or a woodburner taken from one room in a house and put in another). The </w:t>
      </w:r>
      <w:r w:rsidR="00C500EF">
        <w:t>Regulation</w:t>
      </w:r>
      <w:r>
        <w:t>s do, however, apply to second-hand woodburners because these are ‘new’ installations after 1 September 2005.</w:t>
      </w:r>
    </w:p>
    <w:p w14:paraId="1A53D75B" w14:textId="77777777" w:rsidR="006E6057" w:rsidRDefault="006E6057" w:rsidP="0090025D"/>
    <w:p w14:paraId="1D798338" w14:textId="77777777" w:rsidR="006E6057" w:rsidRDefault="006E6057" w:rsidP="0090025D">
      <w:r w:rsidRPr="00690721">
        <w:t xml:space="preserve">People </w:t>
      </w:r>
      <w:r>
        <w:t>can still</w:t>
      </w:r>
      <w:r w:rsidRPr="00690721">
        <w:t xml:space="preserve"> operate or install multi-fuel burners, coal burners</w:t>
      </w:r>
      <w:r>
        <w:t>,</w:t>
      </w:r>
      <w:r w:rsidRPr="00690721">
        <w:t xml:space="preserve"> pellet fires, and wood/coal stoves designed for the primary purpose of cooking</w:t>
      </w:r>
      <w:r>
        <w:t xml:space="preserve">, </w:t>
      </w:r>
      <w:r w:rsidRPr="00690721">
        <w:t>unless their regional plan prevents this.</w:t>
      </w:r>
      <w:r>
        <w:t xml:space="preserve">  Open fires are dealt with separately in </w:t>
      </w:r>
      <w:r w:rsidRPr="008D3E65">
        <w:t>section 5.3</w:t>
      </w:r>
      <w:r>
        <w:t>.</w:t>
      </w:r>
    </w:p>
    <w:p w14:paraId="59ABC7EB" w14:textId="77777777" w:rsidR="006E6057" w:rsidRPr="00B93975" w:rsidRDefault="006E6057" w:rsidP="0090025D">
      <w:pPr>
        <w:pStyle w:val="Heading3"/>
      </w:pPr>
      <w:bookmarkStart w:id="161" w:name="_Toc77997011"/>
      <w:bookmarkStart w:id="162" w:name="_Toc87954632"/>
      <w:bookmarkStart w:id="163" w:name="_Toc222291806"/>
      <w:bookmarkStart w:id="164" w:name="_Toc222292152"/>
      <w:bookmarkStart w:id="165" w:name="_Toc222292240"/>
      <w:bookmarkStart w:id="166" w:name="_Toc242861963"/>
      <w:r>
        <w:t>5.2.5</w:t>
      </w:r>
      <w:r w:rsidRPr="00B93975">
        <w:tab/>
        <w:t xml:space="preserve">Who do </w:t>
      </w:r>
      <w:r>
        <w:t>they</w:t>
      </w:r>
      <w:r w:rsidRPr="00B93975">
        <w:t xml:space="preserve"> affect?</w:t>
      </w:r>
      <w:bookmarkEnd w:id="161"/>
      <w:bookmarkEnd w:id="162"/>
      <w:bookmarkEnd w:id="163"/>
      <w:bookmarkEnd w:id="164"/>
      <w:bookmarkEnd w:id="165"/>
      <w:bookmarkEnd w:id="166"/>
    </w:p>
    <w:p w14:paraId="2E2174A3" w14:textId="77777777" w:rsidR="006E6057" w:rsidRDefault="006E6057" w:rsidP="0090025D">
      <w:r w:rsidRPr="00234369">
        <w:t xml:space="preserve">The </w:t>
      </w:r>
      <w:r>
        <w:t>woodburner</w:t>
      </w:r>
      <w:r w:rsidRPr="00234369">
        <w:t xml:space="preserve"> </w:t>
      </w:r>
      <w:r w:rsidR="00C500EF">
        <w:t>R</w:t>
      </w:r>
      <w:r>
        <w:t>egulations</w:t>
      </w:r>
      <w:r w:rsidRPr="00234369">
        <w:t xml:space="preserve"> affect anyone installing a </w:t>
      </w:r>
      <w:r>
        <w:t>woodburner</w:t>
      </w:r>
      <w:r w:rsidRPr="00234369">
        <w:t xml:space="preserve"> in a building or property with a lot size of less than 2 hectares</w:t>
      </w:r>
      <w:r w:rsidR="001C22B8">
        <w:t xml:space="preserve">. </w:t>
      </w:r>
      <w:r>
        <w:t>They do</w:t>
      </w:r>
      <w:r w:rsidRPr="00234369">
        <w:t xml:space="preserve"> not affect people installing open fires</w:t>
      </w:r>
      <w:r>
        <w:t xml:space="preserve"> (refer section </w:t>
      </w:r>
      <w:r w:rsidRPr="008D3E65">
        <w:t>5.3</w:t>
      </w:r>
      <w:r>
        <w:t>)</w:t>
      </w:r>
      <w:r w:rsidRPr="00234369">
        <w:t xml:space="preserve">, cooking ranges, coal burners, pellet </w:t>
      </w:r>
      <w:r>
        <w:t>burners</w:t>
      </w:r>
      <w:r w:rsidRPr="00234369">
        <w:t xml:space="preserve"> or multi fuel burners</w:t>
      </w:r>
      <w:r>
        <w:t>.</w:t>
      </w:r>
    </w:p>
    <w:p w14:paraId="54846B21" w14:textId="77777777" w:rsidR="006E6057" w:rsidRDefault="006E6057" w:rsidP="0090025D"/>
    <w:p w14:paraId="770EA9A0" w14:textId="77777777" w:rsidR="006E6057" w:rsidRDefault="006E6057" w:rsidP="0090025D">
      <w:r>
        <w:t xml:space="preserve">They </w:t>
      </w:r>
      <w:r w:rsidRPr="00234369">
        <w:t xml:space="preserve">further affect home heating manufacturers, retailers and territorial authorities, who </w:t>
      </w:r>
      <w:r>
        <w:t>sell, install and/or grant building consents</w:t>
      </w:r>
      <w:r w:rsidRPr="00234369">
        <w:t xml:space="preserve"> </w:t>
      </w:r>
      <w:r>
        <w:t>for the installation of</w:t>
      </w:r>
      <w:r w:rsidRPr="00234369">
        <w:t xml:space="preserve"> </w:t>
      </w:r>
      <w:r>
        <w:t>woodburner</w:t>
      </w:r>
      <w:r w:rsidRPr="00234369">
        <w:t>s.</w:t>
      </w:r>
    </w:p>
    <w:p w14:paraId="088E5AC3" w14:textId="77777777" w:rsidR="006E6057" w:rsidRPr="00731020" w:rsidRDefault="006E6057" w:rsidP="0090025D">
      <w:pPr>
        <w:pStyle w:val="Heading3"/>
      </w:pPr>
      <w:bookmarkStart w:id="167" w:name="_Toc87954633"/>
      <w:bookmarkStart w:id="168" w:name="_Toc222291807"/>
      <w:bookmarkStart w:id="169" w:name="_Toc222292153"/>
      <w:bookmarkStart w:id="170" w:name="_Toc222292241"/>
      <w:bookmarkStart w:id="171" w:name="_Toc242861964"/>
      <w:r>
        <w:t>5.2.6</w:t>
      </w:r>
      <w:r w:rsidRPr="00731020">
        <w:tab/>
      </w:r>
      <w:bookmarkEnd w:id="155"/>
      <w:r w:rsidRPr="00731020">
        <w:t>Implementation</w:t>
      </w:r>
      <w:bookmarkEnd w:id="167"/>
      <w:bookmarkEnd w:id="168"/>
      <w:bookmarkEnd w:id="169"/>
      <w:bookmarkEnd w:id="170"/>
      <w:bookmarkEnd w:id="171"/>
    </w:p>
    <w:p w14:paraId="583C933A" w14:textId="77777777" w:rsidR="006E6057" w:rsidRDefault="006E6057" w:rsidP="0090025D">
      <w:r>
        <w:t xml:space="preserve">The </w:t>
      </w:r>
      <w:r w:rsidR="00C500EF">
        <w:t>Regulation</w:t>
      </w:r>
      <w:r>
        <w:t xml:space="preserve">s apply nationally. From </w:t>
      </w:r>
      <w:r w:rsidRPr="00234369">
        <w:t xml:space="preserve">1 September 2005, all </w:t>
      </w:r>
      <w:r>
        <w:t>woodburner</w:t>
      </w:r>
      <w:r w:rsidRPr="00234369">
        <w:t>s installed into a house or dwelling</w:t>
      </w:r>
      <w:r>
        <w:t xml:space="preserve"> in New Zealand</w:t>
      </w:r>
      <w:r w:rsidRPr="00234369">
        <w:t>, on a lot size less than 2</w:t>
      </w:r>
      <w:r>
        <w:t> </w:t>
      </w:r>
      <w:r w:rsidRPr="00234369">
        <w:t xml:space="preserve">hectares, </w:t>
      </w:r>
      <w:r>
        <w:t>have been required to</w:t>
      </w:r>
      <w:r w:rsidRPr="00234369">
        <w:t xml:space="preserve"> meet the </w:t>
      </w:r>
      <w:r>
        <w:t>design (emission and thermal efficiency)</w:t>
      </w:r>
      <w:r w:rsidR="00B10E6E">
        <w:t xml:space="preserve"> standards outlined above. </w:t>
      </w:r>
      <w:r w:rsidRPr="00234369">
        <w:t xml:space="preserve">This includes reconditioned and/or second-hand </w:t>
      </w:r>
      <w:r>
        <w:t>woodburner</w:t>
      </w:r>
      <w:r w:rsidRPr="00234369">
        <w:t>s.</w:t>
      </w:r>
      <w:r w:rsidRPr="004C5D66">
        <w:t xml:space="preserve"> </w:t>
      </w:r>
    </w:p>
    <w:p w14:paraId="26E8EE3D" w14:textId="77777777" w:rsidR="006E6057" w:rsidRDefault="006E6057" w:rsidP="0090025D"/>
    <w:p w14:paraId="51086FA7" w14:textId="77777777" w:rsidR="006E6057" w:rsidRDefault="006E6057" w:rsidP="0090025D">
      <w:r>
        <w:t>It should be noted that t</w:t>
      </w:r>
      <w:r w:rsidRPr="00234369">
        <w:t xml:space="preserve">he </w:t>
      </w:r>
      <w:r>
        <w:t>woodburner</w:t>
      </w:r>
      <w:r w:rsidRPr="00234369">
        <w:t xml:space="preserve"> standard</w:t>
      </w:r>
      <w:r>
        <w:t>s refer</w:t>
      </w:r>
      <w:r w:rsidRPr="00234369">
        <w:t xml:space="preserve"> to the </w:t>
      </w:r>
      <w:r w:rsidRPr="00234369">
        <w:rPr>
          <w:i/>
        </w:rPr>
        <w:t>installation</w:t>
      </w:r>
      <w:r w:rsidRPr="00234369">
        <w:t xml:space="preserve"> of </w:t>
      </w:r>
      <w:r>
        <w:t>woodburner</w:t>
      </w:r>
      <w:r w:rsidRPr="00234369">
        <w:t>s</w:t>
      </w:r>
      <w:r w:rsidR="00B10E6E">
        <w:t>.</w:t>
      </w:r>
      <w:r>
        <w:t xml:space="preserve"> Woodburner</w:t>
      </w:r>
      <w:r w:rsidRPr="00234369">
        <w:t>s</w:t>
      </w:r>
      <w:r>
        <w:t xml:space="preserve"> that do not meet the standards</w:t>
      </w:r>
      <w:r w:rsidRPr="00234369">
        <w:t xml:space="preserve"> can </w:t>
      </w:r>
      <w:r>
        <w:t xml:space="preserve">still be sold but they may </w:t>
      </w:r>
      <w:r w:rsidRPr="00234369">
        <w:t>then only be installed in homes on a property with a lot size of over 2 hectares.</w:t>
      </w:r>
    </w:p>
    <w:p w14:paraId="4BB03D2C" w14:textId="77777777" w:rsidR="006E6057" w:rsidRDefault="006E6057" w:rsidP="0090025D"/>
    <w:p w14:paraId="4327A337" w14:textId="77777777" w:rsidR="006E6057" w:rsidRDefault="006E6057" w:rsidP="0090025D">
      <w:r>
        <w:t>The woodburner standards</w:t>
      </w:r>
      <w:r w:rsidRPr="00234369">
        <w:t xml:space="preserve"> only app</w:t>
      </w:r>
      <w:r>
        <w:t>ly</w:t>
      </w:r>
      <w:r w:rsidRPr="00234369">
        <w:t xml:space="preserve"> to properties less than </w:t>
      </w:r>
      <w:r>
        <w:t>2</w:t>
      </w:r>
      <w:r w:rsidRPr="00234369">
        <w:t xml:space="preserve"> hectares</w:t>
      </w:r>
      <w:r>
        <w:t xml:space="preserve"> and they are not retrospective.  </w:t>
      </w:r>
      <w:r w:rsidRPr="00234369">
        <w:t>If a property size is reduced (</w:t>
      </w:r>
      <w:r>
        <w:t xml:space="preserve">eg, </w:t>
      </w:r>
      <w:r w:rsidRPr="00234369">
        <w:t xml:space="preserve">via subdivision) to less than </w:t>
      </w:r>
      <w:r>
        <w:t>two</w:t>
      </w:r>
      <w:r w:rsidRPr="00234369">
        <w:t xml:space="preserve"> hectares, the </w:t>
      </w:r>
      <w:r>
        <w:t xml:space="preserve">woodburner </w:t>
      </w:r>
      <w:r w:rsidRPr="00234369">
        <w:t>standard will not apply retrospectively</w:t>
      </w:r>
      <w:r>
        <w:t xml:space="preserve"> – </w:t>
      </w:r>
      <w:r w:rsidRPr="00234369">
        <w:t xml:space="preserve">any existing </w:t>
      </w:r>
      <w:r>
        <w:t>woodburner that does not meet the standards</w:t>
      </w:r>
      <w:r w:rsidRPr="00234369">
        <w:t xml:space="preserve"> can remain.</w:t>
      </w:r>
    </w:p>
    <w:p w14:paraId="62AD53D7" w14:textId="77777777" w:rsidR="006E6057" w:rsidRPr="00234369" w:rsidRDefault="006E6057" w:rsidP="0090025D">
      <w:pPr>
        <w:pStyle w:val="Heading3"/>
      </w:pPr>
      <w:r>
        <w:t>5.2.7</w:t>
      </w:r>
      <w:r>
        <w:tab/>
        <w:t xml:space="preserve">Functionally </w:t>
      </w:r>
      <w:r w:rsidR="008D3E65">
        <w:t>equivalent test methods</w:t>
      </w:r>
    </w:p>
    <w:p w14:paraId="2E76374C" w14:textId="77777777" w:rsidR="006E6057" w:rsidRDefault="006E6057" w:rsidP="0090025D">
      <w:r>
        <w:t xml:space="preserve">The 2011 amendments corrected a technical anomaly for wood-fired central heating appliances.  Previously, the Regulations required that wood-fired central heating appliances (as woodburners) meet the design and efficiency standards described in section </w:t>
      </w:r>
      <w:r w:rsidRPr="008D3E65">
        <w:t>5.2.1</w:t>
      </w:r>
      <w:r>
        <w:t>, but the designated test methods for doing so (AS/NZS 4013 and AS/NZS 4012) specifically exclude wood-fir</w:t>
      </w:r>
      <w:r w:rsidR="00B10E6E">
        <w:t xml:space="preserve">ed central heating appliances. </w:t>
      </w:r>
      <w:r>
        <w:t>This meant that wood-fired central heating appliances needed to meet the standards using a test method from which they were excluded.  The insertion of ‘functionally equivalent test methods’ has been added to address this issue.</w:t>
      </w:r>
    </w:p>
    <w:p w14:paraId="0834306F" w14:textId="77777777" w:rsidR="006E6057" w:rsidRDefault="006E6057" w:rsidP="0090025D"/>
    <w:p w14:paraId="5532D349" w14:textId="77777777" w:rsidR="006E6057" w:rsidRDefault="006E6057" w:rsidP="0090025D">
      <w:r>
        <w:t>Functionally equivalent test methods may also be used for other types of woodburners that do not comply with the designated test methods.</w:t>
      </w:r>
    </w:p>
    <w:p w14:paraId="19E083DE" w14:textId="77777777" w:rsidR="006E6057" w:rsidRDefault="006E6057" w:rsidP="0090025D"/>
    <w:p w14:paraId="552FA826" w14:textId="77777777" w:rsidR="006E6057" w:rsidRDefault="006E6057" w:rsidP="0090025D">
      <w:r>
        <w:t>Environment Canterbury and/or Nelson City Council will determine what is ‘functionally equivalent’ given their ro</w:t>
      </w:r>
      <w:r w:rsidR="00B10E6E">
        <w:t>les as authorising authorities.</w:t>
      </w:r>
      <w:r>
        <w:t xml:space="preserve"> In doing so, it is likely that consideration will be given to the following matters:</w:t>
      </w:r>
    </w:p>
    <w:p w14:paraId="2052A51B" w14:textId="77777777" w:rsidR="006E6057" w:rsidRDefault="006E6057" w:rsidP="004152F8">
      <w:pPr>
        <w:pStyle w:val="Bullet"/>
        <w:numPr>
          <w:ilvl w:val="0"/>
          <w:numId w:val="14"/>
        </w:numPr>
        <w:ind w:left="357" w:hanging="357"/>
      </w:pPr>
      <w:r>
        <w:t>does the test method utilise a comparable range of operating conditions</w:t>
      </w:r>
    </w:p>
    <w:p w14:paraId="1D94B47C" w14:textId="77777777" w:rsidR="006E6057" w:rsidRDefault="00B10E6E" w:rsidP="004152F8">
      <w:pPr>
        <w:pStyle w:val="Bullet"/>
        <w:numPr>
          <w:ilvl w:val="0"/>
          <w:numId w:val="14"/>
        </w:numPr>
        <w:ind w:left="357" w:hanging="357"/>
      </w:pPr>
      <w:r>
        <w:t>does the test method utilise a</w:t>
      </w:r>
      <w:r w:rsidR="006E6057">
        <w:t xml:space="preserve"> similar fuel</w:t>
      </w:r>
    </w:p>
    <w:p w14:paraId="6CDCAAF2" w14:textId="77777777" w:rsidR="006E6057" w:rsidRDefault="006E6057" w:rsidP="004152F8">
      <w:pPr>
        <w:pStyle w:val="Bullet"/>
        <w:numPr>
          <w:ilvl w:val="0"/>
          <w:numId w:val="14"/>
        </w:numPr>
        <w:ind w:left="357" w:hanging="357"/>
      </w:pPr>
      <w:r>
        <w:t>does the test method measure the correct parameters (eg, particulate matter and thermal efficiency)</w:t>
      </w:r>
    </w:p>
    <w:p w14:paraId="68970511" w14:textId="77777777" w:rsidR="006E6057" w:rsidRDefault="006E6057" w:rsidP="004152F8">
      <w:pPr>
        <w:pStyle w:val="Bullet"/>
        <w:numPr>
          <w:ilvl w:val="0"/>
          <w:numId w:val="14"/>
        </w:numPr>
        <w:ind w:left="357" w:hanging="357"/>
      </w:pPr>
      <w:r>
        <w:t>what are the differences between the functionally equivalent test method and the designated test method and how could these impact on burner performance in the laboratory and the home</w:t>
      </w:r>
    </w:p>
    <w:p w14:paraId="04AA4076" w14:textId="77777777" w:rsidR="006E6057" w:rsidRDefault="006E6057" w:rsidP="004152F8">
      <w:pPr>
        <w:pStyle w:val="Bullet"/>
        <w:numPr>
          <w:ilvl w:val="0"/>
          <w:numId w:val="14"/>
        </w:numPr>
        <w:ind w:left="357" w:hanging="357"/>
      </w:pPr>
      <w:r>
        <w:t>is the test method sufficiently rigorous and robust that meaningful comparisons could be drawn between the different burners</w:t>
      </w:r>
    </w:p>
    <w:p w14:paraId="127795D5" w14:textId="77777777" w:rsidR="006E6057" w:rsidRDefault="006E6057" w:rsidP="004152F8">
      <w:pPr>
        <w:pStyle w:val="Bullet"/>
        <w:numPr>
          <w:ilvl w:val="0"/>
          <w:numId w:val="14"/>
        </w:numPr>
        <w:ind w:left="357" w:hanging="357"/>
      </w:pPr>
      <w:r>
        <w:t>is the test method a prescribed method in another jurisdiction (eg, United Kingdom, European Union, Unit</w:t>
      </w:r>
      <w:r w:rsidR="008D3E65">
        <w:t>ed States of America or Canada)?</w:t>
      </w:r>
    </w:p>
    <w:p w14:paraId="10BBD13E" w14:textId="77777777" w:rsidR="006E6057" w:rsidRDefault="006E6057" w:rsidP="0090025D">
      <w:pPr>
        <w:pStyle w:val="Heading3"/>
      </w:pPr>
      <w:r>
        <w:t>5.2.8</w:t>
      </w:r>
      <w:r>
        <w:tab/>
        <w:t>Compliant/</w:t>
      </w:r>
      <w:r w:rsidR="00FD76FC">
        <w:t xml:space="preserve">authorised </w:t>
      </w:r>
      <w:r w:rsidR="008D3E65">
        <w:t>woodburners</w:t>
      </w:r>
    </w:p>
    <w:p w14:paraId="1056E83B" w14:textId="77777777" w:rsidR="006E6057" w:rsidRPr="000B1105" w:rsidRDefault="006E6057" w:rsidP="0090025D">
      <w:r w:rsidRPr="000B1105">
        <w:t xml:space="preserve">There </w:t>
      </w:r>
      <w:r w:rsidR="00BC09D2">
        <w:t>is</w:t>
      </w:r>
      <w:r w:rsidRPr="000B1105">
        <w:t xml:space="preserve"> a wide range of products on the market which</w:t>
      </w:r>
      <w:r w:rsidR="00B10E6E">
        <w:t xml:space="preserve"> meet the woodburner standards.</w:t>
      </w:r>
      <w:r w:rsidRPr="000B1105">
        <w:t xml:space="preserve"> The Ministry for the Environment </w:t>
      </w:r>
      <w:r>
        <w:t>hosts a</w:t>
      </w:r>
      <w:r w:rsidRPr="000B1105">
        <w:t xml:space="preserve"> list of burners that have been tested and authorised by Environment Canterbu</w:t>
      </w:r>
      <w:r w:rsidR="00B10E6E">
        <w:t>ry and/or Nelson City Council.</w:t>
      </w:r>
    </w:p>
    <w:p w14:paraId="7117D574" w14:textId="77777777" w:rsidR="006E6057" w:rsidRPr="00FC2C6B" w:rsidRDefault="006E6057" w:rsidP="0090025D">
      <w:pPr>
        <w:rPr>
          <w:highlight w:val="yellow"/>
        </w:rPr>
      </w:pPr>
    </w:p>
    <w:p w14:paraId="3A64C1EC" w14:textId="77777777" w:rsidR="006E6057" w:rsidRDefault="006E6057" w:rsidP="0090025D">
      <w:r w:rsidRPr="00BF3076">
        <w:t xml:space="preserve">The </w:t>
      </w:r>
      <w:r w:rsidRPr="008D3E65">
        <w:t>New Zealand Domestic Solid Fuel Burner Authorisation Manual</w:t>
      </w:r>
      <w:r w:rsidRPr="00BF3076">
        <w:t xml:space="preserve"> (MfE, 2011</w:t>
      </w:r>
      <w:r w:rsidR="008D3E65">
        <w:t>b</w:t>
      </w:r>
      <w:r w:rsidRPr="00BF3076">
        <w:t xml:space="preserve">) sets out the process by which woodburners are certified by Environment Canterbury and/or Nelson City Council. This process is aimed at facilitating the sale of compliant domestic solid fuel burners in New Zealand. </w:t>
      </w:r>
    </w:p>
    <w:p w14:paraId="46703B19" w14:textId="77777777" w:rsidR="006E6057" w:rsidRDefault="006E6057" w:rsidP="0090025D"/>
    <w:p w14:paraId="5A98090B" w14:textId="77777777" w:rsidR="006E6057" w:rsidRPr="00BF3076" w:rsidRDefault="006E6057" w:rsidP="0090025D">
      <w:r>
        <w:t xml:space="preserve">The </w:t>
      </w:r>
      <w:r w:rsidRPr="00BF3076">
        <w:t xml:space="preserve">Ministry for the Environment </w:t>
      </w:r>
      <w:r>
        <w:t>also undertakes periodic audits of woodburners</w:t>
      </w:r>
      <w:r w:rsidR="00B10E6E">
        <w:t xml:space="preserve">. </w:t>
      </w:r>
      <w:r w:rsidRPr="00BF3076">
        <w:t>Woodburners that do not comply with their authorisation</w:t>
      </w:r>
      <w:r w:rsidR="00C500EF">
        <w:t xml:space="preserve"> and/or the R</w:t>
      </w:r>
      <w:r>
        <w:t>egulations</w:t>
      </w:r>
      <w:r w:rsidRPr="00BF3076">
        <w:t xml:space="preserve"> can be removed from the Ministry’s list of compliant woodburners.  </w:t>
      </w:r>
    </w:p>
    <w:p w14:paraId="159FD878" w14:textId="77777777" w:rsidR="006E6057" w:rsidRPr="00BF3076" w:rsidRDefault="006E6057" w:rsidP="0090025D"/>
    <w:p w14:paraId="30403588" w14:textId="77777777" w:rsidR="006E6057" w:rsidRPr="007C7C93" w:rsidRDefault="006E6057" w:rsidP="0090025D">
      <w:pPr>
        <w:rPr>
          <w:rStyle w:val="Hyperlink"/>
          <w:color w:val="auto"/>
        </w:rPr>
      </w:pPr>
      <w:r w:rsidRPr="00BF3076">
        <w:t>Readers are referred to the Ministry’s website</w:t>
      </w:r>
      <w:r w:rsidRPr="000B1105">
        <w:t xml:space="preserve"> </w:t>
      </w:r>
      <w:hyperlink r:id="rId43" w:history="1">
        <w:r w:rsidRPr="007C7C93">
          <w:rPr>
            <w:rStyle w:val="Hyperlink"/>
            <w:color w:val="auto"/>
          </w:rPr>
          <w:t>www.mfe.govt.nz</w:t>
        </w:r>
      </w:hyperlink>
      <w:r w:rsidRPr="007C7C93">
        <w:rPr>
          <w:rStyle w:val="Hyperlink"/>
          <w:color w:val="auto"/>
        </w:rPr>
        <w:t xml:space="preserve"> </w:t>
      </w:r>
      <w:r w:rsidRPr="007C7C93">
        <w:t>for further information</w:t>
      </w:r>
      <w:r w:rsidRPr="007C7C93">
        <w:rPr>
          <w:rStyle w:val="Hyperlink"/>
          <w:color w:val="auto"/>
        </w:rPr>
        <w:t xml:space="preserve"> on compliant and authorised woodburners.</w:t>
      </w:r>
    </w:p>
    <w:p w14:paraId="2A527641" w14:textId="77777777" w:rsidR="006E6057" w:rsidRPr="00731020" w:rsidRDefault="006E6057" w:rsidP="0090025D">
      <w:pPr>
        <w:pStyle w:val="Heading3"/>
      </w:pPr>
      <w:bookmarkStart w:id="172" w:name="_Toc77997012"/>
      <w:bookmarkStart w:id="173" w:name="_Toc87954634"/>
      <w:bookmarkStart w:id="174" w:name="_Toc222291808"/>
      <w:bookmarkStart w:id="175" w:name="_Toc222292154"/>
      <w:bookmarkStart w:id="176" w:name="_Toc222292242"/>
      <w:bookmarkStart w:id="177" w:name="_Toc242861965"/>
      <w:r>
        <w:t>5</w:t>
      </w:r>
      <w:r w:rsidRPr="00731020">
        <w:t>.</w:t>
      </w:r>
      <w:r>
        <w:t>2.9</w:t>
      </w:r>
      <w:r>
        <w:tab/>
      </w:r>
      <w:r w:rsidRPr="00731020">
        <w:t xml:space="preserve">What is the </w:t>
      </w:r>
      <w:r>
        <w:t>impact on regional p</w:t>
      </w:r>
      <w:r w:rsidRPr="00731020">
        <w:t>lans?</w:t>
      </w:r>
      <w:bookmarkEnd w:id="172"/>
      <w:bookmarkEnd w:id="173"/>
      <w:bookmarkEnd w:id="174"/>
      <w:bookmarkEnd w:id="175"/>
      <w:bookmarkEnd w:id="176"/>
      <w:bookmarkEnd w:id="177"/>
    </w:p>
    <w:p w14:paraId="388F58E8" w14:textId="77777777" w:rsidR="006E6057" w:rsidRDefault="006E6057" w:rsidP="0090025D">
      <w:r w:rsidRPr="00234369">
        <w:t xml:space="preserve">The Regulations </w:t>
      </w:r>
      <w:r>
        <w:t>are mandatory under</w:t>
      </w:r>
      <w:r w:rsidRPr="00234369">
        <w:t xml:space="preserve"> the RMA</w:t>
      </w:r>
      <w:r w:rsidR="00B10E6E">
        <w:t>.</w:t>
      </w:r>
      <w:r>
        <w:t xml:space="preserve"> </w:t>
      </w:r>
      <w:r w:rsidRPr="00234369">
        <w:t>They automatically supersede an</w:t>
      </w:r>
      <w:r>
        <w:t>y relevant regional plan rules (</w:t>
      </w:r>
      <w:r w:rsidRPr="00234369">
        <w:t>unless the local government controls are stricter</w:t>
      </w:r>
      <w:r>
        <w:t>)</w:t>
      </w:r>
      <w:r w:rsidRPr="00234369">
        <w:t>.</w:t>
      </w:r>
    </w:p>
    <w:p w14:paraId="6E528615" w14:textId="77777777" w:rsidR="006E6057" w:rsidRDefault="006E6057" w:rsidP="0090025D"/>
    <w:p w14:paraId="6EEED09B" w14:textId="77777777" w:rsidR="006E6057" w:rsidRDefault="006E6057" w:rsidP="0090025D">
      <w:r>
        <w:t xml:space="preserve">As a result of the 2009 amendments to the RMA, section 44A(5) of the RMA requires that regional councils </w:t>
      </w:r>
      <w:r w:rsidRPr="0007677F">
        <w:rPr>
          <w:b/>
        </w:rPr>
        <w:t>must</w:t>
      </w:r>
      <w:r>
        <w:t xml:space="preserve"> remove regional plan rules that are more lenient than</w:t>
      </w:r>
      <w:r w:rsidR="00E922DC">
        <w:t>, or conflict with,</w:t>
      </w:r>
      <w:r>
        <w:t xml:space="preserve"> the national environmen</w:t>
      </w:r>
      <w:r w:rsidR="00B10E6E">
        <w:t xml:space="preserve">tal standards for air quality. </w:t>
      </w:r>
      <w:r>
        <w:t xml:space="preserve">Removal </w:t>
      </w:r>
      <w:r w:rsidRPr="000B1105">
        <w:t>may</w:t>
      </w:r>
      <w:r>
        <w:t xml:space="preserve"> be carried out without using </w:t>
      </w:r>
      <w:r w:rsidR="00826C79">
        <w:t xml:space="preserve">the consultation, notification, hearings and decision processes for plan changes in Schedule 1 of the RMA </w:t>
      </w:r>
      <w:r>
        <w:t>and must be done as soon as practicable.</w:t>
      </w:r>
    </w:p>
    <w:p w14:paraId="5AC5C99C" w14:textId="77777777" w:rsidR="006E6057" w:rsidRDefault="006E6057" w:rsidP="0090025D"/>
    <w:p w14:paraId="70D456E3" w14:textId="77777777" w:rsidR="006E6057" w:rsidRDefault="006E6057" w:rsidP="0090025D">
      <w:r>
        <w:t xml:space="preserve">Regulation 28 allows for more stringent rules, resource consents or bylaws than </w:t>
      </w:r>
      <w:r w:rsidR="00C500EF">
        <w:t>Regulation</w:t>
      </w:r>
      <w:r>
        <w:t xml:space="preserve"> 24A.  For example, this means:</w:t>
      </w:r>
    </w:p>
    <w:p w14:paraId="1D162DEA" w14:textId="77777777" w:rsidR="006E6057" w:rsidRDefault="006E6057" w:rsidP="004152F8">
      <w:pPr>
        <w:pStyle w:val="Bullet"/>
        <w:numPr>
          <w:ilvl w:val="0"/>
          <w:numId w:val="14"/>
        </w:numPr>
        <w:ind w:left="357" w:hanging="357"/>
      </w:pPr>
      <w:r>
        <w:t>regional plans can prohibit woodburners on any size property or place more stringent</w:t>
      </w:r>
      <w:r w:rsidRPr="00234369">
        <w:t xml:space="preserve"> </w:t>
      </w:r>
      <w:r>
        <w:t>design (emissions) and thermal efficiency standards on woodburners where necessary</w:t>
      </w:r>
    </w:p>
    <w:p w14:paraId="76EC2FC3" w14:textId="77777777" w:rsidR="006E6057" w:rsidRDefault="006E6057" w:rsidP="004152F8">
      <w:pPr>
        <w:pStyle w:val="Bullet"/>
        <w:numPr>
          <w:ilvl w:val="0"/>
          <w:numId w:val="14"/>
        </w:numPr>
        <w:ind w:left="357" w:hanging="357"/>
      </w:pPr>
      <w:r>
        <w:t xml:space="preserve">regional plans or bylaws may place other requirements on woodburners such as point of sale replacement or phased transfer to other fuel sources. </w:t>
      </w:r>
    </w:p>
    <w:p w14:paraId="5DF15029" w14:textId="77777777" w:rsidR="006E6057" w:rsidRDefault="006E6057" w:rsidP="0090025D"/>
    <w:p w14:paraId="0D9D2CB5" w14:textId="77777777" w:rsidR="006E6057" w:rsidRDefault="006E6057" w:rsidP="0090025D">
      <w:r>
        <w:t>A regional plan cannot allow resource consent for a woodburner on a property of less than 2 hectares that does not meet the woodburner standards.</w:t>
      </w:r>
    </w:p>
    <w:p w14:paraId="61C8E03D" w14:textId="77777777" w:rsidR="006E6057" w:rsidRDefault="006E6057" w:rsidP="0090025D"/>
    <w:p w14:paraId="724F5EBF" w14:textId="77777777" w:rsidR="006E6057" w:rsidRDefault="006E6057" w:rsidP="0090025D">
      <w:r>
        <w:t>Many regional councils and unitary authorities already have rules in place relating to woodburners including Environment Canterbury, Otago Regional Council and Nelson City Council, Hawkes Bay Regional Council, Tasman District Council, Rotorua District Council and Auckland Council.</w:t>
      </w:r>
    </w:p>
    <w:p w14:paraId="69F2B660" w14:textId="77777777" w:rsidR="00CE32FB" w:rsidRDefault="00CE32FB" w:rsidP="00CE32FB"/>
    <w:p w14:paraId="1F4B7DC8" w14:textId="77777777" w:rsidR="00CE32FB" w:rsidRPr="00644FC4" w:rsidRDefault="00CE32FB" w:rsidP="00F3133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644FC4">
        <w:rPr>
          <w:rStyle w:val="SubtleEmphasis"/>
          <w:b/>
          <w:color w:val="auto"/>
          <w:sz w:val="20"/>
        </w:rPr>
        <w:t>Example 5.1</w:t>
      </w:r>
    </w:p>
    <w:p w14:paraId="2E2533A1" w14:textId="77777777" w:rsidR="00CE32FB" w:rsidRPr="00644FC4" w:rsidRDefault="00CE32FB" w:rsidP="00CE32FB">
      <w:pPr>
        <w:keepNext/>
        <w:pBdr>
          <w:top w:val="single" w:sz="4" w:space="1" w:color="auto"/>
          <w:left w:val="single" w:sz="4" w:space="4" w:color="auto"/>
          <w:bottom w:val="single" w:sz="4" w:space="1" w:color="auto"/>
          <w:right w:val="single" w:sz="4" w:space="4" w:color="auto"/>
        </w:pBdr>
        <w:rPr>
          <w:rStyle w:val="SubtleEmphasis"/>
          <w:color w:val="auto"/>
          <w:sz w:val="20"/>
        </w:rPr>
      </w:pPr>
      <w:r w:rsidRPr="00644FC4">
        <w:rPr>
          <w:rStyle w:val="SubtleEmphasis"/>
          <w:color w:val="auto"/>
          <w:sz w:val="20"/>
        </w:rPr>
        <w:t xml:space="preserve">The operative </w:t>
      </w:r>
      <w:r w:rsidR="00644FC4">
        <w:rPr>
          <w:rStyle w:val="SubtleEmphasis"/>
          <w:color w:val="auto"/>
          <w:sz w:val="20"/>
        </w:rPr>
        <w:t>Kōhūhū</w:t>
      </w:r>
      <w:r w:rsidR="00644FC4" w:rsidRPr="00A74F05">
        <w:rPr>
          <w:rStyle w:val="SubtleEmphasis"/>
          <w:color w:val="auto"/>
          <w:sz w:val="20"/>
        </w:rPr>
        <w:t xml:space="preserve"> Regional Council</w:t>
      </w:r>
      <w:r w:rsidR="00644FC4" w:rsidRPr="00644FC4">
        <w:rPr>
          <w:rStyle w:val="SubtleEmphasis"/>
          <w:color w:val="auto"/>
          <w:sz w:val="20"/>
        </w:rPr>
        <w:t xml:space="preserve"> </w:t>
      </w:r>
      <w:r w:rsidRPr="00644FC4">
        <w:rPr>
          <w:rStyle w:val="SubtleEmphasis"/>
          <w:color w:val="auto"/>
          <w:sz w:val="20"/>
        </w:rPr>
        <w:t>Air Plan requires woodburners to obtain a discretionary consent if ins</w:t>
      </w:r>
      <w:r w:rsidR="00644FC4">
        <w:rPr>
          <w:rStyle w:val="SubtleEmphasis"/>
          <w:color w:val="auto"/>
          <w:sz w:val="20"/>
        </w:rPr>
        <w:t xml:space="preserve">talled anywhere in the region. </w:t>
      </w:r>
      <w:r w:rsidRPr="00644FC4">
        <w:rPr>
          <w:rStyle w:val="SubtleEmphasis"/>
          <w:color w:val="auto"/>
          <w:sz w:val="20"/>
        </w:rPr>
        <w:t>Therefore:</w:t>
      </w:r>
    </w:p>
    <w:p w14:paraId="643A7663" w14:textId="77777777" w:rsidR="00CE32FB" w:rsidRPr="00644FC4" w:rsidRDefault="00CE32FB" w:rsidP="00CE32FB">
      <w:pPr>
        <w:pBdr>
          <w:top w:val="single" w:sz="4" w:space="1" w:color="auto"/>
          <w:left w:val="single" w:sz="4" w:space="4" w:color="auto"/>
          <w:bottom w:val="single" w:sz="4" w:space="1" w:color="auto"/>
          <w:right w:val="single" w:sz="4" w:space="4" w:color="auto"/>
        </w:pBdr>
        <w:rPr>
          <w:rStyle w:val="SubtleEmphasis"/>
          <w:color w:val="auto"/>
          <w:sz w:val="20"/>
        </w:rPr>
      </w:pPr>
    </w:p>
    <w:p w14:paraId="31DC9812" w14:textId="77777777" w:rsidR="00CE32FB" w:rsidRPr="00644FC4" w:rsidRDefault="00CE32FB" w:rsidP="00CE32F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550" w:hanging="550"/>
        <w:rPr>
          <w:rStyle w:val="SubtleEmphasis"/>
          <w:color w:val="auto"/>
          <w:sz w:val="20"/>
        </w:rPr>
      </w:pPr>
      <w:r w:rsidRPr="00644FC4">
        <w:rPr>
          <w:rStyle w:val="SubtleEmphasis"/>
          <w:color w:val="auto"/>
          <w:sz w:val="20"/>
        </w:rPr>
        <w:t>Before 1 September 2005</w:t>
      </w:r>
    </w:p>
    <w:p w14:paraId="76C2B7CA"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t>-</w:t>
      </w:r>
      <w:r w:rsidRPr="00644FC4">
        <w:rPr>
          <w:rStyle w:val="SubtleEmphasis"/>
          <w:color w:val="auto"/>
          <w:sz w:val="20"/>
        </w:rPr>
        <w:tab/>
        <w:t xml:space="preserve">all new woodburners installed in the </w:t>
      </w:r>
      <w:r w:rsidR="00644FC4">
        <w:rPr>
          <w:rStyle w:val="SubtleEmphasis"/>
          <w:color w:val="auto"/>
          <w:sz w:val="20"/>
        </w:rPr>
        <w:t>Kōhūhū</w:t>
      </w:r>
      <w:r w:rsidR="00644FC4" w:rsidRPr="00A74F05">
        <w:rPr>
          <w:rStyle w:val="SubtleEmphasis"/>
          <w:color w:val="auto"/>
          <w:sz w:val="20"/>
        </w:rPr>
        <w:t xml:space="preserve"> </w:t>
      </w:r>
      <w:r w:rsidRPr="00644FC4">
        <w:rPr>
          <w:rStyle w:val="SubtleEmphasis"/>
          <w:color w:val="auto"/>
          <w:sz w:val="20"/>
        </w:rPr>
        <w:t>Region require a discretionary consent.</w:t>
      </w:r>
    </w:p>
    <w:p w14:paraId="2711A4A4"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p>
    <w:p w14:paraId="6AE5DC8D" w14:textId="77777777" w:rsidR="00CE32FB" w:rsidRPr="00644FC4" w:rsidRDefault="00CE32FB" w:rsidP="00CE32FB">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550" w:hanging="550"/>
        <w:rPr>
          <w:rStyle w:val="SubtleEmphasis"/>
          <w:color w:val="auto"/>
          <w:sz w:val="20"/>
        </w:rPr>
      </w:pPr>
      <w:r w:rsidRPr="00644FC4">
        <w:rPr>
          <w:rStyle w:val="SubtleEmphasis"/>
          <w:color w:val="auto"/>
          <w:sz w:val="20"/>
        </w:rPr>
        <w:t>From 1 September 2005</w:t>
      </w:r>
    </w:p>
    <w:p w14:paraId="0F4AF72D"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t>-</w:t>
      </w:r>
      <w:r w:rsidRPr="00644FC4">
        <w:rPr>
          <w:rStyle w:val="SubtleEmphasis"/>
          <w:color w:val="auto"/>
          <w:sz w:val="20"/>
        </w:rPr>
        <w:tab/>
        <w:t xml:space="preserve">all new woodburners installed on properties less than 2 hectares in size that </w:t>
      </w:r>
      <w:r w:rsidRPr="00644FC4">
        <w:rPr>
          <w:rStyle w:val="SubtleEmphasis"/>
          <w:b/>
          <w:color w:val="auto"/>
          <w:sz w:val="20"/>
        </w:rPr>
        <w:t>do not meet</w:t>
      </w:r>
      <w:r w:rsidRPr="00644FC4">
        <w:rPr>
          <w:rStyle w:val="SubtleEmphasis"/>
          <w:color w:val="auto"/>
          <w:sz w:val="20"/>
        </w:rPr>
        <w:t xml:space="preserve"> the</w:t>
      </w:r>
    </w:p>
    <w:p w14:paraId="49F926D4"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r>
      <w:r w:rsidRPr="00644FC4">
        <w:rPr>
          <w:rStyle w:val="SubtleEmphasis"/>
          <w:color w:val="auto"/>
          <w:sz w:val="20"/>
        </w:rPr>
        <w:tab/>
        <w:t>woodburner standards (thermal efficiency of 65% or more and a particle emission rate of</w:t>
      </w:r>
    </w:p>
    <w:p w14:paraId="765376AB"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r>
      <w:r w:rsidRPr="00644FC4">
        <w:rPr>
          <w:rStyle w:val="SubtleEmphasis"/>
          <w:color w:val="auto"/>
          <w:sz w:val="20"/>
        </w:rPr>
        <w:tab/>
        <w:t>less than 1.5 g/kg) are prohibited</w:t>
      </w:r>
    </w:p>
    <w:p w14:paraId="7AFC6E49"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t>-</w:t>
      </w:r>
      <w:r w:rsidRPr="00644FC4">
        <w:rPr>
          <w:rStyle w:val="SubtleEmphasis"/>
          <w:color w:val="auto"/>
          <w:sz w:val="20"/>
        </w:rPr>
        <w:tab/>
        <w:t xml:space="preserve">all new woodburners installed on properties less than 2 hectares in size that </w:t>
      </w:r>
      <w:r w:rsidRPr="00644FC4">
        <w:rPr>
          <w:rStyle w:val="SubtleEmphasis"/>
          <w:b/>
          <w:color w:val="auto"/>
          <w:sz w:val="20"/>
        </w:rPr>
        <w:t>do meet</w:t>
      </w:r>
      <w:r w:rsidRPr="00644FC4">
        <w:rPr>
          <w:rStyle w:val="SubtleEmphasis"/>
          <w:color w:val="auto"/>
          <w:sz w:val="20"/>
        </w:rPr>
        <w:t xml:space="preserve"> the</w:t>
      </w:r>
    </w:p>
    <w:p w14:paraId="411FE393"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r>
      <w:r w:rsidRPr="00644FC4">
        <w:rPr>
          <w:rStyle w:val="SubtleEmphasis"/>
          <w:color w:val="auto"/>
          <w:sz w:val="20"/>
        </w:rPr>
        <w:tab/>
        <w:t>woodburner standards (thermal efficiency of 65% or more and a particle emission rate of</w:t>
      </w:r>
    </w:p>
    <w:p w14:paraId="7F6A5E62"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r>
      <w:r w:rsidRPr="00644FC4">
        <w:rPr>
          <w:rStyle w:val="SubtleEmphasis"/>
          <w:color w:val="auto"/>
          <w:sz w:val="20"/>
        </w:rPr>
        <w:tab/>
        <w:t>less than 1.5 g/kg) require a discretionary consent</w:t>
      </w:r>
    </w:p>
    <w:p w14:paraId="2EB3C998"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t>-</w:t>
      </w:r>
      <w:r w:rsidRPr="00644FC4">
        <w:rPr>
          <w:rStyle w:val="SubtleEmphasis"/>
          <w:color w:val="auto"/>
          <w:sz w:val="20"/>
        </w:rPr>
        <w:tab/>
        <w:t>all new woodburners installed on properties greater than 2 hectares in size require</w:t>
      </w:r>
    </w:p>
    <w:p w14:paraId="42498697"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644FC4">
        <w:rPr>
          <w:rStyle w:val="SubtleEmphasis"/>
          <w:color w:val="auto"/>
          <w:sz w:val="20"/>
        </w:rPr>
        <w:tab/>
      </w:r>
      <w:r w:rsidRPr="00644FC4">
        <w:rPr>
          <w:rStyle w:val="SubtleEmphasis"/>
          <w:color w:val="auto"/>
          <w:sz w:val="20"/>
        </w:rPr>
        <w:tab/>
        <w:t>a discretionary consent</w:t>
      </w:r>
    </w:p>
    <w:p w14:paraId="19BD1571" w14:textId="77777777" w:rsidR="00CE32FB" w:rsidRPr="00644FC4" w:rsidRDefault="00CE32FB" w:rsidP="00CE32FB">
      <w:pPr>
        <w:pBdr>
          <w:top w:val="single" w:sz="4" w:space="1" w:color="auto"/>
          <w:left w:val="single" w:sz="4" w:space="4" w:color="auto"/>
          <w:bottom w:val="single" w:sz="4" w:space="1" w:color="auto"/>
          <w:right w:val="single" w:sz="4" w:space="4" w:color="auto"/>
        </w:pBdr>
        <w:tabs>
          <w:tab w:val="left" w:pos="284"/>
          <w:tab w:val="left" w:pos="567"/>
        </w:tabs>
        <w:ind w:left="284" w:hanging="284"/>
        <w:rPr>
          <w:rStyle w:val="SubtleEmphasis"/>
          <w:color w:val="auto"/>
          <w:sz w:val="20"/>
        </w:rPr>
      </w:pPr>
      <w:r w:rsidRPr="00644FC4">
        <w:rPr>
          <w:rStyle w:val="SubtleEmphasis"/>
          <w:color w:val="auto"/>
          <w:sz w:val="20"/>
        </w:rPr>
        <w:tab/>
        <w:t>-</w:t>
      </w:r>
      <w:r w:rsidRPr="00644FC4">
        <w:rPr>
          <w:rStyle w:val="SubtleEmphasis"/>
          <w:color w:val="auto"/>
          <w:sz w:val="20"/>
        </w:rPr>
        <w:tab/>
        <w:t xml:space="preserve">the </w:t>
      </w:r>
      <w:r w:rsidR="00644FC4">
        <w:rPr>
          <w:rStyle w:val="SubtleEmphasis"/>
          <w:color w:val="auto"/>
          <w:sz w:val="20"/>
        </w:rPr>
        <w:t xml:space="preserve">Kōhūhū </w:t>
      </w:r>
      <w:r w:rsidRPr="00644FC4">
        <w:rPr>
          <w:rStyle w:val="SubtleEmphasis"/>
          <w:color w:val="auto"/>
          <w:sz w:val="20"/>
        </w:rPr>
        <w:t>Regional Council Air Plan must be amended to reflect the above.</w:t>
      </w:r>
    </w:p>
    <w:p w14:paraId="05EC4794" w14:textId="77777777" w:rsidR="00CD6357" w:rsidRDefault="00CD6357" w:rsidP="0090025D"/>
    <w:p w14:paraId="54829CBB" w14:textId="77777777" w:rsidR="00AD10EA" w:rsidRDefault="00AD10EA" w:rsidP="0090025D">
      <w:pPr>
        <w:pStyle w:val="Heading2"/>
      </w:pPr>
      <w:bookmarkStart w:id="178" w:name="_Toc300856626"/>
      <w:r>
        <w:t>5.</w:t>
      </w:r>
      <w:r w:rsidR="006E6057">
        <w:t>3</w:t>
      </w:r>
      <w:r>
        <w:tab/>
      </w:r>
      <w:r w:rsidR="00E0725A">
        <w:t>Solid</w:t>
      </w:r>
      <w:r w:rsidR="001703DB">
        <w:t>-fuel burning o</w:t>
      </w:r>
      <w:r>
        <w:t xml:space="preserve">pen </w:t>
      </w:r>
      <w:r w:rsidR="001703DB">
        <w:t>f</w:t>
      </w:r>
      <w:r>
        <w:t>ires</w:t>
      </w:r>
      <w:bookmarkEnd w:id="178"/>
    </w:p>
    <w:p w14:paraId="31C392F8" w14:textId="77777777" w:rsidR="00464773" w:rsidRDefault="00464773" w:rsidP="0090025D">
      <w:pPr>
        <w:pStyle w:val="Heading3"/>
      </w:pPr>
      <w:r>
        <w:t>5.</w:t>
      </w:r>
      <w:r w:rsidR="006E6057">
        <w:t>3</w:t>
      </w:r>
      <w:r>
        <w:t>.1</w:t>
      </w:r>
      <w:r>
        <w:tab/>
        <w:t>What is the open fire ban?</w:t>
      </w:r>
    </w:p>
    <w:p w14:paraId="36E9F030" w14:textId="77777777" w:rsidR="00067C59" w:rsidRPr="001703DB" w:rsidRDefault="00067C59" w:rsidP="0090025D">
      <w:r w:rsidRPr="001703DB">
        <w:t xml:space="preserve">Regulation 24A has been introduced to </w:t>
      </w:r>
      <w:r w:rsidR="00F60F76">
        <w:t>prohibit</w:t>
      </w:r>
      <w:r w:rsidR="0008331B">
        <w:t xml:space="preserve"> discharge</w:t>
      </w:r>
      <w:r w:rsidR="00F60F76">
        <w:t>s</w:t>
      </w:r>
      <w:r w:rsidR="0008331B">
        <w:t xml:space="preserve"> of PM</w:t>
      </w:r>
      <w:r w:rsidR="0008331B" w:rsidRPr="0008331B">
        <w:rPr>
          <w:vertAlign w:val="subscript"/>
        </w:rPr>
        <w:t>10</w:t>
      </w:r>
      <w:r w:rsidRPr="001703DB">
        <w:t xml:space="preserve"> from</w:t>
      </w:r>
      <w:r w:rsidR="008D3E65">
        <w:t xml:space="preserve"> new</w:t>
      </w:r>
      <w:r w:rsidRPr="001703DB">
        <w:t xml:space="preserve"> </w:t>
      </w:r>
      <w:r w:rsidR="00F60F76">
        <w:t xml:space="preserve">solid-fuel burning </w:t>
      </w:r>
      <w:r w:rsidRPr="001703DB">
        <w:t>open fires in airsheds</w:t>
      </w:r>
      <w:r w:rsidR="00464773">
        <w:t xml:space="preserve"> that breach the ambient PM</w:t>
      </w:r>
      <w:r w:rsidR="00464773" w:rsidRPr="00464773">
        <w:rPr>
          <w:vertAlign w:val="subscript"/>
        </w:rPr>
        <w:t>10</w:t>
      </w:r>
      <w:r w:rsidR="00464773">
        <w:t xml:space="preserve"> standard</w:t>
      </w:r>
      <w:r w:rsidR="00B10E6E">
        <w:t xml:space="preserve">. </w:t>
      </w:r>
      <w:r w:rsidR="001703DB">
        <w:t>Regulation 24A c</w:t>
      </w:r>
      <w:r w:rsidR="00AE309B">
        <w:t>ame</w:t>
      </w:r>
      <w:r w:rsidR="001703DB">
        <w:t xml:space="preserve"> into effect on 1 June 2011 and</w:t>
      </w:r>
      <w:r w:rsidRPr="001703DB">
        <w:t xml:space="preserve"> states:</w:t>
      </w:r>
    </w:p>
    <w:p w14:paraId="47B02ED7" w14:textId="77777777" w:rsidR="00ED6E85" w:rsidRDefault="00ED6E85" w:rsidP="00ED6E85">
      <w:pPr>
        <w:rPr>
          <w:highlight w:val="yellow"/>
        </w:rPr>
      </w:pPr>
    </w:p>
    <w:p w14:paraId="4D01B9EF" w14:textId="77777777" w:rsidR="00ED6E85" w:rsidRPr="00067C59" w:rsidRDefault="00ED6E85" w:rsidP="00ED6E85">
      <w:pPr>
        <w:ind w:left="1134" w:hanging="567"/>
        <w:rPr>
          <w:b/>
          <w:i/>
          <w:sz w:val="20"/>
        </w:rPr>
      </w:pPr>
      <w:r w:rsidRPr="00067C59">
        <w:rPr>
          <w:b/>
          <w:i/>
          <w:sz w:val="20"/>
        </w:rPr>
        <w:t>24A</w:t>
      </w:r>
      <w:r w:rsidRPr="00067C59">
        <w:rPr>
          <w:b/>
          <w:i/>
          <w:sz w:val="20"/>
        </w:rPr>
        <w:tab/>
        <w:t>Discharge from certain open fires prohibited</w:t>
      </w:r>
    </w:p>
    <w:p w14:paraId="5646D8C5" w14:textId="77777777" w:rsidR="00ED6E85" w:rsidRPr="00067C59" w:rsidRDefault="00ED6E85" w:rsidP="00ED6E85">
      <w:pPr>
        <w:ind w:left="1134" w:hanging="567"/>
        <w:rPr>
          <w:i/>
          <w:sz w:val="20"/>
        </w:rPr>
      </w:pPr>
      <w:r>
        <w:rPr>
          <w:i/>
          <w:sz w:val="20"/>
        </w:rPr>
        <w:t>(1)</w:t>
      </w:r>
      <w:r>
        <w:rPr>
          <w:i/>
          <w:sz w:val="20"/>
        </w:rPr>
        <w:tab/>
      </w:r>
      <w:r w:rsidRPr="00067C59">
        <w:rPr>
          <w:i/>
          <w:sz w:val="20"/>
        </w:rPr>
        <w:t>A regional council must give public notice the first time that the PM</w:t>
      </w:r>
      <w:r w:rsidRPr="00067C59">
        <w:rPr>
          <w:i/>
          <w:sz w:val="20"/>
          <w:vertAlign w:val="subscript"/>
        </w:rPr>
        <w:t>10</w:t>
      </w:r>
      <w:r w:rsidRPr="00067C59">
        <w:rPr>
          <w:i/>
          <w:sz w:val="20"/>
        </w:rPr>
        <w:t xml:space="preserve"> standard is breached in an airshed in its region on or after 1 September 2011.</w:t>
      </w:r>
    </w:p>
    <w:p w14:paraId="76F6DA53" w14:textId="77777777" w:rsidR="00ED6E85" w:rsidRPr="00067C59" w:rsidRDefault="00ED6E85" w:rsidP="00ED6E85">
      <w:pPr>
        <w:ind w:left="1134" w:hanging="567"/>
        <w:rPr>
          <w:i/>
          <w:sz w:val="20"/>
        </w:rPr>
      </w:pPr>
      <w:r>
        <w:rPr>
          <w:i/>
          <w:sz w:val="20"/>
        </w:rPr>
        <w:t>(2)</w:t>
      </w:r>
      <w:r>
        <w:rPr>
          <w:i/>
          <w:sz w:val="20"/>
        </w:rPr>
        <w:tab/>
        <w:t xml:space="preserve">The public notice must – </w:t>
      </w:r>
    </w:p>
    <w:p w14:paraId="77229D68" w14:textId="77777777" w:rsidR="00ED6E85" w:rsidRPr="00067C59" w:rsidRDefault="00ED6E85" w:rsidP="00ED6E85">
      <w:pPr>
        <w:ind w:left="1701" w:hanging="567"/>
        <w:rPr>
          <w:i/>
          <w:sz w:val="20"/>
        </w:rPr>
      </w:pPr>
      <w:r w:rsidRPr="00067C59">
        <w:rPr>
          <w:i/>
          <w:sz w:val="20"/>
        </w:rPr>
        <w:t>(a)</w:t>
      </w:r>
      <w:r w:rsidRPr="00067C59">
        <w:rPr>
          <w:i/>
          <w:sz w:val="20"/>
        </w:rPr>
        <w:tab/>
        <w:t>state that subclauses (3) and (4) of this regulation will prohibit the discharge of particles from domestic solid-fuel burning open fires installed in the relevant area on or after a certain date (the date of the ban); and</w:t>
      </w:r>
    </w:p>
    <w:p w14:paraId="05FD9758" w14:textId="77777777" w:rsidR="00ED6E85" w:rsidRPr="00067C59" w:rsidRDefault="00ED6E85" w:rsidP="00ED6E85">
      <w:pPr>
        <w:ind w:left="1701" w:hanging="567"/>
        <w:rPr>
          <w:i/>
          <w:sz w:val="20"/>
        </w:rPr>
      </w:pPr>
      <w:r w:rsidRPr="00067C59">
        <w:rPr>
          <w:i/>
          <w:sz w:val="20"/>
        </w:rPr>
        <w:t>(b)</w:t>
      </w:r>
      <w:r w:rsidRPr="00067C59">
        <w:rPr>
          <w:i/>
          <w:sz w:val="20"/>
        </w:rPr>
        <w:tab/>
        <w:t>specify as the date of the ban the day that is 12 months after the day of the breach; and</w:t>
      </w:r>
    </w:p>
    <w:p w14:paraId="6CA3C87C" w14:textId="77777777" w:rsidR="00ED6E85" w:rsidRPr="00067C59" w:rsidRDefault="00ED6E85" w:rsidP="00ED6E85">
      <w:pPr>
        <w:ind w:left="1701" w:hanging="567"/>
        <w:rPr>
          <w:i/>
          <w:sz w:val="20"/>
        </w:rPr>
      </w:pPr>
      <w:r w:rsidRPr="00067C59">
        <w:rPr>
          <w:i/>
          <w:sz w:val="20"/>
        </w:rPr>
        <w:t>(c)</w:t>
      </w:r>
      <w:r w:rsidRPr="00067C59">
        <w:rPr>
          <w:i/>
          <w:sz w:val="20"/>
        </w:rPr>
        <w:tab/>
        <w:t>specify the airshed whose area the notice applies to; and</w:t>
      </w:r>
    </w:p>
    <w:p w14:paraId="624F1BC1" w14:textId="77777777" w:rsidR="00ED6E85" w:rsidRPr="00067C59" w:rsidRDefault="00ED6E85" w:rsidP="00ED6E85">
      <w:pPr>
        <w:ind w:left="1701" w:hanging="567"/>
        <w:rPr>
          <w:i/>
          <w:sz w:val="20"/>
        </w:rPr>
      </w:pPr>
      <w:r w:rsidRPr="00067C59">
        <w:rPr>
          <w:i/>
          <w:sz w:val="20"/>
        </w:rPr>
        <w:t>(d)</w:t>
      </w:r>
      <w:r w:rsidRPr="00067C59">
        <w:rPr>
          <w:i/>
          <w:sz w:val="20"/>
        </w:rPr>
        <w:tab/>
        <w:t>be given at least 6 months before the date of the ban; and</w:t>
      </w:r>
    </w:p>
    <w:p w14:paraId="0FE8ABBC" w14:textId="77777777" w:rsidR="00ED6E85" w:rsidRPr="00067C59" w:rsidRDefault="00ED6E85" w:rsidP="00ED6E85">
      <w:pPr>
        <w:ind w:left="1701" w:hanging="567"/>
        <w:rPr>
          <w:i/>
          <w:sz w:val="20"/>
        </w:rPr>
      </w:pPr>
      <w:r w:rsidRPr="00067C59">
        <w:rPr>
          <w:i/>
          <w:sz w:val="20"/>
        </w:rPr>
        <w:t>(e)</w:t>
      </w:r>
      <w:r w:rsidRPr="00067C59">
        <w:rPr>
          <w:i/>
          <w:sz w:val="20"/>
        </w:rPr>
        <w:tab/>
        <w:t>be given in accordance with the Act.</w:t>
      </w:r>
    </w:p>
    <w:p w14:paraId="6C10FEFF" w14:textId="77777777" w:rsidR="00ED6E85" w:rsidRPr="00067C59" w:rsidRDefault="00ED6E85" w:rsidP="00ED6E85">
      <w:pPr>
        <w:ind w:left="1163" w:hanging="596"/>
        <w:rPr>
          <w:i/>
          <w:sz w:val="20"/>
        </w:rPr>
      </w:pPr>
      <w:r w:rsidRPr="00067C59">
        <w:rPr>
          <w:i/>
          <w:sz w:val="20"/>
        </w:rPr>
        <w:t>(3)</w:t>
      </w:r>
      <w:r w:rsidRPr="00067C59">
        <w:rPr>
          <w:i/>
          <w:sz w:val="20"/>
        </w:rPr>
        <w:tab/>
        <w:t>Subclause (4) applies to a domestic solid-fuel burning open fire that is installed in the area of an airshed specified in a notice under subclause (2) on or after the date of the ban specified in the notice.</w:t>
      </w:r>
    </w:p>
    <w:p w14:paraId="63136336" w14:textId="77777777" w:rsidR="00ED6E85" w:rsidRPr="00067C59" w:rsidRDefault="00ED6E85" w:rsidP="00ED6E85">
      <w:pPr>
        <w:ind w:left="1134" w:hanging="567"/>
        <w:rPr>
          <w:i/>
          <w:sz w:val="20"/>
        </w:rPr>
      </w:pPr>
      <w:r w:rsidRPr="00067C59">
        <w:rPr>
          <w:i/>
          <w:sz w:val="20"/>
        </w:rPr>
        <w:t>(4)</w:t>
      </w:r>
      <w:r w:rsidRPr="00067C59">
        <w:rPr>
          <w:i/>
          <w:sz w:val="20"/>
        </w:rPr>
        <w:tab/>
        <w:t>The discharge of particles into any airshed from the open fire is prohibited.</w:t>
      </w:r>
    </w:p>
    <w:p w14:paraId="79D20214" w14:textId="77777777" w:rsidR="00ED6E85" w:rsidRPr="00067C59" w:rsidRDefault="00ED6E85" w:rsidP="00ED6E85">
      <w:pPr>
        <w:ind w:left="1134" w:hanging="567"/>
        <w:rPr>
          <w:i/>
          <w:sz w:val="20"/>
        </w:rPr>
      </w:pPr>
      <w:r w:rsidRPr="00067C59">
        <w:rPr>
          <w:i/>
          <w:sz w:val="20"/>
        </w:rPr>
        <w:t>(5)</w:t>
      </w:r>
      <w:r>
        <w:rPr>
          <w:i/>
          <w:sz w:val="20"/>
        </w:rPr>
        <w:tab/>
      </w:r>
      <w:r w:rsidRPr="00067C59">
        <w:rPr>
          <w:i/>
          <w:sz w:val="20"/>
        </w:rPr>
        <w:t xml:space="preserve">For </w:t>
      </w:r>
      <w:r>
        <w:rPr>
          <w:i/>
          <w:sz w:val="20"/>
        </w:rPr>
        <w:t>the purposes of this regulation, -</w:t>
      </w:r>
    </w:p>
    <w:p w14:paraId="08A6B5F3" w14:textId="77777777" w:rsidR="00ED6E85" w:rsidRPr="00067C59" w:rsidRDefault="00ED6E85" w:rsidP="00ED6E85">
      <w:pPr>
        <w:ind w:left="1701" w:hanging="538"/>
        <w:rPr>
          <w:i/>
          <w:sz w:val="20"/>
        </w:rPr>
      </w:pPr>
      <w:r w:rsidRPr="00067C59">
        <w:rPr>
          <w:i/>
          <w:sz w:val="20"/>
        </w:rPr>
        <w:t>(a)</w:t>
      </w:r>
      <w:r w:rsidRPr="00067C59">
        <w:rPr>
          <w:i/>
          <w:sz w:val="20"/>
        </w:rPr>
        <w:tab/>
        <w:t>the area of an airshed is determined at the date of the related breach of the PM</w:t>
      </w:r>
      <w:r w:rsidRPr="00067C59">
        <w:rPr>
          <w:i/>
          <w:sz w:val="20"/>
          <w:vertAlign w:val="subscript"/>
        </w:rPr>
        <w:t>10</w:t>
      </w:r>
      <w:r w:rsidRPr="00067C59">
        <w:rPr>
          <w:i/>
          <w:sz w:val="20"/>
        </w:rPr>
        <w:t xml:space="preserve"> standard; and</w:t>
      </w:r>
    </w:p>
    <w:p w14:paraId="7E9EE857" w14:textId="77777777" w:rsidR="00ED6E85" w:rsidRPr="001703DB" w:rsidRDefault="00ED6E85" w:rsidP="00ED6E85">
      <w:pPr>
        <w:ind w:left="1701" w:hanging="538"/>
        <w:rPr>
          <w:i/>
          <w:sz w:val="20"/>
        </w:rPr>
      </w:pPr>
      <w:r w:rsidRPr="001703DB">
        <w:rPr>
          <w:i/>
          <w:sz w:val="20"/>
        </w:rPr>
        <w:t>(b)</w:t>
      </w:r>
      <w:r w:rsidRPr="001703DB">
        <w:rPr>
          <w:i/>
          <w:sz w:val="20"/>
        </w:rPr>
        <w:tab/>
        <w:t>once subclauses (3) and (4) apply to an area they always apply to the area, despite the establishment of any new airshed by notice in the Gazette.</w:t>
      </w:r>
    </w:p>
    <w:p w14:paraId="3144533C" w14:textId="77777777" w:rsidR="00ED6E85" w:rsidRPr="001703DB" w:rsidRDefault="00ED6E85" w:rsidP="00ED6E85">
      <w:pPr>
        <w:ind w:left="1134" w:hanging="567"/>
        <w:rPr>
          <w:i/>
          <w:sz w:val="20"/>
        </w:rPr>
      </w:pPr>
      <w:r w:rsidRPr="001703DB">
        <w:rPr>
          <w:i/>
          <w:sz w:val="20"/>
        </w:rPr>
        <w:t>(6)</w:t>
      </w:r>
      <w:r w:rsidRPr="001703DB">
        <w:rPr>
          <w:i/>
          <w:sz w:val="20"/>
        </w:rPr>
        <w:tab/>
        <w:t xml:space="preserve">In this regulation, </w:t>
      </w:r>
      <w:r w:rsidRPr="001703DB">
        <w:rPr>
          <w:b/>
          <w:i/>
          <w:sz w:val="20"/>
        </w:rPr>
        <w:t>domestic solid-fuel burning open fir</w:t>
      </w:r>
      <w:r>
        <w:rPr>
          <w:b/>
          <w:i/>
          <w:sz w:val="20"/>
        </w:rPr>
        <w:t>e</w:t>
      </w:r>
      <w:r>
        <w:rPr>
          <w:i/>
          <w:sz w:val="20"/>
        </w:rPr>
        <w:t xml:space="preserve"> – </w:t>
      </w:r>
    </w:p>
    <w:p w14:paraId="2539E191" w14:textId="77777777" w:rsidR="00ED6E85" w:rsidRPr="001703DB" w:rsidRDefault="00ED6E85" w:rsidP="00ED6E85">
      <w:pPr>
        <w:ind w:left="1701" w:hanging="567"/>
        <w:rPr>
          <w:i/>
          <w:sz w:val="20"/>
        </w:rPr>
      </w:pPr>
      <w:r w:rsidRPr="001703DB">
        <w:rPr>
          <w:i/>
          <w:sz w:val="20"/>
        </w:rPr>
        <w:t>(a)</w:t>
      </w:r>
      <w:r w:rsidRPr="001703DB">
        <w:rPr>
          <w:i/>
          <w:sz w:val="20"/>
        </w:rPr>
        <w:tab/>
        <w:t>means an appliance or a structure inside a domestic building that can burn solid fuel but cannot effectively control the rate of air supply to the combustion zone; and</w:t>
      </w:r>
    </w:p>
    <w:p w14:paraId="388F3711" w14:textId="77777777" w:rsidR="00ED6E85" w:rsidRPr="001703DB" w:rsidRDefault="00ED6E85" w:rsidP="00ED6E85">
      <w:pPr>
        <w:ind w:left="1701" w:hanging="567"/>
        <w:rPr>
          <w:i/>
          <w:sz w:val="20"/>
        </w:rPr>
      </w:pPr>
      <w:r w:rsidRPr="001703DB">
        <w:rPr>
          <w:i/>
          <w:sz w:val="20"/>
        </w:rPr>
        <w:t>(b)</w:t>
      </w:r>
      <w:r w:rsidRPr="001703DB">
        <w:rPr>
          <w:i/>
          <w:sz w:val="20"/>
        </w:rPr>
        <w:tab/>
        <w:t>to avoid doubt, includes a fireplace to which paragraph (a) applies that has a cover or doors that cannot effectively control the rate of air supply to the combustion zone.</w:t>
      </w:r>
    </w:p>
    <w:p w14:paraId="69405446" w14:textId="77777777" w:rsidR="00ED6E85" w:rsidRPr="0008331B" w:rsidRDefault="00ED6E85" w:rsidP="00ED6E85">
      <w:pPr>
        <w:pBdr>
          <w:bottom w:val="single" w:sz="4" w:space="1" w:color="auto"/>
        </w:pBdr>
        <w:ind w:left="1701"/>
        <w:rPr>
          <w:i/>
          <w:sz w:val="20"/>
          <w:highlight w:val="yellow"/>
        </w:rPr>
      </w:pPr>
    </w:p>
    <w:p w14:paraId="63EDFE1C" w14:textId="77777777" w:rsidR="00ED6E85" w:rsidRPr="0008331B" w:rsidRDefault="00ED6E85" w:rsidP="00ED6E85">
      <w:pPr>
        <w:ind w:left="1701"/>
        <w:rPr>
          <w:b/>
          <w:i/>
          <w:sz w:val="20"/>
        </w:rPr>
      </w:pPr>
      <w:r w:rsidRPr="0008331B">
        <w:rPr>
          <w:b/>
          <w:i/>
          <w:sz w:val="20"/>
        </w:rPr>
        <w:t>Example</w:t>
      </w:r>
    </w:p>
    <w:p w14:paraId="3C3A5B9A" w14:textId="77777777" w:rsidR="00ED6E85" w:rsidRDefault="00ED6E85" w:rsidP="00ED6E85">
      <w:pPr>
        <w:ind w:left="1701"/>
        <w:rPr>
          <w:i/>
          <w:sz w:val="20"/>
        </w:rPr>
      </w:pPr>
      <w:r w:rsidRPr="0008331B">
        <w:rPr>
          <w:i/>
          <w:sz w:val="20"/>
        </w:rPr>
        <w:t>The PM</w:t>
      </w:r>
      <w:r w:rsidRPr="0008331B">
        <w:rPr>
          <w:i/>
          <w:sz w:val="20"/>
          <w:vertAlign w:val="subscript"/>
        </w:rPr>
        <w:t>10</w:t>
      </w:r>
      <w:r w:rsidRPr="0008331B">
        <w:rPr>
          <w:i/>
          <w:sz w:val="20"/>
        </w:rPr>
        <w:t xml:space="preserve"> standard is breached in a regional council’s airshed on 18 April 2013.  It was not breached from 1 September 2011 until then.</w:t>
      </w:r>
      <w:r>
        <w:rPr>
          <w:i/>
          <w:sz w:val="20"/>
        </w:rPr>
        <w:t xml:space="preserve"> That is to say, since 1/9/11 there has been one or less exceedances in each rolling 12 month period, until on 18 April 2013 a second exceedance occurs within 12 months of the last.</w:t>
      </w:r>
    </w:p>
    <w:p w14:paraId="25D8FE36" w14:textId="77777777" w:rsidR="00ED6E85" w:rsidRPr="0008331B" w:rsidRDefault="00ED6E85" w:rsidP="00ED6E85">
      <w:pPr>
        <w:ind w:left="1701"/>
        <w:rPr>
          <w:i/>
          <w:sz w:val="20"/>
        </w:rPr>
      </w:pPr>
    </w:p>
    <w:p w14:paraId="109D1A3D" w14:textId="77777777" w:rsidR="00ED6E85" w:rsidRDefault="00ED6E85" w:rsidP="00ED6E85">
      <w:pPr>
        <w:ind w:left="1701"/>
        <w:rPr>
          <w:i/>
          <w:sz w:val="20"/>
        </w:rPr>
      </w:pPr>
      <w:r w:rsidRPr="0008331B">
        <w:rPr>
          <w:i/>
          <w:sz w:val="20"/>
        </w:rPr>
        <w:t>The council must give at least 6 months’ public notice that regulation 24A(3) and (4) will prohibit the discharge of particles from domestic solid-fuel burning open fires installed in the area of the airshed on or after 18 April 2014.  The prohibition takes effect accordingly.</w:t>
      </w:r>
    </w:p>
    <w:p w14:paraId="7604479C" w14:textId="77777777" w:rsidR="00ED6E85" w:rsidRDefault="00ED6E85" w:rsidP="00ED6E85">
      <w:pPr>
        <w:ind w:left="1701"/>
        <w:rPr>
          <w:i/>
          <w:sz w:val="20"/>
        </w:rPr>
      </w:pPr>
    </w:p>
    <w:p w14:paraId="1D3C2762" w14:textId="77777777" w:rsidR="00ED6E85" w:rsidRPr="0008331B" w:rsidRDefault="00ED6E85" w:rsidP="00ED6E85">
      <w:pPr>
        <w:ind w:left="1701"/>
        <w:rPr>
          <w:sz w:val="20"/>
        </w:rPr>
      </w:pPr>
      <w:r w:rsidRPr="0027213A">
        <w:rPr>
          <w:sz w:val="20"/>
        </w:rPr>
        <w:t>Note</w:t>
      </w:r>
      <w:r>
        <w:rPr>
          <w:i/>
          <w:sz w:val="20"/>
        </w:rPr>
        <w:t>: Regulation 16 – public notification of a breach, also applies to this event.</w:t>
      </w:r>
    </w:p>
    <w:p w14:paraId="27BF89E2" w14:textId="77777777" w:rsidR="00ED6E85" w:rsidRDefault="00ED6E85" w:rsidP="00ED6E85">
      <w:pPr>
        <w:pBdr>
          <w:top w:val="single" w:sz="4" w:space="1" w:color="auto"/>
        </w:pBdr>
        <w:ind w:left="1701"/>
      </w:pPr>
    </w:p>
    <w:p w14:paraId="7A196E2D" w14:textId="77777777" w:rsidR="00F60F76" w:rsidRPr="0008331B" w:rsidRDefault="00F60F76" w:rsidP="0090025D">
      <w:r>
        <w:t>The intent of Regulation 24A is to ‘close the back door’ on new pollution sources in areas that are already over the ambient PM</w:t>
      </w:r>
      <w:r w:rsidRPr="00F60F76">
        <w:rPr>
          <w:vertAlign w:val="subscript"/>
        </w:rPr>
        <w:t>10</w:t>
      </w:r>
      <w:r>
        <w:t xml:space="preserve"> standard. This is because solid-fuel burning open fires are disproportionate polluters and a very inefficient form of heating.</w:t>
      </w:r>
    </w:p>
    <w:p w14:paraId="3CA4B4B3" w14:textId="77777777" w:rsidR="001703DB" w:rsidRDefault="00FE1BFB" w:rsidP="0090025D">
      <w:pPr>
        <w:pStyle w:val="Heading3"/>
      </w:pPr>
      <w:r>
        <w:t>5.</w:t>
      </w:r>
      <w:r w:rsidR="006E6057">
        <w:t>3</w:t>
      </w:r>
      <w:r>
        <w:t>.2</w:t>
      </w:r>
      <w:r w:rsidR="005E2706">
        <w:tab/>
      </w:r>
      <w:r w:rsidR="00AA6240">
        <w:t xml:space="preserve">What </w:t>
      </w:r>
      <w:r w:rsidR="00464773">
        <w:t>do</w:t>
      </w:r>
      <w:r>
        <w:t>es</w:t>
      </w:r>
      <w:r w:rsidR="00BC34FD">
        <w:t xml:space="preserve"> the open fire</w:t>
      </w:r>
      <w:r w:rsidR="001703DB">
        <w:t xml:space="preserve"> </w:t>
      </w:r>
      <w:r>
        <w:t>ban</w:t>
      </w:r>
      <w:r w:rsidR="00316C5D">
        <w:t xml:space="preserve"> </w:t>
      </w:r>
      <w:r w:rsidR="001703DB">
        <w:t>apply to?</w:t>
      </w:r>
    </w:p>
    <w:p w14:paraId="15B516B7" w14:textId="77777777" w:rsidR="00FE1BFB" w:rsidRDefault="00365645" w:rsidP="0090025D">
      <w:r>
        <w:t xml:space="preserve">The </w:t>
      </w:r>
      <w:r w:rsidR="000562CA">
        <w:t xml:space="preserve">Regulations </w:t>
      </w:r>
      <w:r w:rsidR="000562CA">
        <w:rPr>
          <w:b/>
        </w:rPr>
        <w:t>apply</w:t>
      </w:r>
      <w:r>
        <w:t xml:space="preserve"> to </w:t>
      </w:r>
      <w:r w:rsidR="003E2E14">
        <w:t xml:space="preserve">discharges from </w:t>
      </w:r>
      <w:r>
        <w:t>n</w:t>
      </w:r>
      <w:r w:rsidR="00316C5D">
        <w:t>ew open fires</w:t>
      </w:r>
      <w:r>
        <w:t xml:space="preserve"> installed from the date the</w:t>
      </w:r>
      <w:r w:rsidR="00751D0E">
        <w:t xml:space="preserve"> </w:t>
      </w:r>
      <w:r w:rsidR="00A5503F">
        <w:t>ban commences.</w:t>
      </w:r>
      <w:r w:rsidR="00B10E6E">
        <w:t xml:space="preserve"> </w:t>
      </w:r>
      <w:r w:rsidR="000562CA">
        <w:t>They</w:t>
      </w:r>
      <w:r w:rsidR="0040462F">
        <w:t xml:space="preserve"> </w:t>
      </w:r>
      <w:r w:rsidR="0040462F" w:rsidRPr="0040462F">
        <w:rPr>
          <w:b/>
        </w:rPr>
        <w:t>do not apply</w:t>
      </w:r>
      <w:r w:rsidR="0040462F">
        <w:t xml:space="preserve"> to existing open fires.</w:t>
      </w:r>
    </w:p>
    <w:p w14:paraId="5F351C3B" w14:textId="77777777" w:rsidR="00FE1BFB" w:rsidRDefault="00FE1BFB" w:rsidP="0090025D"/>
    <w:p w14:paraId="1388F4A7" w14:textId="77777777" w:rsidR="005E2706" w:rsidRDefault="00A85B51" w:rsidP="0090025D">
      <w:r>
        <w:t xml:space="preserve">The </w:t>
      </w:r>
      <w:r w:rsidR="000562CA">
        <w:t>Regulations do</w:t>
      </w:r>
      <w:r>
        <w:t xml:space="preserve"> not apply until such time as the </w:t>
      </w:r>
      <w:r w:rsidR="00FE1BFB">
        <w:t xml:space="preserve">ambient </w:t>
      </w:r>
      <w:r>
        <w:t>PM</w:t>
      </w:r>
      <w:r w:rsidRPr="00A85B51">
        <w:rPr>
          <w:vertAlign w:val="subscript"/>
        </w:rPr>
        <w:t>10</w:t>
      </w:r>
      <w:r>
        <w:t xml:space="preserve"> standard is breached</w:t>
      </w:r>
      <w:r w:rsidR="00801FDE">
        <w:t xml:space="preserve"> </w:t>
      </w:r>
      <w:r w:rsidR="0043661E">
        <w:t xml:space="preserve">on the first occasion after 1 September 2011, </w:t>
      </w:r>
      <w:r w:rsidR="00801FDE">
        <w:t>and notice is given to the public of the impending ban</w:t>
      </w:r>
      <w:r w:rsidR="00B10E6E">
        <w:t xml:space="preserve">. </w:t>
      </w:r>
      <w:r>
        <w:t>If the PM</w:t>
      </w:r>
      <w:r w:rsidRPr="00823C89">
        <w:rPr>
          <w:vertAlign w:val="subscript"/>
        </w:rPr>
        <w:t>10</w:t>
      </w:r>
      <w:r>
        <w:t xml:space="preserve"> standard is not breached within an airshed then</w:t>
      </w:r>
      <w:r w:rsidR="0043661E">
        <w:t>, so far as the Regulations are concerned,</w:t>
      </w:r>
      <w:r>
        <w:t xml:space="preserve"> the installation of domestic solid-fuel burning open fires remains allowed.</w:t>
      </w:r>
    </w:p>
    <w:p w14:paraId="081E6FC1" w14:textId="77777777" w:rsidR="00751D0E" w:rsidRDefault="00751D0E" w:rsidP="0090025D"/>
    <w:p w14:paraId="12B204BA" w14:textId="77777777" w:rsidR="000107EF" w:rsidRDefault="000562CA" w:rsidP="0090025D">
      <w:r>
        <w:t>R</w:t>
      </w:r>
      <w:r w:rsidR="00823C89">
        <w:t>egulation</w:t>
      </w:r>
      <w:r>
        <w:t xml:space="preserve"> 24A</w:t>
      </w:r>
      <w:r w:rsidR="00823C89">
        <w:t xml:space="preserve"> </w:t>
      </w:r>
      <w:r w:rsidR="00FE1BFB">
        <w:t>applies only to s</w:t>
      </w:r>
      <w:r w:rsidR="007C57E7">
        <w:t>olid-fuel</w:t>
      </w:r>
      <w:r w:rsidR="00FE1BFB">
        <w:t xml:space="preserve"> burning</w:t>
      </w:r>
      <w:r w:rsidR="007C57E7">
        <w:t xml:space="preserve"> fires</w:t>
      </w:r>
      <w:r w:rsidR="00FE1BFB">
        <w:t>,</w:t>
      </w:r>
      <w:r w:rsidR="007C57E7">
        <w:t xml:space="preserve"> </w:t>
      </w:r>
      <w:r w:rsidR="00FE1BFB">
        <w:t xml:space="preserve">ie, those that </w:t>
      </w:r>
      <w:r w:rsidR="007C57E7">
        <w:t>use either wood or coal</w:t>
      </w:r>
      <w:r w:rsidR="00B10E6E">
        <w:t xml:space="preserve">, or a combination of the two. </w:t>
      </w:r>
      <w:r w:rsidR="007C57E7">
        <w:t xml:space="preserve">The </w:t>
      </w:r>
      <w:r w:rsidR="002D574D">
        <w:t>Regulations</w:t>
      </w:r>
      <w:r w:rsidR="007C57E7">
        <w:t xml:space="preserve"> apply to the installation of open fires that use these fuels</w:t>
      </w:r>
      <w:r w:rsidR="0043661E">
        <w:t xml:space="preserve"> only</w:t>
      </w:r>
      <w:r w:rsidR="007C57E7">
        <w:t xml:space="preserve">. </w:t>
      </w:r>
      <w:r w:rsidR="00823C89">
        <w:t xml:space="preserve">The </w:t>
      </w:r>
      <w:r>
        <w:t xml:space="preserve">Regulation </w:t>
      </w:r>
      <w:r w:rsidR="00823C89">
        <w:t>does not affect people who have, or are look</w:t>
      </w:r>
      <w:r w:rsidR="0043661E">
        <w:t>ing to have, open fires fuelled for example by</w:t>
      </w:r>
      <w:r w:rsidR="000107EF">
        <w:t xml:space="preserve"> diesel or gas.</w:t>
      </w:r>
    </w:p>
    <w:p w14:paraId="526BFD3B" w14:textId="77777777" w:rsidR="000107EF" w:rsidRDefault="000107EF" w:rsidP="0090025D"/>
    <w:p w14:paraId="13DE99FA" w14:textId="77777777" w:rsidR="003B2CE7" w:rsidRDefault="000107EF" w:rsidP="0090025D">
      <w:r>
        <w:t>Many regional plans already have controls on the</w:t>
      </w:r>
      <w:r w:rsidR="003B2CE7">
        <w:t xml:space="preserve"> use of different fuels within </w:t>
      </w:r>
      <w:r>
        <w:t xml:space="preserve">open fires and </w:t>
      </w:r>
      <w:r w:rsidR="003B2CE7">
        <w:t>thes</w:t>
      </w:r>
      <w:r w:rsidR="00B10E6E">
        <w:t>e should be referred to.</w:t>
      </w:r>
      <w:r w:rsidR="003B2CE7">
        <w:t xml:space="preserve"> </w:t>
      </w:r>
      <w:r w:rsidR="00D71F60">
        <w:t>S</w:t>
      </w:r>
      <w:r w:rsidR="003B2CE7">
        <w:t xml:space="preserve">everal regional plans (including </w:t>
      </w:r>
      <w:r w:rsidR="003B2CE7" w:rsidRPr="00D436FB">
        <w:t xml:space="preserve">Auckland’s, Christchurch’s </w:t>
      </w:r>
      <w:r w:rsidR="00D436FB">
        <w:t>and Nelson’s</w:t>
      </w:r>
      <w:r w:rsidR="003B2CE7">
        <w:t xml:space="preserve">) prevent the burning of any solid fuel other than wood, coal or paper products: the burning of refuse, plastics and other household waste can cause significant discharges </w:t>
      </w:r>
      <w:r w:rsidR="00BC34FD">
        <w:t>of hazardous air pollutants</w:t>
      </w:r>
      <w:r w:rsidR="00B10E6E">
        <w:t xml:space="preserve">, including dioxins. </w:t>
      </w:r>
      <w:r w:rsidR="003B2CE7">
        <w:t>Regional plans may also have requirements on the quality of the wood or coal that can be used</w:t>
      </w:r>
      <w:r w:rsidR="0043661E">
        <w:t>,</w:t>
      </w:r>
      <w:r w:rsidR="003B2CE7">
        <w:t xml:space="preserve"> including suitable </w:t>
      </w:r>
      <w:r w:rsidR="00D71F60">
        <w:t>wood moisture contents</w:t>
      </w:r>
      <w:r w:rsidR="003B2CE7">
        <w:t>,</w:t>
      </w:r>
      <w:r w:rsidR="00D71F60">
        <w:t xml:space="preserve"> coal</w:t>
      </w:r>
      <w:r w:rsidR="003B2CE7">
        <w:t xml:space="preserve"> sulphur levels and the use of treated timber and</w:t>
      </w:r>
      <w:r w:rsidR="00BC34FD">
        <w:t xml:space="preserve"> marine</w:t>
      </w:r>
      <w:r w:rsidR="003B2CE7">
        <w:t xml:space="preserve"> </w:t>
      </w:r>
      <w:r w:rsidR="00BC34FD">
        <w:t>(</w:t>
      </w:r>
      <w:r w:rsidR="003B2CE7">
        <w:t>salt infused</w:t>
      </w:r>
      <w:r w:rsidR="00BC34FD">
        <w:t>)</w:t>
      </w:r>
      <w:r w:rsidR="003B2CE7">
        <w:t xml:space="preserve"> driftwood.</w:t>
      </w:r>
    </w:p>
    <w:p w14:paraId="5DC5C19E" w14:textId="77777777" w:rsidR="00A73AAD" w:rsidRDefault="00A73AAD">
      <w:pPr>
        <w:jc w:val="left"/>
        <w:rPr>
          <w:rFonts w:ascii="Arial" w:hAnsi="Arial"/>
          <w:b/>
          <w:sz w:val="28"/>
        </w:rPr>
      </w:pPr>
      <w:r>
        <w:br w:type="page"/>
      </w:r>
    </w:p>
    <w:p w14:paraId="06A1B447" w14:textId="77777777" w:rsidR="00F40097" w:rsidRDefault="00FE1BFB" w:rsidP="0090025D">
      <w:pPr>
        <w:pStyle w:val="Heading3"/>
      </w:pPr>
      <w:r>
        <w:t>5.</w:t>
      </w:r>
      <w:r w:rsidR="006E6057">
        <w:t>3</w:t>
      </w:r>
      <w:r>
        <w:t>.3</w:t>
      </w:r>
      <w:r w:rsidR="00F40097">
        <w:tab/>
        <w:t>What is a solid-fuel</w:t>
      </w:r>
      <w:r>
        <w:t xml:space="preserve"> burning</w:t>
      </w:r>
      <w:r w:rsidR="00F40097">
        <w:t xml:space="preserve"> open fire?</w:t>
      </w:r>
    </w:p>
    <w:p w14:paraId="048DAE29" w14:textId="77777777" w:rsidR="00F40097" w:rsidRDefault="00FE1BFB" w:rsidP="0090025D">
      <w:r>
        <w:t>A domestic solid-fuel burning</w:t>
      </w:r>
      <w:r w:rsidR="00F40097">
        <w:t xml:space="preserve"> open fire is defined in </w:t>
      </w:r>
      <w:r w:rsidR="00C500EF">
        <w:t>Regulation</w:t>
      </w:r>
      <w:r w:rsidR="00F40097">
        <w:t xml:space="preserve"> 24A as:</w:t>
      </w:r>
    </w:p>
    <w:p w14:paraId="4A5F0E5F" w14:textId="77777777" w:rsidR="001F0FE9" w:rsidRDefault="001F0FE9" w:rsidP="0090025D"/>
    <w:p w14:paraId="3BB7242F" w14:textId="77777777" w:rsidR="001F0FE9" w:rsidRPr="001703DB" w:rsidRDefault="001F0FE9" w:rsidP="001F0FE9">
      <w:pPr>
        <w:ind w:left="1134" w:hanging="567"/>
        <w:rPr>
          <w:i/>
          <w:sz w:val="20"/>
        </w:rPr>
      </w:pPr>
      <w:r w:rsidRPr="001703DB">
        <w:rPr>
          <w:i/>
          <w:sz w:val="20"/>
        </w:rPr>
        <w:t>(6)</w:t>
      </w:r>
      <w:r w:rsidRPr="001703DB">
        <w:rPr>
          <w:i/>
          <w:sz w:val="20"/>
        </w:rPr>
        <w:tab/>
        <w:t xml:space="preserve">In this regulation, </w:t>
      </w:r>
      <w:r w:rsidRPr="001703DB">
        <w:rPr>
          <w:b/>
          <w:i/>
          <w:sz w:val="20"/>
        </w:rPr>
        <w:t>domestic solid-fuel burning open fir</w:t>
      </w:r>
      <w:r>
        <w:rPr>
          <w:b/>
          <w:i/>
          <w:sz w:val="20"/>
        </w:rPr>
        <w:t>e</w:t>
      </w:r>
      <w:r>
        <w:rPr>
          <w:i/>
          <w:sz w:val="20"/>
        </w:rPr>
        <w:t xml:space="preserve"> – </w:t>
      </w:r>
    </w:p>
    <w:p w14:paraId="7BF3F876" w14:textId="77777777" w:rsidR="001F0FE9" w:rsidRPr="001703DB" w:rsidRDefault="001F0FE9" w:rsidP="001F0FE9">
      <w:pPr>
        <w:ind w:left="1701" w:hanging="567"/>
        <w:rPr>
          <w:i/>
          <w:sz w:val="20"/>
        </w:rPr>
      </w:pPr>
      <w:r w:rsidRPr="001703DB">
        <w:rPr>
          <w:i/>
          <w:sz w:val="20"/>
        </w:rPr>
        <w:t>(a)</w:t>
      </w:r>
      <w:r w:rsidRPr="001703DB">
        <w:rPr>
          <w:i/>
          <w:sz w:val="20"/>
        </w:rPr>
        <w:tab/>
        <w:t>means an appliance or a structure inside a domestic building that can burn solid fuel but cannot effectively control the rate of air supply to the combustion zone; and</w:t>
      </w:r>
    </w:p>
    <w:p w14:paraId="598FBB74" w14:textId="77777777" w:rsidR="001F0FE9" w:rsidRDefault="001F0FE9" w:rsidP="001F0FE9">
      <w:pPr>
        <w:ind w:left="1701" w:hanging="567"/>
      </w:pPr>
      <w:r w:rsidRPr="001703DB">
        <w:rPr>
          <w:i/>
          <w:sz w:val="20"/>
        </w:rPr>
        <w:t>(b)</w:t>
      </w:r>
      <w:r w:rsidRPr="001703DB">
        <w:rPr>
          <w:i/>
          <w:sz w:val="20"/>
        </w:rPr>
        <w:tab/>
        <w:t>to avoid doubt, includes a fireplace to which paragraph (a) applies that has a cover or doors that cannot effectively control the rate of air supply to the combustion zone</w:t>
      </w:r>
    </w:p>
    <w:p w14:paraId="7A174341" w14:textId="77777777" w:rsidR="00F40097" w:rsidRDefault="00F40097" w:rsidP="0090025D"/>
    <w:p w14:paraId="697C06F4" w14:textId="77777777" w:rsidR="00F40097" w:rsidRDefault="00FE1BFB" w:rsidP="0090025D">
      <w:r>
        <w:t>Open fires are common in older houses where they are built into the house.  More generally speaking, an open fire</w:t>
      </w:r>
      <w:r w:rsidR="00EE7E3E">
        <w:t xml:space="preserve"> </w:t>
      </w:r>
      <w:r>
        <w:t>is any</w:t>
      </w:r>
      <w:r w:rsidR="00EE7E3E">
        <w:t xml:space="preserve"> fire where the combustion chamber is not </w:t>
      </w:r>
      <w:r w:rsidR="00EE7E3E" w:rsidRPr="00FE1BFB">
        <w:rPr>
          <w:b/>
        </w:rPr>
        <w:t>totally</w:t>
      </w:r>
      <w:r w:rsidR="00EE7E3E">
        <w:t xml:space="preserve"> enclosed</w:t>
      </w:r>
      <w:r>
        <w:t>. This includes</w:t>
      </w:r>
      <w:r w:rsidR="00EE7E3E">
        <w:t xml:space="preserve"> combustion chamber</w:t>
      </w:r>
      <w:r>
        <w:t>s that are partially closed</w:t>
      </w:r>
      <w:r w:rsidR="00EE7E3E">
        <w:t xml:space="preserve"> (eg,</w:t>
      </w:r>
      <w:r>
        <w:t xml:space="preserve"> have</w:t>
      </w:r>
      <w:r w:rsidR="00EE7E3E">
        <w:t xml:space="preserve"> a door) </w:t>
      </w:r>
      <w:r>
        <w:t xml:space="preserve">and those that have </w:t>
      </w:r>
      <w:r w:rsidR="00EE7E3E">
        <w:t>limited control of the primary or secondary air supply.  Some examples of open fires are:</w:t>
      </w:r>
    </w:p>
    <w:p w14:paraId="56239FAC" w14:textId="77777777" w:rsidR="00EE7E3E" w:rsidRDefault="00FA38E0" w:rsidP="004152F8">
      <w:pPr>
        <w:pStyle w:val="Bullet"/>
        <w:numPr>
          <w:ilvl w:val="0"/>
          <w:numId w:val="14"/>
        </w:numPr>
        <w:ind w:left="357" w:hanging="357"/>
      </w:pPr>
      <w:r>
        <w:t>fireplaces</w:t>
      </w:r>
      <w:r w:rsidR="00EE7E3E">
        <w:t xml:space="preserve">, including brick or masonry </w:t>
      </w:r>
    </w:p>
    <w:p w14:paraId="2FB16BF1" w14:textId="77777777" w:rsidR="00EE7E3E" w:rsidRDefault="00FA38E0" w:rsidP="004152F8">
      <w:pPr>
        <w:pStyle w:val="Bullet"/>
        <w:numPr>
          <w:ilvl w:val="0"/>
          <w:numId w:val="14"/>
        </w:numPr>
        <w:ind w:left="357" w:hanging="357"/>
      </w:pPr>
      <w:r>
        <w:t>visors</w:t>
      </w:r>
    </w:p>
    <w:p w14:paraId="4486C9F4" w14:textId="77777777" w:rsidR="00EE7E3E" w:rsidRDefault="00FA38E0" w:rsidP="004152F8">
      <w:pPr>
        <w:pStyle w:val="Bullet"/>
        <w:numPr>
          <w:ilvl w:val="0"/>
          <w:numId w:val="14"/>
        </w:numPr>
        <w:ind w:left="357" w:hanging="357"/>
      </w:pPr>
      <w:r>
        <w:t xml:space="preserve">open </w:t>
      </w:r>
      <w:r w:rsidR="00EE7E3E">
        <w:t>hearths</w:t>
      </w:r>
    </w:p>
    <w:p w14:paraId="01FE6179" w14:textId="77777777" w:rsidR="00EE7E3E" w:rsidRDefault="00EE7E3E" w:rsidP="004152F8">
      <w:pPr>
        <w:pStyle w:val="Bullet"/>
        <w:numPr>
          <w:ilvl w:val="0"/>
          <w:numId w:val="14"/>
        </w:numPr>
        <w:ind w:left="357" w:hanging="357"/>
      </w:pPr>
      <w:r>
        <w:t>‘</w:t>
      </w:r>
      <w:r w:rsidR="00FA38E0">
        <w:t xml:space="preserve">Jetmaster’ </w:t>
      </w:r>
      <w:r>
        <w:t>fireplaces</w:t>
      </w:r>
      <w:r w:rsidR="00FA38E0">
        <w:t>.</w:t>
      </w:r>
    </w:p>
    <w:p w14:paraId="16EE0B8B" w14:textId="77777777" w:rsidR="001703DB" w:rsidRDefault="00F11E8E" w:rsidP="0090025D">
      <w:pPr>
        <w:pStyle w:val="Heading3"/>
      </w:pPr>
      <w:r>
        <w:t>5.</w:t>
      </w:r>
      <w:r w:rsidR="006E6057">
        <w:t>3</w:t>
      </w:r>
      <w:r>
        <w:t>.4</w:t>
      </w:r>
      <w:r w:rsidR="005E2706">
        <w:tab/>
      </w:r>
      <w:r w:rsidR="00FE1BFB">
        <w:t>When</w:t>
      </w:r>
      <w:r w:rsidR="001703DB">
        <w:t xml:space="preserve"> </w:t>
      </w:r>
      <w:r w:rsidR="00FE1BFB">
        <w:t>does</w:t>
      </w:r>
      <w:r w:rsidR="001703DB">
        <w:t xml:space="preserve"> the</w:t>
      </w:r>
      <w:r w:rsidR="00F75A19">
        <w:t xml:space="preserve"> </w:t>
      </w:r>
      <w:r w:rsidR="00FE1BFB">
        <w:t>open fire ban</w:t>
      </w:r>
      <w:r w:rsidR="00F75A19">
        <w:t xml:space="preserve"> </w:t>
      </w:r>
      <w:r w:rsidR="001703DB">
        <w:t>apply?</w:t>
      </w:r>
    </w:p>
    <w:p w14:paraId="453D89E5" w14:textId="77777777" w:rsidR="00FE1BFB" w:rsidRDefault="00FE1BFB" w:rsidP="0090025D">
      <w:r>
        <w:t xml:space="preserve">A period of time needs to elapse before giving effect to the ban so that people </w:t>
      </w:r>
      <w:r w:rsidR="0043661E">
        <w:t xml:space="preserve">can be made </w:t>
      </w:r>
      <w:r w:rsidR="00B10E6E">
        <w:t xml:space="preserve">aware of it coming into force. </w:t>
      </w:r>
      <w:r>
        <w:t xml:space="preserve">Accordingly, Regulation 24A provides a year for people to be aware of </w:t>
      </w:r>
      <w:r w:rsidR="0043661E">
        <w:t xml:space="preserve">and prepare for </w:t>
      </w:r>
      <w:r>
        <w:t>the ban.</w:t>
      </w:r>
      <w:r w:rsidR="00B10E6E">
        <w:t xml:space="preserve"> </w:t>
      </w:r>
      <w:r>
        <w:t>Regulation 24A applies one year after the first breach of the PM</w:t>
      </w:r>
      <w:r w:rsidRPr="00412D3E">
        <w:rPr>
          <w:vertAlign w:val="subscript"/>
        </w:rPr>
        <w:t>10</w:t>
      </w:r>
      <w:r>
        <w:t xml:space="preserve"> standard in an airshed </w:t>
      </w:r>
      <w:r w:rsidR="00412D3E">
        <w:t xml:space="preserve">that occurs </w:t>
      </w:r>
      <w:r w:rsidR="0043661E">
        <w:t>after</w:t>
      </w:r>
      <w:r w:rsidR="00412D3E">
        <w:t xml:space="preserve"> 1 September 2011.</w:t>
      </w:r>
      <w:r w:rsidR="0043661E">
        <w:t xml:space="preserve"> The public notice requirements are discussed below.</w:t>
      </w:r>
    </w:p>
    <w:p w14:paraId="64E00216" w14:textId="77777777" w:rsidR="00FE1BFB" w:rsidRDefault="00FE1BFB" w:rsidP="0090025D"/>
    <w:p w14:paraId="00BCF56A" w14:textId="77777777" w:rsidR="00802612" w:rsidRDefault="007C57E7" w:rsidP="0090025D">
      <w:r w:rsidRPr="00BC7F26">
        <w:t xml:space="preserve">Regulation 24A </w:t>
      </w:r>
      <w:r w:rsidRPr="004B0590">
        <w:rPr>
          <w:b/>
        </w:rPr>
        <w:t>applies</w:t>
      </w:r>
      <w:r w:rsidRPr="00BC7F26">
        <w:t xml:space="preserve"> in any airshed where the </w:t>
      </w:r>
      <w:r w:rsidR="003E2E14">
        <w:t xml:space="preserve">ambient </w:t>
      </w:r>
      <w:r w:rsidRPr="00BC7F26">
        <w:t>PM</w:t>
      </w:r>
      <w:r w:rsidRPr="00BC7F26">
        <w:rPr>
          <w:vertAlign w:val="subscript"/>
        </w:rPr>
        <w:t>10</w:t>
      </w:r>
      <w:r w:rsidRPr="00BC7F26">
        <w:t xml:space="preserve"> concentration threshold standard (50</w:t>
      </w:r>
      <w:r w:rsidRPr="00BC7F26">
        <w:rPr>
          <w:rFonts w:ascii="Symbol" w:hAnsi="Symbol"/>
        </w:rPr>
        <w:t></w:t>
      </w:r>
      <w:r w:rsidRPr="00BC7F26">
        <w:t>g.m</w:t>
      </w:r>
      <w:r w:rsidRPr="00BC7F26">
        <w:rPr>
          <w:vertAlign w:val="superscript"/>
        </w:rPr>
        <w:t>-3</w:t>
      </w:r>
      <w:r w:rsidRPr="00BC7F26">
        <w:t xml:space="preserve"> averaged over 24 hours) has been exceeded more than once in a</w:t>
      </w:r>
      <w:r w:rsidR="00684F98" w:rsidRPr="00BC7F26">
        <w:t xml:space="preserve"> </w:t>
      </w:r>
      <w:r w:rsidR="006730EC">
        <w:t xml:space="preserve">rolling </w:t>
      </w:r>
      <w:r w:rsidR="00684F98" w:rsidRPr="00BC7F26">
        <w:t>12-month period</w:t>
      </w:r>
      <w:r w:rsidR="00B10E6E">
        <w:t xml:space="preserve">. </w:t>
      </w:r>
      <w:r w:rsidRPr="00BC7F26">
        <w:t>As soon as a second PM</w:t>
      </w:r>
      <w:r w:rsidRPr="00BC7F26">
        <w:rPr>
          <w:vertAlign w:val="subscript"/>
        </w:rPr>
        <w:t>10</w:t>
      </w:r>
      <w:r w:rsidR="00684F98" w:rsidRPr="00BC7F26">
        <w:t xml:space="preserve"> concentration that is higher</w:t>
      </w:r>
      <w:r w:rsidRPr="00BC7F26">
        <w:t xml:space="preserve"> than 50</w:t>
      </w:r>
      <w:r w:rsidRPr="00BC7F26">
        <w:rPr>
          <w:rFonts w:ascii="Symbol" w:hAnsi="Symbol"/>
        </w:rPr>
        <w:t></w:t>
      </w:r>
      <w:r w:rsidRPr="00BC7F26">
        <w:t>g.m</w:t>
      </w:r>
      <w:r w:rsidRPr="00BC7F26">
        <w:rPr>
          <w:vertAlign w:val="superscript"/>
        </w:rPr>
        <w:t>-3</w:t>
      </w:r>
      <w:r w:rsidRPr="00BC7F26">
        <w:t xml:space="preserve"> </w:t>
      </w:r>
      <w:r w:rsidR="00684F98" w:rsidRPr="00BC7F26">
        <w:t>is measured</w:t>
      </w:r>
      <w:r w:rsidRPr="00BC7F26">
        <w:t xml:space="preserve"> </w:t>
      </w:r>
      <w:r w:rsidR="00684F98" w:rsidRPr="00BC7F26">
        <w:t>within the 12-month period</w:t>
      </w:r>
      <w:r w:rsidR="00316C5D" w:rsidRPr="00BC7F26">
        <w:t xml:space="preserve"> </w:t>
      </w:r>
      <w:r w:rsidR="00BC7F26" w:rsidRPr="00BC7F26">
        <w:t>(ie, the PM</w:t>
      </w:r>
      <w:r w:rsidR="00BC7F26" w:rsidRPr="00BC7F26">
        <w:rPr>
          <w:vertAlign w:val="subscript"/>
        </w:rPr>
        <w:t>10</w:t>
      </w:r>
      <w:r w:rsidR="00BC7F26" w:rsidRPr="00BC7F26">
        <w:t xml:space="preserve"> standard is breached)</w:t>
      </w:r>
      <w:r w:rsidR="0043661E">
        <w:t>,</w:t>
      </w:r>
      <w:r w:rsidR="00BC7F26" w:rsidRPr="00BC7F26">
        <w:t xml:space="preserve"> </w:t>
      </w:r>
      <w:r w:rsidR="00684F98" w:rsidRPr="00BC7F26">
        <w:t xml:space="preserve">then </w:t>
      </w:r>
      <w:r w:rsidR="00BC7F26" w:rsidRPr="00BC7F26">
        <w:t>the use of domestic solid-fuel burning open fires will cease</w:t>
      </w:r>
      <w:r w:rsidR="004B0590">
        <w:t xml:space="preserve"> in that airshed</w:t>
      </w:r>
      <w:r w:rsidR="00DF5540">
        <w:t xml:space="preserve"> 12 </w:t>
      </w:r>
      <w:r w:rsidR="00BC7F26" w:rsidRPr="00BC7F26">
        <w:t>months from the date of the breach</w:t>
      </w:r>
      <w:r w:rsidR="00316C5D" w:rsidRPr="00BC7F26">
        <w:t>.</w:t>
      </w:r>
      <w:r w:rsidR="000F5FDB" w:rsidRPr="000F5FDB">
        <w:t xml:space="preserve"> </w:t>
      </w:r>
    </w:p>
    <w:p w14:paraId="6C1F9ACD" w14:textId="77777777" w:rsidR="00802612" w:rsidRDefault="00802612" w:rsidP="0090025D"/>
    <w:p w14:paraId="1382ACA1" w14:textId="77777777" w:rsidR="00F23751" w:rsidRDefault="00412D3E" w:rsidP="0090025D">
      <w:r>
        <w:t>In effect therefore,</w:t>
      </w:r>
      <w:r w:rsidR="00DF5540">
        <w:t xml:space="preserve"> </w:t>
      </w:r>
      <w:r w:rsidR="00E20B4B">
        <w:t>the</w:t>
      </w:r>
      <w:r w:rsidR="00F23751">
        <w:t xml:space="preserve"> first date by which the ban could apply</w:t>
      </w:r>
      <w:r w:rsidR="00E20B4B">
        <w:t xml:space="preserve"> is 2 September 2012</w:t>
      </w:r>
      <w:r>
        <w:t>. That is</w:t>
      </w:r>
      <w:r w:rsidR="000B5B4E">
        <w:t>,</w:t>
      </w:r>
      <w:r w:rsidR="00E20B4B">
        <w:t xml:space="preserve"> for a breach of the standard to occur a second exceedance </w:t>
      </w:r>
      <w:r w:rsidR="00802612">
        <w:t>must</w:t>
      </w:r>
      <w:r w:rsidR="00E20B4B">
        <w:t xml:space="preserve"> have occurred</w:t>
      </w:r>
      <w:r w:rsidR="00B10E6E">
        <w:t xml:space="preserve"> –</w:t>
      </w:r>
      <w:r w:rsidR="00E20B4B">
        <w:t xml:space="preserve"> the first could occur </w:t>
      </w:r>
      <w:r w:rsidR="00DF5540">
        <w:t>within the 12-month period prior to</w:t>
      </w:r>
      <w:r w:rsidR="00E20B4B">
        <w:t xml:space="preserve"> 1 September 2011 and the second could occur </w:t>
      </w:r>
      <w:r w:rsidR="00DF5540">
        <w:t>during the 24 hour period on</w:t>
      </w:r>
      <w:r w:rsidR="00E20B4B">
        <w:t xml:space="preserve"> </w:t>
      </w:r>
      <w:r w:rsidR="00DF5540">
        <w:t>1</w:t>
      </w:r>
      <w:r>
        <w:t xml:space="preserve"> September 2011</w:t>
      </w:r>
      <w:r w:rsidR="00F23751">
        <w:t>.</w:t>
      </w:r>
      <w:r>
        <w:t xml:space="preserve"> In practice, the majority of PM</w:t>
      </w:r>
      <w:r w:rsidRPr="00412D3E">
        <w:rPr>
          <w:vertAlign w:val="subscript"/>
        </w:rPr>
        <w:t>10</w:t>
      </w:r>
      <w:r>
        <w:t xml:space="preserve"> exceedances occur in winter and so the ban on solid-fuel burning open fires is unlikely to</w:t>
      </w:r>
      <w:r w:rsidR="00F55614">
        <w:t xml:space="preserve"> be</w:t>
      </w:r>
      <w:r>
        <w:t xml:space="preserve"> initiated in most airsheds until winter 2012.</w:t>
      </w:r>
    </w:p>
    <w:p w14:paraId="172548C6" w14:textId="77777777" w:rsidR="00412D3E" w:rsidRDefault="00412D3E" w:rsidP="0090025D">
      <w:pPr>
        <w:pStyle w:val="Bullet"/>
      </w:pPr>
      <w:r>
        <w:t>Councils should also note the following technical considerations</w:t>
      </w:r>
      <w:r w:rsidR="00FA38E0">
        <w:t>.</w:t>
      </w:r>
    </w:p>
    <w:p w14:paraId="0C6594D2" w14:textId="77777777" w:rsidR="008974F8" w:rsidRDefault="00DF5540" w:rsidP="004152F8">
      <w:pPr>
        <w:pStyle w:val="Bullet"/>
        <w:numPr>
          <w:ilvl w:val="0"/>
          <w:numId w:val="14"/>
        </w:numPr>
        <w:ind w:left="357" w:hanging="357"/>
      </w:pPr>
      <w:r>
        <w:t>The</w:t>
      </w:r>
      <w:r w:rsidR="00801FDE">
        <w:t>re is no requirement</w:t>
      </w:r>
      <w:r>
        <w:t xml:space="preserve"> </w:t>
      </w:r>
      <w:r w:rsidR="004A337D">
        <w:t xml:space="preserve">for </w:t>
      </w:r>
      <w:r w:rsidR="00801FDE">
        <w:t>meaningful PM</w:t>
      </w:r>
      <w:r w:rsidR="00801FDE" w:rsidRPr="00261A2A">
        <w:rPr>
          <w:vertAlign w:val="subscript"/>
        </w:rPr>
        <w:t>10</w:t>
      </w:r>
      <w:r w:rsidR="00B10E6E">
        <w:t xml:space="preserve"> data to initiate the ban. </w:t>
      </w:r>
      <w:r w:rsidR="00801FDE">
        <w:t xml:space="preserve">That is, </w:t>
      </w:r>
      <w:r w:rsidR="008974F8">
        <w:t>the open fire ban will still be initiated following the first breach of the ambient PM</w:t>
      </w:r>
      <w:r w:rsidR="008974F8" w:rsidRPr="00261A2A">
        <w:rPr>
          <w:vertAlign w:val="subscript"/>
        </w:rPr>
        <w:t>10</w:t>
      </w:r>
      <w:r w:rsidR="008974F8">
        <w:t xml:space="preserve"> standard after </w:t>
      </w:r>
      <w:r w:rsidR="00261A2A">
        <w:br/>
      </w:r>
      <w:r w:rsidR="008974F8">
        <w:t>1 September 2011, even if you have less</w:t>
      </w:r>
      <w:r w:rsidR="00801FDE">
        <w:t xml:space="preserve"> than 12 months data or you do not meet the requirements of Regulation 16C</w:t>
      </w:r>
      <w:r w:rsidR="00FA38E0">
        <w:t>.</w:t>
      </w:r>
    </w:p>
    <w:p w14:paraId="300AFB4E" w14:textId="77777777" w:rsidR="008974F8" w:rsidRDefault="008974F8" w:rsidP="004152F8">
      <w:pPr>
        <w:pStyle w:val="Bullet"/>
        <w:numPr>
          <w:ilvl w:val="0"/>
          <w:numId w:val="14"/>
        </w:numPr>
        <w:ind w:left="357" w:hanging="357"/>
      </w:pPr>
      <w:r>
        <w:t>There is no requirement for</w:t>
      </w:r>
      <w:r w:rsidR="00801FDE">
        <w:t xml:space="preserve"> </w:t>
      </w:r>
      <w:r>
        <w:t>the breach of PM</w:t>
      </w:r>
      <w:r w:rsidRPr="00261A2A">
        <w:rPr>
          <w:vertAlign w:val="subscript"/>
        </w:rPr>
        <w:t>10</w:t>
      </w:r>
      <w:r>
        <w:t xml:space="preserve"> to be due to emissions from domestic fires in winter (ie, two elevated PM</w:t>
      </w:r>
      <w:r w:rsidRPr="00261A2A">
        <w:rPr>
          <w:vertAlign w:val="subscript"/>
        </w:rPr>
        <w:t>10</w:t>
      </w:r>
      <w:r>
        <w:t xml:space="preserve"> results in summer would still initiate the ban)</w:t>
      </w:r>
      <w:r w:rsidR="00FA38E0">
        <w:t>.</w:t>
      </w:r>
    </w:p>
    <w:p w14:paraId="3057AFF6" w14:textId="77777777" w:rsidR="008974F8" w:rsidRDefault="008974F8" w:rsidP="004152F8">
      <w:pPr>
        <w:pStyle w:val="Bullet"/>
        <w:numPr>
          <w:ilvl w:val="0"/>
          <w:numId w:val="14"/>
        </w:numPr>
        <w:ind w:left="357" w:hanging="357"/>
      </w:pPr>
      <w:r>
        <w:t xml:space="preserve">The new split target compliance dates have no bearing on the requirement for a ban, ie, </w:t>
      </w:r>
      <w:r w:rsidRPr="00BC7F26">
        <w:t>Regulation 16B(5)(d) states that even in airsheds where the number of PM</w:t>
      </w:r>
      <w:r w:rsidRPr="00261A2A">
        <w:rPr>
          <w:vertAlign w:val="subscript"/>
        </w:rPr>
        <w:t>10</w:t>
      </w:r>
      <w:r w:rsidRPr="00BC7F26">
        <w:t xml:space="preserve"> exceedances allowed has been extended </w:t>
      </w:r>
      <w:r w:rsidRPr="004152F8">
        <w:t>‘any breach of the PM</w:t>
      </w:r>
      <w:r w:rsidRPr="00261A2A">
        <w:rPr>
          <w:vertAlign w:val="subscript"/>
        </w:rPr>
        <w:t>10</w:t>
      </w:r>
      <w:r w:rsidRPr="004152F8">
        <w:t xml:space="preserve"> standard is still a breach for the purposes of… regulation 24A (discharge from certain open fires prohibited)’</w:t>
      </w:r>
      <w:r w:rsidR="00B10E6E">
        <w:t>.</w:t>
      </w:r>
    </w:p>
    <w:p w14:paraId="2F0634EE" w14:textId="77777777" w:rsidR="008974F8" w:rsidRDefault="008974F8" w:rsidP="004152F8">
      <w:pPr>
        <w:pStyle w:val="Bullet"/>
        <w:numPr>
          <w:ilvl w:val="0"/>
          <w:numId w:val="14"/>
        </w:numPr>
        <w:ind w:left="357" w:hanging="357"/>
      </w:pPr>
      <w:r w:rsidRPr="00BC7F26">
        <w:t xml:space="preserve">The only time </w:t>
      </w:r>
      <w:r>
        <w:t>an exceedance of the PM</w:t>
      </w:r>
      <w:r w:rsidRPr="00261A2A">
        <w:rPr>
          <w:vertAlign w:val="subscript"/>
        </w:rPr>
        <w:t>10</w:t>
      </w:r>
      <w:r>
        <w:t xml:space="preserve"> standard causes a breach that may </w:t>
      </w:r>
      <w:r w:rsidRPr="004152F8">
        <w:t>not</w:t>
      </w:r>
      <w:r>
        <w:t xml:space="preserve"> initiate the ban </w:t>
      </w:r>
      <w:r w:rsidRPr="00BC7F26">
        <w:t>is if the Minister determines that the exceedance was a</w:t>
      </w:r>
      <w:r>
        <w:t>n</w:t>
      </w:r>
      <w:r w:rsidRPr="00BC7F26">
        <w:t xml:space="preserve"> ‘</w:t>
      </w:r>
      <w:r>
        <w:t>exceptional event</w:t>
      </w:r>
      <w:r w:rsidRPr="00BC7F26">
        <w:t>’ in accordance with Regulation 16A</w:t>
      </w:r>
      <w:r>
        <w:t xml:space="preserve"> (ie, the exceedance could be ignored and therefore a breach has not occurred)</w:t>
      </w:r>
      <w:r w:rsidRPr="00BC7F26">
        <w:t xml:space="preserve">. </w:t>
      </w:r>
    </w:p>
    <w:p w14:paraId="1C2949A8" w14:textId="77777777" w:rsidR="008974F8" w:rsidRDefault="008974F8" w:rsidP="004152F8">
      <w:pPr>
        <w:pStyle w:val="Bullet"/>
        <w:numPr>
          <w:ilvl w:val="0"/>
          <w:numId w:val="14"/>
        </w:numPr>
        <w:ind w:left="357" w:hanging="357"/>
      </w:pPr>
      <w:r>
        <w:t>Once notice is given of the breach of the PM</w:t>
      </w:r>
      <w:r w:rsidRPr="00261A2A">
        <w:rPr>
          <w:vertAlign w:val="subscript"/>
        </w:rPr>
        <w:t>10</w:t>
      </w:r>
      <w:r>
        <w:t xml:space="preserve"> standard, the ban comes into effect</w:t>
      </w:r>
      <w:r w:rsidR="008D3E65">
        <w:t xml:space="preserve"> </w:t>
      </w:r>
      <w:r w:rsidR="00261A2A">
        <w:br/>
      </w:r>
      <w:r w:rsidR="008D3E65">
        <w:t>12 months after the date of the breach</w:t>
      </w:r>
      <w:r>
        <w:t>.  In this intervening period domestic solid-fuel burning open fires may still be installed (unless a regional plan or l</w:t>
      </w:r>
      <w:r w:rsidR="00B10E6E">
        <w:t>ocal bylaw provides otherwise).</w:t>
      </w:r>
      <w:r>
        <w:t xml:space="preserve"> Any open fire</w:t>
      </w:r>
      <w:r w:rsidR="0043661E">
        <w:t>s installed within the 12 month period</w:t>
      </w:r>
      <w:r>
        <w:t xml:space="preserve"> prior to the ban becoming operative </w:t>
      </w:r>
      <w:r w:rsidR="0043661E">
        <w:t>are not affected</w:t>
      </w:r>
      <w:r w:rsidR="00FA38E0">
        <w:t>.</w:t>
      </w:r>
    </w:p>
    <w:p w14:paraId="76FB7889" w14:textId="77777777" w:rsidR="008974F8" w:rsidRDefault="008974F8" w:rsidP="004152F8">
      <w:pPr>
        <w:pStyle w:val="Bullet"/>
        <w:numPr>
          <w:ilvl w:val="0"/>
          <w:numId w:val="14"/>
        </w:numPr>
        <w:ind w:left="357" w:hanging="357"/>
      </w:pPr>
      <w:r>
        <w:t>R</w:t>
      </w:r>
      <w:r w:rsidRPr="004B4324">
        <w:t xml:space="preserve">egulation </w:t>
      </w:r>
      <w:r>
        <w:t xml:space="preserve">24A </w:t>
      </w:r>
      <w:r w:rsidRPr="004B4324">
        <w:t>makes no reference to property size. The 2 hectare requirement for wood</w:t>
      </w:r>
      <w:r>
        <w:t xml:space="preserve">burners (section </w:t>
      </w:r>
      <w:r w:rsidRPr="008D3E65">
        <w:t>5.</w:t>
      </w:r>
      <w:r w:rsidR="008D3E65">
        <w:t>2</w:t>
      </w:r>
      <w:r w:rsidRPr="004B4324">
        <w:t>) is not relevant to the open fire ban.</w:t>
      </w:r>
    </w:p>
    <w:p w14:paraId="284C1D0D" w14:textId="77777777" w:rsidR="00347040" w:rsidRDefault="008974F8" w:rsidP="004152F8">
      <w:pPr>
        <w:pStyle w:val="Bullet"/>
        <w:numPr>
          <w:ilvl w:val="0"/>
          <w:numId w:val="14"/>
        </w:numPr>
        <w:ind w:left="357" w:hanging="357"/>
      </w:pPr>
      <w:r>
        <w:t>Regulation 24A does not</w:t>
      </w:r>
      <w:r w:rsidR="006730EC">
        <w:t xml:space="preserve"> apply to existing solid-fuel burning</w:t>
      </w:r>
      <w:r>
        <w:t xml:space="preserve"> open fires – unless they are reinstalled into a property </w:t>
      </w:r>
      <w:r w:rsidR="006730EC">
        <w:t xml:space="preserve">in which case they are considered to be a ‘new’ open fire </w:t>
      </w:r>
      <w:r>
        <w:t>(eg, rebuilding an open fire in a renovated house)</w:t>
      </w:r>
      <w:r w:rsidR="004152F8">
        <w:t>.</w:t>
      </w:r>
    </w:p>
    <w:p w14:paraId="0B034A2D" w14:textId="77777777" w:rsidR="00714497" w:rsidRDefault="00714497" w:rsidP="0090025D">
      <w:pPr>
        <w:pStyle w:val="BodyText"/>
      </w:pPr>
    </w:p>
    <w:p w14:paraId="18415AA5" w14:textId="77777777" w:rsidR="00714497" w:rsidRPr="005E2706" w:rsidRDefault="00714497" w:rsidP="0090025D">
      <w:pPr>
        <w:pStyle w:val="BodyText"/>
      </w:pPr>
      <w:r>
        <w:t>The ban is mandatory and, once in effec</w:t>
      </w:r>
      <w:r w:rsidR="00B10E6E">
        <w:t>t, is for perpetuity.</w:t>
      </w:r>
      <w:r>
        <w:t xml:space="preserve"> Councils cannot postpone the start of the ban, prevent the ban occurring or remove the ban once it is in effect.</w:t>
      </w:r>
    </w:p>
    <w:p w14:paraId="1E3F2B8F" w14:textId="77777777" w:rsidR="00F23751" w:rsidRDefault="00F23751" w:rsidP="0090025D"/>
    <w:p w14:paraId="7876C897" w14:textId="77777777" w:rsidR="00BA318C" w:rsidRDefault="00714497" w:rsidP="0090025D">
      <w:pPr>
        <w:pStyle w:val="BodyText"/>
      </w:pPr>
      <w:r>
        <w:t>After giving notice, o</w:t>
      </w:r>
      <w:r w:rsidR="00BA318C">
        <w:t>nce the 12-month period is complete the ban takes immediate effect within the airshed</w:t>
      </w:r>
      <w:r w:rsidR="00D648E9">
        <w:t xml:space="preserve"> </w:t>
      </w:r>
      <w:r w:rsidR="00BA318C">
        <w:t>without further action from the council.</w:t>
      </w:r>
      <w:r w:rsidR="00BA318C" w:rsidRPr="00BA318C">
        <w:t xml:space="preserve"> </w:t>
      </w:r>
      <w:r w:rsidR="00D648E9">
        <w:t xml:space="preserve">If for any reason smaller airsheds are created from </w:t>
      </w:r>
      <w:r>
        <w:t xml:space="preserve">an </w:t>
      </w:r>
      <w:r w:rsidR="00D648E9">
        <w:t>airshed where the ban applies then the ban still applies to these smaller, new airsheds.</w:t>
      </w:r>
    </w:p>
    <w:p w14:paraId="7FFA392B" w14:textId="77777777" w:rsidR="00105594" w:rsidRDefault="00105594" w:rsidP="0090025D">
      <w:pPr>
        <w:pStyle w:val="BodyText"/>
      </w:pPr>
    </w:p>
    <w:p w14:paraId="3D70319D" w14:textId="77777777" w:rsidR="00105594" w:rsidRDefault="00105594" w:rsidP="0090025D">
      <w:pPr>
        <w:pStyle w:val="BodyText"/>
      </w:pPr>
      <w:r>
        <w:t xml:space="preserve">It is recommended that councils </w:t>
      </w:r>
      <w:r w:rsidR="009818B6">
        <w:t>advise</w:t>
      </w:r>
      <w:r>
        <w:t xml:space="preserve"> the Ministry </w:t>
      </w:r>
      <w:r w:rsidR="009818B6">
        <w:t>if an airshed has an open fire ban i</w:t>
      </w:r>
      <w:r w:rsidR="002B32C7">
        <w:t xml:space="preserve">n their region. </w:t>
      </w:r>
      <w:r w:rsidR="009818B6">
        <w:t xml:space="preserve">This will enable the Ministry to provide details on the </w:t>
      </w:r>
      <w:r w:rsidR="009818B6" w:rsidRPr="009818B6">
        <w:t xml:space="preserve">website </w:t>
      </w:r>
      <w:r w:rsidR="008D3E65">
        <w:t xml:space="preserve">at </w:t>
      </w:r>
      <w:hyperlink r:id="rId44" w:history="1">
        <w:r w:rsidR="009818B6" w:rsidRPr="009818B6">
          <w:rPr>
            <w:rStyle w:val="Hyperlink"/>
            <w:color w:val="auto"/>
          </w:rPr>
          <w:t>www.mfe.govt.nz</w:t>
        </w:r>
      </w:hyperlink>
      <w:r w:rsidR="009818B6" w:rsidRPr="009818B6">
        <w:t xml:space="preserve"> and</w:t>
      </w:r>
      <w:r w:rsidR="009818B6">
        <w:t xml:space="preserve"> collate national information on the success of the Regulation</w:t>
      </w:r>
      <w:r w:rsidR="008D3E65">
        <w:t>s</w:t>
      </w:r>
      <w:r w:rsidR="009818B6">
        <w:t xml:space="preserve"> and resulting reduction in health effects on New Zealanders.</w:t>
      </w:r>
    </w:p>
    <w:p w14:paraId="142C2BC7" w14:textId="77777777" w:rsidR="000F5FDB" w:rsidRDefault="000F5FDB" w:rsidP="0090025D"/>
    <w:p w14:paraId="7D983FAA" w14:textId="77777777" w:rsidR="000A7D55" w:rsidRDefault="000A7D55" w:rsidP="0090025D">
      <w:r w:rsidRPr="004B4324">
        <w:t xml:space="preserve">The ban only </w:t>
      </w:r>
      <w:r w:rsidRPr="004B4324">
        <w:rPr>
          <w:b/>
        </w:rPr>
        <w:t>applies to</w:t>
      </w:r>
      <w:r w:rsidRPr="004B4324">
        <w:t xml:space="preserve"> </w:t>
      </w:r>
      <w:r w:rsidR="003E2E14">
        <w:t xml:space="preserve">discharges from </w:t>
      </w:r>
      <w:r w:rsidRPr="004B4324">
        <w:t xml:space="preserve">solid-fuelled open fires installed in </w:t>
      </w:r>
      <w:r w:rsidRPr="004B4324">
        <w:rPr>
          <w:b/>
        </w:rPr>
        <w:t xml:space="preserve">domestic </w:t>
      </w:r>
      <w:r w:rsidRPr="00714497">
        <w:rPr>
          <w:b/>
        </w:rPr>
        <w:t>buildings</w:t>
      </w:r>
      <w:r w:rsidRPr="004B4324">
        <w:t xml:space="preserve">. These are </w:t>
      </w:r>
      <w:r w:rsidR="00714497">
        <w:t>fires installed in buildings like</w:t>
      </w:r>
      <w:r w:rsidRPr="004B4324">
        <w:t xml:space="preserve"> </w:t>
      </w:r>
      <w:r w:rsidR="00802612">
        <w:t xml:space="preserve">dwelling </w:t>
      </w:r>
      <w:r w:rsidRPr="004B4324">
        <w:t>houses, apartments, holiday homes, farm accommodat</w:t>
      </w:r>
      <w:r w:rsidR="0004673E">
        <w:t xml:space="preserve">ion and other home residences. </w:t>
      </w:r>
      <w:r w:rsidRPr="004B4324">
        <w:t xml:space="preserve">The </w:t>
      </w:r>
      <w:r w:rsidR="008D3E65">
        <w:t>ban</w:t>
      </w:r>
      <w:r w:rsidRPr="004B4324">
        <w:t xml:space="preserve"> </w:t>
      </w:r>
      <w:r w:rsidRPr="004B4324">
        <w:rPr>
          <w:b/>
        </w:rPr>
        <w:t>does not apply</w:t>
      </w:r>
      <w:r w:rsidRPr="004B4324">
        <w:t xml:space="preserve"> </w:t>
      </w:r>
      <w:r w:rsidRPr="004B4324">
        <w:rPr>
          <w:b/>
        </w:rPr>
        <w:t xml:space="preserve">to </w:t>
      </w:r>
      <w:r w:rsidR="00714497">
        <w:rPr>
          <w:b/>
        </w:rPr>
        <w:t xml:space="preserve">open fires in </w:t>
      </w:r>
      <w:r w:rsidRPr="004B4324">
        <w:rPr>
          <w:b/>
        </w:rPr>
        <w:t>commercial buildings</w:t>
      </w:r>
      <w:r w:rsidRPr="004B4324">
        <w:t xml:space="preserve"> such as restaurants, motels, hotels</w:t>
      </w:r>
      <w:r>
        <w:t>,</w:t>
      </w:r>
      <w:r w:rsidR="0067298E">
        <w:t xml:space="preserve"> marae and other cultural facilities,</w:t>
      </w:r>
      <w:r>
        <w:t xml:space="preserve"> schools, community halls</w:t>
      </w:r>
      <w:r w:rsidRPr="004B4324">
        <w:t xml:space="preserve"> and </w:t>
      </w:r>
      <w:r>
        <w:t>offices</w:t>
      </w:r>
      <w:r w:rsidRPr="004B4324">
        <w:t>.</w:t>
      </w:r>
    </w:p>
    <w:p w14:paraId="54CF5CCF" w14:textId="77777777" w:rsidR="004B4324" w:rsidRDefault="004B4324" w:rsidP="0090025D"/>
    <w:p w14:paraId="32285B60" w14:textId="77777777" w:rsidR="004B4324" w:rsidRPr="004B4324" w:rsidRDefault="004B4324" w:rsidP="0090025D">
      <w:r>
        <w:t xml:space="preserve">People can still operate or install </w:t>
      </w:r>
      <w:r w:rsidR="00347040">
        <w:t xml:space="preserve">authorised </w:t>
      </w:r>
      <w:r>
        <w:t>wood</w:t>
      </w:r>
      <w:r w:rsidR="00F11E8E">
        <w:t xml:space="preserve">burners (as discussed in section </w:t>
      </w:r>
      <w:r w:rsidR="00F11E8E" w:rsidRPr="008D3E65">
        <w:t>5.</w:t>
      </w:r>
      <w:r w:rsidR="006E6057" w:rsidRPr="008D3E65">
        <w:t>2</w:t>
      </w:r>
      <w:r w:rsidR="00F11E8E">
        <w:t>)</w:t>
      </w:r>
      <w:r>
        <w:t>, multi</w:t>
      </w:r>
      <w:r w:rsidR="00E64E9F">
        <w:t xml:space="preserve"> </w:t>
      </w:r>
      <w:r>
        <w:t xml:space="preserve">fuel burners, pellet fires, coal burners and wood/coal stoves designed for the primary purpose of cooking, unless their regional plan </w:t>
      </w:r>
      <w:r w:rsidR="00F75A19">
        <w:t xml:space="preserve">or a local bylaw </w:t>
      </w:r>
      <w:r>
        <w:t>prevents this.</w:t>
      </w:r>
    </w:p>
    <w:p w14:paraId="5146341C" w14:textId="77777777" w:rsidR="005E2706" w:rsidRDefault="005E2706" w:rsidP="0090025D">
      <w:pPr>
        <w:pStyle w:val="Heading4"/>
      </w:pPr>
      <w:r>
        <w:t>Public notice</w:t>
      </w:r>
      <w:r w:rsidR="00491062">
        <w:t xml:space="preserve"> of open fire ban</w:t>
      </w:r>
    </w:p>
    <w:p w14:paraId="0D4A05E5" w14:textId="77777777" w:rsidR="007C76F3" w:rsidRDefault="00F11E8E" w:rsidP="0090025D">
      <w:pPr>
        <w:pStyle w:val="BodyText"/>
      </w:pPr>
      <w:r>
        <w:t>Regulation 24A</w:t>
      </w:r>
      <w:r w:rsidR="00E546DF">
        <w:t xml:space="preserve"> requires councils to give public notice </w:t>
      </w:r>
      <w:r w:rsidR="00201173">
        <w:t>on the first occasion</w:t>
      </w:r>
      <w:r w:rsidR="00C74DB2">
        <w:t xml:space="preserve"> a breach of the PM</w:t>
      </w:r>
      <w:r w:rsidR="00C74DB2" w:rsidRPr="00C74DB2">
        <w:rPr>
          <w:vertAlign w:val="subscript"/>
        </w:rPr>
        <w:t>10</w:t>
      </w:r>
      <w:r w:rsidR="00BC0A2B">
        <w:t xml:space="preserve"> standard occurs</w:t>
      </w:r>
      <w:r w:rsidR="00A34A6C" w:rsidRPr="00A34A6C">
        <w:t xml:space="preserve"> </w:t>
      </w:r>
      <w:r w:rsidR="00A34A6C">
        <w:t>in an airshed</w:t>
      </w:r>
      <w:r>
        <w:t xml:space="preserve"> after 1 September 2011</w:t>
      </w:r>
      <w:r w:rsidR="00B21534">
        <w:t xml:space="preserve"> – thus initiating the solid-fuel burning open fire ban</w:t>
      </w:r>
      <w:r w:rsidR="0004673E">
        <w:t>.</w:t>
      </w:r>
      <w:r w:rsidR="00E546DF">
        <w:t xml:space="preserve"> </w:t>
      </w:r>
      <w:r w:rsidR="007C76F3">
        <w:t>The notice must state:</w:t>
      </w:r>
    </w:p>
    <w:p w14:paraId="6BD0CEFF" w14:textId="77777777" w:rsidR="007C76F3" w:rsidRDefault="00FA38E0" w:rsidP="000C700D">
      <w:pPr>
        <w:pStyle w:val="Bullet"/>
        <w:numPr>
          <w:ilvl w:val="0"/>
          <w:numId w:val="14"/>
        </w:numPr>
        <w:ind w:left="357" w:hanging="357"/>
      </w:pPr>
      <w:r>
        <w:t xml:space="preserve">the </w:t>
      </w:r>
      <w:r w:rsidR="008322C7">
        <w:t>a</w:t>
      </w:r>
      <w:r>
        <w:t>irshed to which the ban applies</w:t>
      </w:r>
    </w:p>
    <w:p w14:paraId="44A1FE4E" w14:textId="77777777" w:rsidR="008322C7" w:rsidRDefault="00FA38E0" w:rsidP="000C700D">
      <w:pPr>
        <w:pStyle w:val="Bullet"/>
        <w:numPr>
          <w:ilvl w:val="0"/>
          <w:numId w:val="14"/>
        </w:numPr>
        <w:ind w:left="357" w:hanging="357"/>
      </w:pPr>
      <w:r>
        <w:t xml:space="preserve">the </w:t>
      </w:r>
      <w:r w:rsidR="008322C7">
        <w:t>date the ban applies (ie</w:t>
      </w:r>
      <w:r w:rsidR="00E64E9F">
        <w:t>,</w:t>
      </w:r>
      <w:r w:rsidR="008322C7">
        <w:t xml:space="preserve"> 12 months after the </w:t>
      </w:r>
      <w:r w:rsidR="00B21534">
        <w:t xml:space="preserve">first </w:t>
      </w:r>
      <w:r w:rsidR="008322C7">
        <w:t>breach of the PM</w:t>
      </w:r>
      <w:r w:rsidR="008322C7" w:rsidRPr="0004673E">
        <w:rPr>
          <w:vertAlign w:val="subscript"/>
        </w:rPr>
        <w:t>10</w:t>
      </w:r>
      <w:r w:rsidR="008322C7">
        <w:t xml:space="preserve"> standard</w:t>
      </w:r>
      <w:r w:rsidR="00B21534">
        <w:t xml:space="preserve"> on or after 1 September 2011</w:t>
      </w:r>
      <w:r w:rsidR="008322C7">
        <w:t>)</w:t>
      </w:r>
    </w:p>
    <w:p w14:paraId="15A5BEF2" w14:textId="77777777" w:rsidR="008322C7" w:rsidRDefault="00FA38E0" w:rsidP="000C700D">
      <w:pPr>
        <w:pStyle w:val="Bullet"/>
        <w:numPr>
          <w:ilvl w:val="0"/>
          <w:numId w:val="14"/>
        </w:numPr>
        <w:ind w:left="357" w:hanging="357"/>
      </w:pPr>
      <w:r>
        <w:t xml:space="preserve">that </w:t>
      </w:r>
      <w:r w:rsidR="001F14F3">
        <w:t xml:space="preserve">subclauses (3) and (4) of Regulation 24A will prohibit the discharge of particles from domestic solid-fuel burning open fires installed </w:t>
      </w:r>
      <w:r w:rsidR="00A514F4">
        <w:t xml:space="preserve">on or </w:t>
      </w:r>
      <w:r w:rsidR="001F14F3">
        <w:t>after the date of the ban (ie</w:t>
      </w:r>
      <w:r w:rsidR="00E64E9F">
        <w:t>,</w:t>
      </w:r>
      <w:r w:rsidR="00F11E8E">
        <w:t xml:space="preserve"> that solid-fuel burning</w:t>
      </w:r>
      <w:r w:rsidR="001F14F3">
        <w:t xml:space="preserve"> open fires cannot be installed and operated in domestic</w:t>
      </w:r>
      <w:r w:rsidR="00A514F4">
        <w:t xml:space="preserve"> premises from</w:t>
      </w:r>
      <w:r w:rsidR="001F14F3">
        <w:t xml:space="preserve"> the date of the ban).</w:t>
      </w:r>
    </w:p>
    <w:p w14:paraId="129AFDC4" w14:textId="77777777" w:rsidR="007C76F3" w:rsidRDefault="007C76F3" w:rsidP="0090025D">
      <w:pPr>
        <w:pStyle w:val="BodyText"/>
      </w:pPr>
    </w:p>
    <w:p w14:paraId="5F06165A" w14:textId="77777777" w:rsidR="00372788" w:rsidRDefault="007C76F3" w:rsidP="0090025D">
      <w:pPr>
        <w:pStyle w:val="BodyText"/>
      </w:pPr>
      <w:r>
        <w:t xml:space="preserve">Notice must be given at </w:t>
      </w:r>
      <w:r w:rsidRPr="003E2E14">
        <w:rPr>
          <w:b/>
        </w:rPr>
        <w:t>least 6 months prior</w:t>
      </w:r>
      <w:r>
        <w:t xml:space="preserve"> to the ban coming into effect and </w:t>
      </w:r>
      <w:r w:rsidR="00E546DF">
        <w:t xml:space="preserve">must be in accordance with the definition of public notice in </w:t>
      </w:r>
      <w:r>
        <w:t xml:space="preserve">section 2 of </w:t>
      </w:r>
      <w:r w:rsidR="00372788">
        <w:t xml:space="preserve">the RMA, </w:t>
      </w:r>
      <w:r w:rsidR="00337AC8">
        <w:t>that is to say a</w:t>
      </w:r>
      <w:r w:rsidR="00E546DF">
        <w:t xml:space="preserve"> </w:t>
      </w:r>
      <w:r w:rsidR="00372788">
        <w:t xml:space="preserve">public notice must be placed </w:t>
      </w:r>
      <w:r w:rsidR="00372788" w:rsidRPr="00337AC8">
        <w:rPr>
          <w:b/>
        </w:rPr>
        <w:t xml:space="preserve">in a newspaper circulating in </w:t>
      </w:r>
      <w:r w:rsidR="00CA3FAD">
        <w:rPr>
          <w:b/>
        </w:rPr>
        <w:t>the entire</w:t>
      </w:r>
      <w:r w:rsidR="00372788" w:rsidRPr="00337AC8">
        <w:rPr>
          <w:b/>
        </w:rPr>
        <w:t xml:space="preserve"> region</w:t>
      </w:r>
      <w:r w:rsidR="006E3717">
        <w:rPr>
          <w:b/>
        </w:rPr>
        <w:t xml:space="preserve"> likely to be affected by the contents of the notice</w:t>
      </w:r>
      <w:r w:rsidR="00D11E33">
        <w:t>.</w:t>
      </w:r>
    </w:p>
    <w:p w14:paraId="079465D9" w14:textId="77777777" w:rsidR="00372788" w:rsidRDefault="00372788" w:rsidP="0090025D">
      <w:pPr>
        <w:pStyle w:val="BodyText"/>
      </w:pPr>
    </w:p>
    <w:p w14:paraId="6313DF91" w14:textId="77777777" w:rsidR="00372788" w:rsidRDefault="00D11E33" w:rsidP="0090025D">
      <w:pPr>
        <w:pStyle w:val="BodyText"/>
      </w:pPr>
      <w:r>
        <w:t>As best practice</w:t>
      </w:r>
      <w:r w:rsidR="0047245F">
        <w:t>,</w:t>
      </w:r>
      <w:r>
        <w:t xml:space="preserve"> consideration </w:t>
      </w:r>
      <w:r w:rsidR="00BB3D9F">
        <w:t>sh</w:t>
      </w:r>
      <w:r>
        <w:t>ould be given to including the foll</w:t>
      </w:r>
      <w:r w:rsidR="00372788">
        <w:t>owing additional information to aid public understanding of the Regulations:</w:t>
      </w:r>
    </w:p>
    <w:p w14:paraId="0C749E30" w14:textId="77777777" w:rsidR="00372788" w:rsidRDefault="00372788" w:rsidP="000C700D">
      <w:pPr>
        <w:pStyle w:val="Bullet"/>
        <w:numPr>
          <w:ilvl w:val="0"/>
          <w:numId w:val="14"/>
        </w:numPr>
        <w:ind w:left="357" w:hanging="357"/>
      </w:pPr>
      <w:r>
        <w:t>a statement that the public notice is required by, and relates to, the Resource Management (National Environmental Standards for Air Quality) Regulations 2004</w:t>
      </w:r>
    </w:p>
    <w:p w14:paraId="70E5491D" w14:textId="77777777" w:rsidR="00372788" w:rsidRDefault="00372788" w:rsidP="000C700D">
      <w:pPr>
        <w:pStyle w:val="Bullet"/>
        <w:numPr>
          <w:ilvl w:val="0"/>
          <w:numId w:val="14"/>
        </w:numPr>
        <w:ind w:left="357" w:hanging="357"/>
      </w:pPr>
      <w:r>
        <w:t>a statement that the PM</w:t>
      </w:r>
      <w:r w:rsidRPr="00261A2A">
        <w:rPr>
          <w:vertAlign w:val="subscript"/>
        </w:rPr>
        <w:t>10</w:t>
      </w:r>
      <w:r>
        <w:t xml:space="preserve"> standard has been breached (ie, the ban has been initiated) and the date and time of the exceedance/s that have initiated the ban</w:t>
      </w:r>
    </w:p>
    <w:p w14:paraId="2732C7C9" w14:textId="77777777" w:rsidR="00372788" w:rsidRDefault="00372788" w:rsidP="000C700D">
      <w:pPr>
        <w:pStyle w:val="Bullet"/>
        <w:numPr>
          <w:ilvl w:val="0"/>
          <w:numId w:val="14"/>
        </w:numPr>
        <w:ind w:left="357" w:hanging="357"/>
      </w:pPr>
      <w:r>
        <w:t>location of the exceedance/s (monitoring site location and airshed)</w:t>
      </w:r>
    </w:p>
    <w:p w14:paraId="6227335F" w14:textId="77777777" w:rsidR="00372788" w:rsidRDefault="00372788" w:rsidP="000C700D">
      <w:pPr>
        <w:pStyle w:val="Bullet"/>
        <w:numPr>
          <w:ilvl w:val="0"/>
          <w:numId w:val="14"/>
        </w:numPr>
        <w:ind w:left="357" w:hanging="357"/>
      </w:pPr>
      <w:r>
        <w:t>value of the exceedance/s</w:t>
      </w:r>
    </w:p>
    <w:p w14:paraId="14EABD0C" w14:textId="77777777" w:rsidR="00372788" w:rsidRDefault="00372788" w:rsidP="000C700D">
      <w:pPr>
        <w:pStyle w:val="Bullet"/>
        <w:numPr>
          <w:ilvl w:val="0"/>
          <w:numId w:val="14"/>
        </w:numPr>
        <w:ind w:left="357" w:hanging="357"/>
      </w:pPr>
      <w:r>
        <w:t>value of the ambient PM</w:t>
      </w:r>
      <w:r w:rsidRPr="00866F64">
        <w:rPr>
          <w:vertAlign w:val="subscript"/>
        </w:rPr>
        <w:t>10</w:t>
      </w:r>
      <w:r>
        <w:t xml:space="preserve"> standard and the averaging period (ie, 50</w:t>
      </w:r>
      <w:r w:rsidR="00261A2A">
        <w:t xml:space="preserve"> </w:t>
      </w:r>
      <w:r w:rsidR="00261A2A" w:rsidRPr="00085592">
        <w:rPr>
          <w:rFonts w:ascii="Symbol" w:hAnsi="Symbol" w:cs="Arial"/>
          <w:sz w:val="20"/>
        </w:rPr>
        <w:t></w:t>
      </w:r>
      <w:r w:rsidR="00261A2A" w:rsidRPr="00D93B7C">
        <w:rPr>
          <w:rFonts w:ascii="Arial" w:hAnsi="Arial" w:cs="Arial"/>
          <w:sz w:val="20"/>
        </w:rPr>
        <w:t>g.m</w:t>
      </w:r>
      <w:r w:rsidR="00261A2A" w:rsidRPr="00D93B7C">
        <w:rPr>
          <w:rFonts w:ascii="Arial" w:hAnsi="Arial" w:cs="Arial"/>
          <w:sz w:val="20"/>
          <w:vertAlign w:val="superscript"/>
        </w:rPr>
        <w:t>-3</w:t>
      </w:r>
      <w:r>
        <w:t xml:space="preserve"> as a 24-hour average for PM</w:t>
      </w:r>
      <w:r w:rsidRPr="00866F64">
        <w:rPr>
          <w:vertAlign w:val="subscript"/>
        </w:rPr>
        <w:t>10</w:t>
      </w:r>
      <w:r>
        <w:t xml:space="preserve">) </w:t>
      </w:r>
    </w:p>
    <w:p w14:paraId="0C6340AA" w14:textId="77777777" w:rsidR="00372788" w:rsidRDefault="00372788" w:rsidP="000C700D">
      <w:pPr>
        <w:pStyle w:val="Bullet"/>
        <w:numPr>
          <w:ilvl w:val="0"/>
          <w:numId w:val="14"/>
        </w:numPr>
        <w:ind w:left="357" w:hanging="357"/>
      </w:pPr>
      <w:r>
        <w:t>how many breaches of the ambient standard have occurred in a 12-month period</w:t>
      </w:r>
    </w:p>
    <w:p w14:paraId="56B4824A" w14:textId="77777777" w:rsidR="00372788" w:rsidRDefault="00372788" w:rsidP="000C700D">
      <w:pPr>
        <w:pStyle w:val="Bullet"/>
        <w:numPr>
          <w:ilvl w:val="0"/>
          <w:numId w:val="14"/>
        </w:numPr>
        <w:ind w:left="357" w:hanging="357"/>
      </w:pPr>
      <w:r>
        <w:t>a contact at the council for public inquiries.</w:t>
      </w:r>
    </w:p>
    <w:p w14:paraId="65F72420" w14:textId="77777777" w:rsidR="00372788" w:rsidRDefault="00372788" w:rsidP="0090025D">
      <w:pPr>
        <w:pStyle w:val="BodyText"/>
      </w:pPr>
    </w:p>
    <w:p w14:paraId="5531D842" w14:textId="77777777" w:rsidR="00372788" w:rsidRPr="00B65773" w:rsidRDefault="00372788" w:rsidP="0090025D">
      <w:pPr>
        <w:pStyle w:val="BodyText"/>
      </w:pPr>
      <w:r w:rsidRPr="00B65773">
        <w:t xml:space="preserve">An example </w:t>
      </w:r>
      <w:r w:rsidR="003E4B7D" w:rsidRPr="00B65773">
        <w:t>p</w:t>
      </w:r>
      <w:r w:rsidRPr="00B65773">
        <w:t xml:space="preserve">ublic </w:t>
      </w:r>
      <w:r w:rsidR="003E4B7D" w:rsidRPr="00B65773">
        <w:t>n</w:t>
      </w:r>
      <w:r w:rsidRPr="00B65773">
        <w:t xml:space="preserve">otice is given in </w:t>
      </w:r>
      <w:r w:rsidR="0047245F" w:rsidRPr="00B65773">
        <w:t xml:space="preserve">Appendix 6, </w:t>
      </w:r>
      <w:r w:rsidR="005B6D80">
        <w:t>f</w:t>
      </w:r>
      <w:r w:rsidR="005B6D80" w:rsidRPr="00B65773">
        <w:t xml:space="preserve">igure </w:t>
      </w:r>
      <w:r w:rsidRPr="00B65773">
        <w:t>A6.1.</w:t>
      </w:r>
      <w:r w:rsidR="008E5ECE" w:rsidRPr="00B65773">
        <w:t xml:space="preserve"> This contains all the statutory information required. </w:t>
      </w:r>
      <w:r w:rsidR="009E6C46" w:rsidRPr="00B65773">
        <w:t>Whilst it is recommended that additional information over and above that required is included in the notice, councils should take care to ensure that the statutory requirements are not lost during editing</w:t>
      </w:r>
      <w:r w:rsidR="00F64EFF" w:rsidRPr="00B65773">
        <w:t>.</w:t>
      </w:r>
      <w:r w:rsidR="008E5ECE" w:rsidRPr="00B65773">
        <w:t xml:space="preserve"> </w:t>
      </w:r>
    </w:p>
    <w:p w14:paraId="744246BF" w14:textId="77777777" w:rsidR="009B0ECD" w:rsidRPr="009E6C46" w:rsidRDefault="009B0ECD" w:rsidP="0090025D">
      <w:pPr>
        <w:pStyle w:val="BodyText"/>
        <w:rPr>
          <w:highlight w:val="magenta"/>
        </w:rPr>
      </w:pPr>
    </w:p>
    <w:p w14:paraId="2DA1075F" w14:textId="77777777" w:rsidR="00372788" w:rsidRDefault="00CE3C04" w:rsidP="0090025D">
      <w:pPr>
        <w:pStyle w:val="BodyText"/>
      </w:pPr>
      <w:r w:rsidRPr="006B04A5">
        <w:t>I</w:t>
      </w:r>
      <w:r w:rsidR="00A264B2" w:rsidRPr="006B04A5">
        <w:t xml:space="preserve">t </w:t>
      </w:r>
      <w:r w:rsidR="00BB3D9F" w:rsidRPr="006B04A5">
        <w:t>s</w:t>
      </w:r>
      <w:r w:rsidR="0014513D" w:rsidRPr="006B04A5">
        <w:t xml:space="preserve">hould be noted that </w:t>
      </w:r>
      <w:r w:rsidR="009B0ECD" w:rsidRPr="006B04A5">
        <w:t>the first breach of the PM</w:t>
      </w:r>
      <w:r w:rsidR="009B0ECD" w:rsidRPr="006B04A5">
        <w:rPr>
          <w:vertAlign w:val="subscript"/>
        </w:rPr>
        <w:t xml:space="preserve">10 </w:t>
      </w:r>
      <w:r w:rsidR="009B0ECD" w:rsidRPr="006B04A5">
        <w:t>standard</w:t>
      </w:r>
      <w:r w:rsidR="006C2892" w:rsidRPr="006B04A5">
        <w:t xml:space="preserve"> </w:t>
      </w:r>
      <w:r w:rsidR="009D6F78" w:rsidRPr="006B04A5">
        <w:t xml:space="preserve">after 1 September 2011 </w:t>
      </w:r>
      <w:r w:rsidR="006C2892" w:rsidRPr="006B04A5">
        <w:t>will al</w:t>
      </w:r>
      <w:r w:rsidR="0014513D" w:rsidRPr="006B04A5">
        <w:t>s</w:t>
      </w:r>
      <w:r w:rsidR="000D65C6" w:rsidRPr="006B04A5">
        <w:t>o be a</w:t>
      </w:r>
      <w:r w:rsidR="009D6F78" w:rsidRPr="006B04A5">
        <w:t xml:space="preserve"> situati</w:t>
      </w:r>
      <w:r w:rsidR="000D65C6" w:rsidRPr="006B04A5">
        <w:t>on</w:t>
      </w:r>
      <w:r w:rsidR="0014513D" w:rsidRPr="006B04A5">
        <w:t xml:space="preserve"> </w:t>
      </w:r>
      <w:r w:rsidR="00BB3D9F" w:rsidRPr="006B04A5">
        <w:t xml:space="preserve">where </w:t>
      </w:r>
      <w:r w:rsidR="00F96C64" w:rsidRPr="006B04A5">
        <w:t xml:space="preserve">public notice under </w:t>
      </w:r>
      <w:r w:rsidR="00BB3D9F" w:rsidRPr="006B04A5">
        <w:t xml:space="preserve">Regulation 16 applies, see </w:t>
      </w:r>
      <w:r w:rsidR="003E4B7D" w:rsidRPr="006B04A5">
        <w:t xml:space="preserve">section </w:t>
      </w:r>
      <w:r w:rsidR="00FE3761" w:rsidRPr="006B04A5">
        <w:t>4.8</w:t>
      </w:r>
      <w:r w:rsidR="009D6F78" w:rsidRPr="006B04A5">
        <w:t xml:space="preserve">. The example notice given in </w:t>
      </w:r>
      <w:r w:rsidR="005B6D80">
        <w:t>f</w:t>
      </w:r>
      <w:r w:rsidR="005B6D80" w:rsidRPr="006B04A5">
        <w:t xml:space="preserve">igure </w:t>
      </w:r>
      <w:r w:rsidR="009D6F78" w:rsidRPr="006B04A5">
        <w:t>A</w:t>
      </w:r>
      <w:r w:rsidR="003D5672" w:rsidRPr="006B04A5">
        <w:t>6.1 reflects this.</w:t>
      </w:r>
      <w:r w:rsidR="00F96C64" w:rsidRPr="006B04A5">
        <w:t xml:space="preserve"> However, some councils may find it more expedie</w:t>
      </w:r>
      <w:r w:rsidR="00C27918" w:rsidRPr="006B04A5">
        <w:t>nt to give two separate notices bearing in mind the different timing requirements of the two Regulations.</w:t>
      </w:r>
    </w:p>
    <w:p w14:paraId="15A49644" w14:textId="77777777" w:rsidR="004B0590" w:rsidRDefault="00F11E8E" w:rsidP="0090025D">
      <w:pPr>
        <w:pStyle w:val="Heading3"/>
      </w:pPr>
      <w:r>
        <w:t>5.</w:t>
      </w:r>
      <w:r w:rsidR="006E6057">
        <w:t>3</w:t>
      </w:r>
      <w:r>
        <w:t>.5</w:t>
      </w:r>
      <w:r w:rsidR="004B0590">
        <w:tab/>
        <w:t>Who do</w:t>
      </w:r>
      <w:r>
        <w:t>es the open fire ban</w:t>
      </w:r>
      <w:r w:rsidR="004B0590">
        <w:t xml:space="preserve"> affect?</w:t>
      </w:r>
    </w:p>
    <w:p w14:paraId="66255E81" w14:textId="77777777" w:rsidR="003E2E14" w:rsidRDefault="004B0590" w:rsidP="0090025D">
      <w:r>
        <w:t xml:space="preserve">The open fire </w:t>
      </w:r>
      <w:r w:rsidR="00B80B1C">
        <w:t>ban</w:t>
      </w:r>
      <w:r>
        <w:t xml:space="preserve"> affects anyone instal</w:t>
      </w:r>
      <w:r w:rsidR="00B80B1C">
        <w:t>ling a solid-fuel burning</w:t>
      </w:r>
      <w:r>
        <w:t xml:space="preserve"> open fire in a domestic building</w:t>
      </w:r>
      <w:r w:rsidR="00B80B1C">
        <w:t xml:space="preserve"> in an airshed that breaches the ambient PM</w:t>
      </w:r>
      <w:r w:rsidR="00B80B1C" w:rsidRPr="00B80B1C">
        <w:rPr>
          <w:vertAlign w:val="subscript"/>
        </w:rPr>
        <w:t>10</w:t>
      </w:r>
      <w:r w:rsidR="00B80B1C">
        <w:t xml:space="preserve"> standard</w:t>
      </w:r>
      <w:r w:rsidR="0004673E">
        <w:t xml:space="preserve">. </w:t>
      </w:r>
      <w:r w:rsidR="00B80B1C">
        <w:t>Importantly, however, they are only affected one year after the first breach of the ambient PM</w:t>
      </w:r>
      <w:r w:rsidR="00B80B1C" w:rsidRPr="00B80B1C">
        <w:rPr>
          <w:vertAlign w:val="subscript"/>
        </w:rPr>
        <w:t>10</w:t>
      </w:r>
      <w:r w:rsidR="00B80B1C">
        <w:t xml:space="preserve"> standard after 1 September 2011</w:t>
      </w:r>
      <w:r w:rsidR="003D5672">
        <w:t>.</w:t>
      </w:r>
    </w:p>
    <w:p w14:paraId="42A776B8" w14:textId="77777777" w:rsidR="00B80B1C" w:rsidRDefault="00B80B1C" w:rsidP="0090025D"/>
    <w:p w14:paraId="2D82545A" w14:textId="77777777" w:rsidR="00B80B1C" w:rsidRDefault="00B80B1C" w:rsidP="0090025D">
      <w:pPr>
        <w:pStyle w:val="BodyText"/>
      </w:pPr>
      <w:r>
        <w:t>The open fire ban further affects home heating manufacturers, retailers, builders, bricklayers, architects and territorial authorities who sell, design, install and/or grant building consents for the installation of solid-fuelled open fires.</w:t>
      </w:r>
      <w:r w:rsidR="00307F42">
        <w:t xml:space="preserve"> It is recommended that </w:t>
      </w:r>
      <w:r w:rsidR="008D3F3A">
        <w:t xml:space="preserve">councils </w:t>
      </w:r>
      <w:r w:rsidR="00307F42">
        <w:t>bring any open fire ban to the particular attention of these groups.</w:t>
      </w:r>
    </w:p>
    <w:p w14:paraId="7BEABC8F" w14:textId="77777777" w:rsidR="00B80B1C" w:rsidRDefault="00B80B1C" w:rsidP="0090025D">
      <w:pPr>
        <w:pStyle w:val="BodyText"/>
      </w:pPr>
    </w:p>
    <w:p w14:paraId="7750BF2B" w14:textId="77777777" w:rsidR="004B0590" w:rsidRDefault="00B80B1C" w:rsidP="0090025D">
      <w:r>
        <w:t>The open fire ban</w:t>
      </w:r>
      <w:r w:rsidR="004B0590">
        <w:t xml:space="preserve"> does not affect people installing woodburners (refer to </w:t>
      </w:r>
      <w:r w:rsidR="004B0590" w:rsidRPr="008D3E65">
        <w:t>section 5.</w:t>
      </w:r>
      <w:r w:rsidR="006E6057" w:rsidRPr="008D3E65">
        <w:t>2</w:t>
      </w:r>
      <w:r w:rsidR="004B0590">
        <w:t>), cooking ranges, coal burners, pellet fires or enclosed multi fuel burners.</w:t>
      </w:r>
    </w:p>
    <w:p w14:paraId="6FC2D352" w14:textId="77777777" w:rsidR="00D648E9" w:rsidRDefault="00265EFF" w:rsidP="0090025D">
      <w:pPr>
        <w:pStyle w:val="Heading3"/>
      </w:pPr>
      <w:r>
        <w:t>5.</w:t>
      </w:r>
      <w:r w:rsidR="006E6057">
        <w:t>3</w:t>
      </w:r>
      <w:r>
        <w:t>.</w:t>
      </w:r>
      <w:r w:rsidR="00480499">
        <w:t>7</w:t>
      </w:r>
      <w:r w:rsidR="00D648E9">
        <w:tab/>
        <w:t>Implementation</w:t>
      </w:r>
    </w:p>
    <w:p w14:paraId="2031F6FD" w14:textId="77777777" w:rsidR="00FC2C6B" w:rsidRDefault="00FC2C6B" w:rsidP="0090025D">
      <w:r>
        <w:t>It should be noted that t</w:t>
      </w:r>
      <w:r w:rsidRPr="00234369">
        <w:t xml:space="preserve">he </w:t>
      </w:r>
      <w:r>
        <w:t xml:space="preserve">open fire </w:t>
      </w:r>
      <w:r w:rsidR="00C500EF">
        <w:t>Regulation</w:t>
      </w:r>
      <w:r>
        <w:t xml:space="preserve"> refers</w:t>
      </w:r>
      <w:r w:rsidRPr="00234369">
        <w:t xml:space="preserve"> to the </w:t>
      </w:r>
      <w:r w:rsidRPr="00234369">
        <w:rPr>
          <w:i/>
        </w:rPr>
        <w:t>installation</w:t>
      </w:r>
      <w:r w:rsidRPr="00234369">
        <w:t xml:space="preserve"> of </w:t>
      </w:r>
      <w:r w:rsidR="0004673E">
        <w:t xml:space="preserve">solid-fuel burning open fires. </w:t>
      </w:r>
      <w:r>
        <w:t>Open fires</w:t>
      </w:r>
      <w:r w:rsidRPr="00234369">
        <w:t xml:space="preserve"> can </w:t>
      </w:r>
      <w:r>
        <w:t xml:space="preserve">still be sold </w:t>
      </w:r>
      <w:r w:rsidR="00200E09">
        <w:t xml:space="preserve">or built </w:t>
      </w:r>
      <w:r>
        <w:t xml:space="preserve">but they may </w:t>
      </w:r>
      <w:r w:rsidRPr="00234369">
        <w:t xml:space="preserve">then only be installed in homes </w:t>
      </w:r>
      <w:r>
        <w:t>outside the regulated airshed</w:t>
      </w:r>
      <w:r w:rsidRPr="00234369">
        <w:t>.</w:t>
      </w:r>
      <w:r w:rsidR="00420518">
        <w:t xml:space="preserve"> The opportunity to remind builders and installers of the open fire ban arises during the application for a building permit for the fire from a local council. Regional councils should therefore maintain a good working relationship with their local councils to aid in the exchange of information and enforcement of the ban. </w:t>
      </w:r>
    </w:p>
    <w:p w14:paraId="37DD07AD" w14:textId="77777777" w:rsidR="00200E09" w:rsidRDefault="00200E09" w:rsidP="0090025D"/>
    <w:p w14:paraId="357C416E" w14:textId="77777777" w:rsidR="00200E09" w:rsidRPr="00234369" w:rsidRDefault="00200E09" w:rsidP="0090025D">
      <w:r>
        <w:t xml:space="preserve">The open fire </w:t>
      </w:r>
      <w:r w:rsidR="00265EFF">
        <w:t>ban only applies</w:t>
      </w:r>
      <w:r>
        <w:t xml:space="preserve"> to airsheds where a ban </w:t>
      </w:r>
      <w:r w:rsidR="00420518">
        <w:t>has come into force</w:t>
      </w:r>
      <w:r w:rsidR="001A3487">
        <w:t xml:space="preserve"> and </w:t>
      </w:r>
      <w:r w:rsidR="00265EFF">
        <w:t xml:space="preserve">it is </w:t>
      </w:r>
      <w:r w:rsidR="0004673E">
        <w:t xml:space="preserve">not retrospective. </w:t>
      </w:r>
      <w:r w:rsidR="001A3487">
        <w:t>I</w:t>
      </w:r>
      <w:r w:rsidR="00420518">
        <w:t>t will be lawful to continue to use</w:t>
      </w:r>
      <w:r w:rsidR="001A3487">
        <w:t xml:space="preserve"> existing open fire</w:t>
      </w:r>
      <w:r w:rsidR="00420518">
        <w:t>s</w:t>
      </w:r>
      <w:r w:rsidR="001A3487">
        <w:t xml:space="preserve"> within a dwelling </w:t>
      </w:r>
      <w:r w:rsidR="00265EFF">
        <w:t xml:space="preserve">(unless </w:t>
      </w:r>
      <w:r w:rsidR="00420518">
        <w:t>local</w:t>
      </w:r>
      <w:r w:rsidR="00265EFF">
        <w:t xml:space="preserve"> rules say otherwise)</w:t>
      </w:r>
      <w:r w:rsidR="001A3487">
        <w:t>.</w:t>
      </w:r>
    </w:p>
    <w:p w14:paraId="7AE6DAAB" w14:textId="77777777" w:rsidR="00FC2C6B" w:rsidRDefault="00FC2C6B" w:rsidP="0090025D"/>
    <w:p w14:paraId="055FDDCB" w14:textId="77777777" w:rsidR="001A3487" w:rsidRPr="00513BA0" w:rsidRDefault="001A3487" w:rsidP="0090025D">
      <w:r w:rsidRPr="00513BA0">
        <w:t>A region may have several different airsheds and not all the airsheds may have breached the PM</w:t>
      </w:r>
      <w:r w:rsidRPr="00513BA0">
        <w:rPr>
          <w:vertAlign w:val="subscript"/>
        </w:rPr>
        <w:t>10</w:t>
      </w:r>
      <w:r w:rsidR="0004673E">
        <w:t xml:space="preserve"> standard.</w:t>
      </w:r>
      <w:r w:rsidRPr="00513BA0">
        <w:t xml:space="preserve"> The open fire ban only applies to the airsheds where the PM</w:t>
      </w:r>
      <w:r w:rsidRPr="00513BA0">
        <w:rPr>
          <w:vertAlign w:val="subscript"/>
        </w:rPr>
        <w:t>10</w:t>
      </w:r>
      <w:r w:rsidR="0004673E">
        <w:t xml:space="preserve"> standard has been breached.</w:t>
      </w:r>
      <w:r w:rsidRPr="00513BA0">
        <w:t xml:space="preserve"> If a regional council wishes to have an open fire ban in airsheds where the standard has not been breached (as established by Regulation 24A) then a regional rule or a by</w:t>
      </w:r>
      <w:r w:rsidR="008D3E65">
        <w:t>law will need to be promulgated. T</w:t>
      </w:r>
      <w:r w:rsidRPr="00513BA0">
        <w:t>he Regulations cannot be used</w:t>
      </w:r>
      <w:r w:rsidR="008D3E65">
        <w:t xml:space="preserve"> for this purpose</w:t>
      </w:r>
      <w:r w:rsidRPr="00513BA0">
        <w:t>.</w:t>
      </w:r>
    </w:p>
    <w:p w14:paraId="49CC5809" w14:textId="77777777" w:rsidR="001A3487" w:rsidRPr="00513BA0" w:rsidRDefault="001A3487" w:rsidP="0090025D"/>
    <w:p w14:paraId="3F5A4050" w14:textId="77777777" w:rsidR="005C5B65" w:rsidRDefault="00513BA0" w:rsidP="0090025D">
      <w:r>
        <w:t>Where</w:t>
      </w:r>
      <w:r w:rsidR="001A3487" w:rsidRPr="00513BA0">
        <w:t xml:space="preserve"> a region has several airsheds</w:t>
      </w:r>
      <w:r w:rsidR="008D3E65">
        <w:t>,</w:t>
      </w:r>
      <w:r w:rsidR="001A3487" w:rsidRPr="00513BA0">
        <w:t xml:space="preserve"> it is likely that the</w:t>
      </w:r>
      <w:r w:rsidR="00DB46FA" w:rsidRPr="00513BA0">
        <w:t xml:space="preserve"> airsheds </w:t>
      </w:r>
      <w:r w:rsidR="00265EFF">
        <w:t>w</w:t>
      </w:r>
      <w:r w:rsidR="00DB46FA" w:rsidRPr="00513BA0">
        <w:t xml:space="preserve">ould </w:t>
      </w:r>
      <w:r w:rsidR="001A3487" w:rsidRPr="00513BA0">
        <w:t>all have</w:t>
      </w:r>
      <w:r w:rsidR="00DB46FA" w:rsidRPr="00513BA0">
        <w:t xml:space="preserve"> different implementation dates</w:t>
      </w:r>
      <w:r w:rsidR="001A3487" w:rsidRPr="00513BA0">
        <w:t xml:space="preserve"> for the open fire ban</w:t>
      </w:r>
      <w:r w:rsidR="00DB46FA" w:rsidRPr="00513BA0">
        <w:t xml:space="preserve"> due to </w:t>
      </w:r>
      <w:r w:rsidR="001A3487" w:rsidRPr="00513BA0">
        <w:t xml:space="preserve">the </w:t>
      </w:r>
      <w:r w:rsidR="00DB46FA" w:rsidRPr="00513BA0">
        <w:t>different times that the PM</w:t>
      </w:r>
      <w:r w:rsidR="00DB46FA" w:rsidRPr="00513BA0">
        <w:rPr>
          <w:vertAlign w:val="subscript"/>
        </w:rPr>
        <w:t>10</w:t>
      </w:r>
      <w:r w:rsidR="00DB46FA" w:rsidRPr="00513BA0">
        <w:t xml:space="preserve"> standard is breached.</w:t>
      </w:r>
      <w:r w:rsidR="0004673E">
        <w:t xml:space="preserve"> </w:t>
      </w:r>
      <w:r w:rsidR="001A3487" w:rsidRPr="00513BA0">
        <w:t xml:space="preserve">It will be very important for regional councils to provide detailed education material to the public within affected airsheds </w:t>
      </w:r>
      <w:r w:rsidR="00420518">
        <w:t xml:space="preserve">and provide training for staff </w:t>
      </w:r>
      <w:r w:rsidRPr="00513BA0">
        <w:t>on when and where open fire bans are in force.</w:t>
      </w:r>
    </w:p>
    <w:p w14:paraId="04621E40" w14:textId="77777777" w:rsidR="00420518" w:rsidRDefault="00420518" w:rsidP="0090025D"/>
    <w:p w14:paraId="432F20EA" w14:textId="77777777" w:rsidR="00420518" w:rsidRDefault="00420518" w:rsidP="0090025D">
      <w:r>
        <w:t xml:space="preserve">Some methods </w:t>
      </w:r>
      <w:r w:rsidR="0004673E">
        <w:t xml:space="preserve">councils </w:t>
      </w:r>
      <w:r>
        <w:t>could use to inform the public of the bans include:</w:t>
      </w:r>
    </w:p>
    <w:p w14:paraId="020E9C89" w14:textId="77777777" w:rsidR="00420518" w:rsidRDefault="00420518" w:rsidP="000C700D">
      <w:pPr>
        <w:pStyle w:val="Bullet"/>
        <w:numPr>
          <w:ilvl w:val="0"/>
          <w:numId w:val="14"/>
        </w:numPr>
        <w:ind w:left="357" w:hanging="357"/>
      </w:pPr>
      <w:r>
        <w:t>publishing maps</w:t>
      </w:r>
      <w:r w:rsidR="00AC1341">
        <w:t xml:space="preserve"> of affected areas</w:t>
      </w:r>
    </w:p>
    <w:p w14:paraId="0597D9FD" w14:textId="77777777" w:rsidR="00420518" w:rsidRDefault="00420518" w:rsidP="000C700D">
      <w:pPr>
        <w:pStyle w:val="Bullet"/>
        <w:numPr>
          <w:ilvl w:val="0"/>
          <w:numId w:val="14"/>
        </w:numPr>
        <w:ind w:left="357" w:hanging="357"/>
      </w:pPr>
      <w:r>
        <w:t>providing lists of affected postcodes or street names</w:t>
      </w:r>
    </w:p>
    <w:p w14:paraId="2D926474" w14:textId="77777777" w:rsidR="00420518" w:rsidRDefault="00420518" w:rsidP="000C700D">
      <w:pPr>
        <w:pStyle w:val="Bullet"/>
        <w:numPr>
          <w:ilvl w:val="0"/>
          <w:numId w:val="14"/>
        </w:numPr>
        <w:ind w:left="357" w:hanging="357"/>
      </w:pPr>
      <w:r>
        <w:t>letter drops to builders, architects, and appliance retailers</w:t>
      </w:r>
    </w:p>
    <w:p w14:paraId="642480AF" w14:textId="77777777" w:rsidR="00420518" w:rsidRDefault="00AC1341" w:rsidP="000C700D">
      <w:pPr>
        <w:pStyle w:val="Bullet"/>
        <w:numPr>
          <w:ilvl w:val="0"/>
          <w:numId w:val="14"/>
        </w:numPr>
        <w:ind w:left="357" w:hanging="357"/>
      </w:pPr>
      <w:r>
        <w:t xml:space="preserve">working with local councils to </w:t>
      </w:r>
      <w:r w:rsidR="00420518">
        <w:t>advi</w:t>
      </w:r>
      <w:r>
        <w:t>se applicants for</w:t>
      </w:r>
      <w:r w:rsidR="00420518">
        <w:t xml:space="preserve"> resource </w:t>
      </w:r>
      <w:r>
        <w:t xml:space="preserve">or building </w:t>
      </w:r>
      <w:r w:rsidR="00420518">
        <w:t>consent</w:t>
      </w:r>
      <w:r>
        <w:t>s</w:t>
      </w:r>
      <w:r w:rsidR="00420518">
        <w:t xml:space="preserve"> for domestic dwellings</w:t>
      </w:r>
      <w:r>
        <w:t xml:space="preserve"> of the ban.</w:t>
      </w:r>
    </w:p>
    <w:p w14:paraId="6769A043" w14:textId="77777777" w:rsidR="001703DB" w:rsidRDefault="00480499" w:rsidP="0090025D">
      <w:pPr>
        <w:pStyle w:val="Heading3"/>
      </w:pPr>
      <w:r>
        <w:t>5.</w:t>
      </w:r>
      <w:r w:rsidR="006E6057">
        <w:t>3</w:t>
      </w:r>
      <w:r>
        <w:t>.8</w:t>
      </w:r>
      <w:r w:rsidR="005E2706">
        <w:tab/>
      </w:r>
      <w:r w:rsidR="001703DB">
        <w:t xml:space="preserve">Impact on </w:t>
      </w:r>
      <w:r w:rsidR="00FD76FC">
        <w:t>regional plans</w:t>
      </w:r>
    </w:p>
    <w:p w14:paraId="5A361509" w14:textId="77777777" w:rsidR="00B0788F" w:rsidRDefault="00B0788F" w:rsidP="0090025D">
      <w:r w:rsidRPr="00234369">
        <w:t xml:space="preserve">The </w:t>
      </w:r>
      <w:r w:rsidR="002D574D" w:rsidRPr="00234369">
        <w:t>Regulations</w:t>
      </w:r>
      <w:r w:rsidRPr="00234369">
        <w:t xml:space="preserve"> </w:t>
      </w:r>
      <w:r>
        <w:t>are mandatory under</w:t>
      </w:r>
      <w:r w:rsidRPr="00234369">
        <w:t xml:space="preserve"> the RMA</w:t>
      </w:r>
      <w:r w:rsidR="00FD76FC">
        <w:t xml:space="preserve">. </w:t>
      </w:r>
      <w:r w:rsidRPr="00234369">
        <w:t>They automatically supersede an</w:t>
      </w:r>
      <w:r>
        <w:t>y relevant regional plan rules (</w:t>
      </w:r>
      <w:r w:rsidRPr="00234369">
        <w:t>unless the local government controls are stricter</w:t>
      </w:r>
      <w:r>
        <w:t>)</w:t>
      </w:r>
      <w:r w:rsidRPr="00234369">
        <w:t>.</w:t>
      </w:r>
    </w:p>
    <w:p w14:paraId="67D1ED48" w14:textId="77777777" w:rsidR="00B0788F" w:rsidRDefault="00B0788F" w:rsidP="0090025D"/>
    <w:p w14:paraId="7B88DC63" w14:textId="77777777" w:rsidR="001703DB" w:rsidRDefault="0007677F" w:rsidP="0090025D">
      <w:r>
        <w:t xml:space="preserve">As a result of the 2009 amendments to the RMA, section 44A(5) of the RMA requires that regional councils </w:t>
      </w:r>
      <w:r w:rsidRPr="0007677F">
        <w:rPr>
          <w:b/>
        </w:rPr>
        <w:t>must</w:t>
      </w:r>
      <w:r>
        <w:t xml:space="preserve"> remove regional plan rules that are more lenient than</w:t>
      </w:r>
      <w:r w:rsidR="00E922DC">
        <w:t>, or conflict with,</w:t>
      </w:r>
      <w:r>
        <w:t xml:space="preserve"> the national environmen</w:t>
      </w:r>
      <w:r w:rsidR="0004673E">
        <w:t xml:space="preserve">tal standards for air quality. </w:t>
      </w:r>
      <w:r>
        <w:t xml:space="preserve">Removal </w:t>
      </w:r>
      <w:r w:rsidR="00AB479A" w:rsidRPr="00AB479A">
        <w:t>may</w:t>
      </w:r>
      <w:r>
        <w:t xml:space="preserve"> be carried out without using </w:t>
      </w:r>
      <w:r w:rsidR="00826C79">
        <w:t xml:space="preserve">the </w:t>
      </w:r>
      <w:r w:rsidR="007A70FA">
        <w:t>detailed</w:t>
      </w:r>
      <w:r w:rsidR="00826C79">
        <w:t xml:space="preserve"> processes for plan changes </w:t>
      </w:r>
      <w:r w:rsidR="007A70FA">
        <w:t>normally required by</w:t>
      </w:r>
      <w:r w:rsidR="00826C79">
        <w:t xml:space="preserve"> Schedule 1 of the RMA </w:t>
      </w:r>
      <w:r>
        <w:t>and must be done as soon as practicable.</w:t>
      </w:r>
      <w:r w:rsidR="007B27B6">
        <w:t xml:space="preserve">  </w:t>
      </w:r>
    </w:p>
    <w:p w14:paraId="4C7BBE1F" w14:textId="77777777" w:rsidR="0007677F" w:rsidRDefault="0007677F" w:rsidP="0090025D"/>
    <w:p w14:paraId="4239845A" w14:textId="77777777" w:rsidR="0047044F" w:rsidRDefault="0007677F" w:rsidP="0090025D">
      <w:r>
        <w:t xml:space="preserve">Regulation 28 allows for more stringent rules, resource consents or bylaws than </w:t>
      </w:r>
      <w:r w:rsidR="00C500EF">
        <w:t>Regulation</w:t>
      </w:r>
      <w:r>
        <w:t xml:space="preserve"> 24A.  For example</w:t>
      </w:r>
      <w:r w:rsidR="0047044F">
        <w:t>, this means:</w:t>
      </w:r>
    </w:p>
    <w:p w14:paraId="33974969" w14:textId="77777777" w:rsidR="0047044F" w:rsidRDefault="00FA38E0" w:rsidP="000C700D">
      <w:pPr>
        <w:pStyle w:val="Bullet"/>
        <w:numPr>
          <w:ilvl w:val="0"/>
          <w:numId w:val="14"/>
        </w:numPr>
        <w:ind w:left="357" w:hanging="357"/>
      </w:pPr>
      <w:r>
        <w:t xml:space="preserve">regional </w:t>
      </w:r>
      <w:r w:rsidR="0007677F">
        <w:t>plans can prohibit open fires without requiring a breach of the PM</w:t>
      </w:r>
      <w:r w:rsidR="0007677F" w:rsidRPr="00261A2A">
        <w:rPr>
          <w:vertAlign w:val="subscript"/>
        </w:rPr>
        <w:t>10</w:t>
      </w:r>
      <w:r w:rsidR="0007677F">
        <w:t xml:space="preserve"> standard to have occurred in an airshed first</w:t>
      </w:r>
    </w:p>
    <w:p w14:paraId="4DE81D61" w14:textId="77777777" w:rsidR="0047044F" w:rsidRDefault="00FA38E0" w:rsidP="000C700D">
      <w:pPr>
        <w:pStyle w:val="Bullet"/>
        <w:numPr>
          <w:ilvl w:val="0"/>
          <w:numId w:val="14"/>
        </w:numPr>
        <w:ind w:left="357" w:hanging="357"/>
      </w:pPr>
      <w:r>
        <w:t xml:space="preserve">regional </w:t>
      </w:r>
      <w:r w:rsidR="0007677F">
        <w:t>plan</w:t>
      </w:r>
      <w:r w:rsidR="0047044F">
        <w:t>s</w:t>
      </w:r>
      <w:r w:rsidR="0007677F">
        <w:t xml:space="preserve"> could require resource consent to be issued for open fires (</w:t>
      </w:r>
      <w:r w:rsidR="0047044F">
        <w:t>f</w:t>
      </w:r>
      <w:r w:rsidR="0007677F">
        <w:t>or any activity status) where an airshed is unlikely to ever exceed the PM</w:t>
      </w:r>
      <w:r w:rsidR="0007677F" w:rsidRPr="00261A2A">
        <w:rPr>
          <w:vertAlign w:val="subscript"/>
        </w:rPr>
        <w:t>10</w:t>
      </w:r>
      <w:r w:rsidR="0004673E">
        <w:t xml:space="preserve"> standard.</w:t>
      </w:r>
    </w:p>
    <w:p w14:paraId="5CBC0314" w14:textId="77777777" w:rsidR="003B4A9C" w:rsidRDefault="003B4A9C" w:rsidP="0090025D"/>
    <w:p w14:paraId="33CF053C" w14:textId="77777777" w:rsidR="003B4A9C" w:rsidRDefault="003B4A9C" w:rsidP="0090025D">
      <w:r>
        <w:t xml:space="preserve">A regional plan cannot allow resource consent for a </w:t>
      </w:r>
      <w:r w:rsidR="00AB479A">
        <w:t xml:space="preserve">new </w:t>
      </w:r>
      <w:r w:rsidR="000D6A11">
        <w:t>solid-fuel burning</w:t>
      </w:r>
      <w:r>
        <w:t xml:space="preserve"> open fire to be granted in an airshed </w:t>
      </w:r>
      <w:r w:rsidR="001B1F05">
        <w:t xml:space="preserve">12 months after the </w:t>
      </w:r>
      <w:r>
        <w:t>PM</w:t>
      </w:r>
      <w:r w:rsidRPr="003B4A9C">
        <w:rPr>
          <w:vertAlign w:val="subscript"/>
        </w:rPr>
        <w:t>10</w:t>
      </w:r>
      <w:r>
        <w:t xml:space="preserve"> standard is breached</w:t>
      </w:r>
      <w:r w:rsidR="000D6A11">
        <w:t xml:space="preserve"> </w:t>
      </w:r>
      <w:r w:rsidR="001B1F05">
        <w:t>(</w:t>
      </w:r>
      <w:r w:rsidR="000D6A11">
        <w:t>after 1 September 2011</w:t>
      </w:r>
      <w:r w:rsidR="001B1F05">
        <w:t>)</w:t>
      </w:r>
      <w:r w:rsidR="0004673E">
        <w:t xml:space="preserve">. </w:t>
      </w:r>
      <w:r w:rsidR="00962A99">
        <w:t xml:space="preserve">If open fires become banned in an airshed where previously a regional plan permitted these (or required resource consent) then the regional plan must be amended to reflect this as soon as practicable. </w:t>
      </w:r>
    </w:p>
    <w:p w14:paraId="2808A903" w14:textId="77777777" w:rsidR="00165117" w:rsidRDefault="000D6A11" w:rsidP="0090025D">
      <w:r>
        <w:t>Some</w:t>
      </w:r>
      <w:r w:rsidR="00165117">
        <w:t xml:space="preserve"> regional plans already have bans on t</w:t>
      </w:r>
      <w:r>
        <w:t xml:space="preserve">he installation of solid-fuel burning open fires in place (eg, </w:t>
      </w:r>
      <w:r w:rsidR="00165117">
        <w:t xml:space="preserve">Canterbury, Auckland and </w:t>
      </w:r>
      <w:r w:rsidR="006C21D7">
        <w:t>Nelson</w:t>
      </w:r>
      <w:r>
        <w:t>)</w:t>
      </w:r>
      <w:r w:rsidR="00165117">
        <w:t>.</w:t>
      </w:r>
    </w:p>
    <w:p w14:paraId="6F48A63D" w14:textId="77777777" w:rsidR="006A510A" w:rsidRDefault="006A510A" w:rsidP="006A510A"/>
    <w:p w14:paraId="511E5D4F" w14:textId="77777777" w:rsidR="006A510A" w:rsidRPr="00A94C35" w:rsidRDefault="006A510A" w:rsidP="00F3133E">
      <w:pPr>
        <w:keepNext/>
        <w:pBdr>
          <w:top w:val="single" w:sz="4" w:space="1" w:color="auto"/>
          <w:left w:val="single" w:sz="4" w:space="4" w:color="auto"/>
          <w:bottom w:val="single" w:sz="4" w:space="1" w:color="auto"/>
          <w:right w:val="single" w:sz="4" w:space="4" w:color="auto"/>
        </w:pBdr>
        <w:spacing w:after="120"/>
        <w:rPr>
          <w:rStyle w:val="SubtleEmphasis"/>
          <w:b/>
          <w:color w:val="auto"/>
          <w:sz w:val="20"/>
        </w:rPr>
      </w:pPr>
      <w:r w:rsidRPr="00A94C35">
        <w:rPr>
          <w:rStyle w:val="SubtleEmphasis"/>
          <w:b/>
          <w:color w:val="auto"/>
          <w:sz w:val="20"/>
        </w:rPr>
        <w:t>Example 5.2</w:t>
      </w:r>
    </w:p>
    <w:p w14:paraId="14EE6FF3" w14:textId="77777777" w:rsidR="006A510A" w:rsidRPr="00A94C35" w:rsidRDefault="006A510A" w:rsidP="006A510A">
      <w:pPr>
        <w:keepNext/>
        <w:pBdr>
          <w:top w:val="single" w:sz="4" w:space="1" w:color="auto"/>
          <w:left w:val="single" w:sz="4" w:space="4" w:color="auto"/>
          <w:bottom w:val="single" w:sz="4" w:space="1" w:color="auto"/>
          <w:right w:val="single" w:sz="4" w:space="4" w:color="auto"/>
        </w:pBdr>
        <w:rPr>
          <w:rStyle w:val="SubtleEmphasis"/>
          <w:color w:val="auto"/>
          <w:sz w:val="20"/>
        </w:rPr>
      </w:pPr>
      <w:r w:rsidRPr="00A94C35">
        <w:rPr>
          <w:rStyle w:val="SubtleEmphasis"/>
          <w:color w:val="auto"/>
          <w:sz w:val="20"/>
        </w:rPr>
        <w:t xml:space="preserve">The operative Lancewood Regional Council Air Plan requires domestic open fires to obtain a discretionary consent if installed anywhere in the region. The </w:t>
      </w:r>
      <w:r w:rsidR="00E40545" w:rsidRPr="00A94C35">
        <w:rPr>
          <w:rStyle w:val="SubtleEmphasis"/>
          <w:color w:val="auto"/>
          <w:sz w:val="20"/>
        </w:rPr>
        <w:t>Kākāpō</w:t>
      </w:r>
      <w:r w:rsidRPr="00A94C35">
        <w:rPr>
          <w:rStyle w:val="SubtleEmphasis"/>
          <w:color w:val="auto"/>
          <w:sz w:val="20"/>
        </w:rPr>
        <w:t xml:space="preserve"> Airshed breaches the ambient PM</w:t>
      </w:r>
      <w:r w:rsidRPr="00A94C35">
        <w:rPr>
          <w:rStyle w:val="SubtleEmphasis"/>
          <w:color w:val="auto"/>
          <w:sz w:val="20"/>
          <w:vertAlign w:val="subscript"/>
        </w:rPr>
        <w:t>10</w:t>
      </w:r>
      <w:r w:rsidRPr="00A94C35">
        <w:rPr>
          <w:rStyle w:val="SubtleEmphasis"/>
          <w:color w:val="auto"/>
          <w:sz w:val="20"/>
        </w:rPr>
        <w:t xml:space="preserve"> standard on 30 June 2012 and the </w:t>
      </w:r>
      <w:r w:rsidR="00E40545" w:rsidRPr="00A94C35">
        <w:rPr>
          <w:rStyle w:val="SubtleEmphasis"/>
          <w:color w:val="auto"/>
          <w:sz w:val="20"/>
        </w:rPr>
        <w:t xml:space="preserve">Lancewood </w:t>
      </w:r>
      <w:r w:rsidRPr="00A94C35">
        <w:rPr>
          <w:rStyle w:val="SubtleEmphasis"/>
          <w:color w:val="auto"/>
          <w:sz w:val="20"/>
        </w:rPr>
        <w:t>Regional Council notifies that the ban on domestic solid-fuelled open fires will commence on 1 July 2013. Therefore:</w:t>
      </w:r>
    </w:p>
    <w:p w14:paraId="1A49855C" w14:textId="77777777" w:rsidR="006A510A" w:rsidRPr="00A94C35" w:rsidRDefault="006A510A" w:rsidP="006A510A">
      <w:pPr>
        <w:pBdr>
          <w:top w:val="single" w:sz="4" w:space="1" w:color="auto"/>
          <w:left w:val="single" w:sz="4" w:space="4" w:color="auto"/>
          <w:bottom w:val="single" w:sz="4" w:space="1" w:color="auto"/>
          <w:right w:val="single" w:sz="4" w:space="4" w:color="auto"/>
        </w:pBdr>
        <w:rPr>
          <w:rStyle w:val="SubtleEmphasis"/>
          <w:color w:val="auto"/>
          <w:sz w:val="20"/>
        </w:rPr>
      </w:pPr>
    </w:p>
    <w:p w14:paraId="118DEA39" w14:textId="77777777" w:rsidR="006A510A" w:rsidRPr="00A94C35" w:rsidRDefault="006A510A" w:rsidP="006A510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550" w:hanging="550"/>
        <w:rPr>
          <w:rStyle w:val="SubtleEmphasis"/>
          <w:color w:val="auto"/>
          <w:sz w:val="20"/>
        </w:rPr>
      </w:pPr>
      <w:r w:rsidRPr="00A94C35">
        <w:rPr>
          <w:rStyle w:val="SubtleEmphasis"/>
          <w:color w:val="auto"/>
          <w:sz w:val="20"/>
        </w:rPr>
        <w:t>Until 30 June 2013</w:t>
      </w:r>
    </w:p>
    <w:p w14:paraId="0C5F5158"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t>-</w:t>
      </w:r>
      <w:r w:rsidRPr="00A94C35">
        <w:rPr>
          <w:rStyle w:val="SubtleEmphasis"/>
          <w:color w:val="auto"/>
          <w:sz w:val="20"/>
        </w:rPr>
        <w:tab/>
        <w:t xml:space="preserve">all new domestic open fires (including solid-fuelled open fires) installed within the </w:t>
      </w:r>
      <w:r w:rsidR="00E40545" w:rsidRPr="00A94C35">
        <w:rPr>
          <w:rStyle w:val="SubtleEmphasis"/>
          <w:color w:val="auto"/>
          <w:sz w:val="20"/>
        </w:rPr>
        <w:t xml:space="preserve">Lancewood </w:t>
      </w:r>
      <w:r w:rsidR="00A94C35" w:rsidRPr="00A94C35">
        <w:rPr>
          <w:rStyle w:val="SubtleEmphasis"/>
          <w:color w:val="auto"/>
          <w:sz w:val="20"/>
        </w:rPr>
        <w:tab/>
      </w:r>
      <w:r w:rsidR="00A94C35" w:rsidRPr="00A94C35">
        <w:rPr>
          <w:rStyle w:val="SubtleEmphasis"/>
          <w:color w:val="auto"/>
          <w:sz w:val="20"/>
        </w:rPr>
        <w:tab/>
      </w:r>
      <w:r w:rsidR="00261A2A">
        <w:rPr>
          <w:rStyle w:val="SubtleEmphasis"/>
          <w:color w:val="auto"/>
          <w:sz w:val="20"/>
        </w:rPr>
        <w:tab/>
      </w:r>
      <w:r w:rsidRPr="00A94C35">
        <w:rPr>
          <w:rStyle w:val="SubtleEmphasis"/>
          <w:color w:val="auto"/>
          <w:sz w:val="20"/>
        </w:rPr>
        <w:t>Regional</w:t>
      </w:r>
    </w:p>
    <w:p w14:paraId="3FC05F21"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r>
      <w:r w:rsidRPr="00A94C35">
        <w:rPr>
          <w:rStyle w:val="SubtleEmphasis"/>
          <w:color w:val="auto"/>
          <w:sz w:val="20"/>
        </w:rPr>
        <w:tab/>
        <w:t>Council region require a discretionary consent (and may be declined pending the ban)</w:t>
      </w:r>
    </w:p>
    <w:p w14:paraId="520E5DBD"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t>-</w:t>
      </w:r>
      <w:r w:rsidRPr="00A94C35">
        <w:rPr>
          <w:rStyle w:val="SubtleEmphasis"/>
          <w:color w:val="auto"/>
          <w:sz w:val="20"/>
        </w:rPr>
        <w:tab/>
        <w:t>all new commercial (ie, non-domestic) open fires installed within the region are allowed without</w:t>
      </w:r>
    </w:p>
    <w:p w14:paraId="0C2EF2F5"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r>
      <w:r w:rsidRPr="00A94C35">
        <w:rPr>
          <w:rStyle w:val="SubtleEmphasis"/>
          <w:color w:val="auto"/>
          <w:sz w:val="20"/>
        </w:rPr>
        <w:tab/>
        <w:t>a resource consent.</w:t>
      </w:r>
    </w:p>
    <w:p w14:paraId="002B4593"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p>
    <w:p w14:paraId="1718BE18" w14:textId="77777777" w:rsidR="006A510A" w:rsidRPr="00A94C35" w:rsidRDefault="006A510A" w:rsidP="006A510A">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ind w:left="550" w:hanging="550"/>
        <w:rPr>
          <w:rStyle w:val="SubtleEmphasis"/>
          <w:color w:val="auto"/>
          <w:sz w:val="20"/>
        </w:rPr>
      </w:pPr>
      <w:r w:rsidRPr="00A94C35">
        <w:rPr>
          <w:rStyle w:val="SubtleEmphasis"/>
          <w:color w:val="auto"/>
          <w:sz w:val="20"/>
        </w:rPr>
        <w:t>From 1 July 2013</w:t>
      </w:r>
    </w:p>
    <w:p w14:paraId="2B416036"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t>-</w:t>
      </w:r>
      <w:r w:rsidRPr="00A94C35">
        <w:rPr>
          <w:rStyle w:val="SubtleEmphasis"/>
          <w:color w:val="auto"/>
          <w:sz w:val="20"/>
        </w:rPr>
        <w:tab/>
        <w:t xml:space="preserve">the installation of all new domestic solid-fuelled open fires in the </w:t>
      </w:r>
      <w:r w:rsidR="00E40545" w:rsidRPr="00A94C35">
        <w:rPr>
          <w:rStyle w:val="SubtleEmphasis"/>
          <w:color w:val="auto"/>
          <w:sz w:val="20"/>
        </w:rPr>
        <w:t>Kākāpō</w:t>
      </w:r>
      <w:r w:rsidRPr="00A94C35">
        <w:rPr>
          <w:rStyle w:val="SubtleEmphasis"/>
          <w:color w:val="auto"/>
          <w:sz w:val="20"/>
        </w:rPr>
        <w:t xml:space="preserve"> Airshed is prohibited</w:t>
      </w:r>
    </w:p>
    <w:p w14:paraId="0614B006"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t>-</w:t>
      </w:r>
      <w:r w:rsidRPr="00A94C35">
        <w:rPr>
          <w:rStyle w:val="SubtleEmphasis"/>
          <w:color w:val="auto"/>
          <w:sz w:val="20"/>
        </w:rPr>
        <w:tab/>
        <w:t>the installation of all new domestic gas or liquid-fuelled open fires in the region (including the</w:t>
      </w:r>
    </w:p>
    <w:p w14:paraId="62B188E8"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r>
      <w:r w:rsidRPr="00A94C35">
        <w:rPr>
          <w:rStyle w:val="SubtleEmphasis"/>
          <w:color w:val="auto"/>
          <w:sz w:val="20"/>
        </w:rPr>
        <w:tab/>
      </w:r>
      <w:r w:rsidR="00A94C35" w:rsidRPr="00A94C35">
        <w:rPr>
          <w:rStyle w:val="SubtleEmphasis"/>
          <w:color w:val="auto"/>
          <w:sz w:val="20"/>
        </w:rPr>
        <w:t>Kākāpō</w:t>
      </w:r>
      <w:r w:rsidRPr="00A94C35">
        <w:rPr>
          <w:rStyle w:val="SubtleEmphasis"/>
          <w:color w:val="auto"/>
          <w:sz w:val="20"/>
        </w:rPr>
        <w:t xml:space="preserve"> Airshed) requires a discretionary resource consent</w:t>
      </w:r>
    </w:p>
    <w:p w14:paraId="4FDE04FF"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t>-</w:t>
      </w:r>
      <w:r w:rsidRPr="00A94C35">
        <w:rPr>
          <w:rStyle w:val="SubtleEmphasis"/>
          <w:color w:val="auto"/>
          <w:sz w:val="20"/>
        </w:rPr>
        <w:tab/>
        <w:t>the installation of new commercial (ie, non-domestic) open fires within the region is allowed</w:t>
      </w:r>
    </w:p>
    <w:p w14:paraId="137286E0"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rPr>
          <w:rStyle w:val="SubtleEmphasis"/>
          <w:color w:val="auto"/>
          <w:sz w:val="20"/>
        </w:rPr>
      </w:pPr>
      <w:r w:rsidRPr="00A94C35">
        <w:rPr>
          <w:rStyle w:val="SubtleEmphasis"/>
          <w:color w:val="auto"/>
          <w:sz w:val="20"/>
        </w:rPr>
        <w:tab/>
      </w:r>
      <w:r w:rsidRPr="00A94C35">
        <w:rPr>
          <w:rStyle w:val="SubtleEmphasis"/>
          <w:color w:val="auto"/>
          <w:sz w:val="20"/>
        </w:rPr>
        <w:tab/>
        <w:t>without a resource consent</w:t>
      </w:r>
    </w:p>
    <w:p w14:paraId="2BAD09DB" w14:textId="77777777" w:rsidR="006A510A" w:rsidRPr="00A94C35" w:rsidRDefault="006A510A" w:rsidP="006A510A">
      <w:pPr>
        <w:pBdr>
          <w:top w:val="single" w:sz="4" w:space="1" w:color="auto"/>
          <w:left w:val="single" w:sz="4" w:space="4" w:color="auto"/>
          <w:bottom w:val="single" w:sz="4" w:space="1" w:color="auto"/>
          <w:right w:val="single" w:sz="4" w:space="4" w:color="auto"/>
        </w:pBdr>
        <w:tabs>
          <w:tab w:val="left" w:pos="284"/>
          <w:tab w:val="left" w:pos="567"/>
        </w:tabs>
        <w:ind w:left="284" w:hanging="284"/>
        <w:rPr>
          <w:rStyle w:val="SubtleEmphasis"/>
          <w:color w:val="auto"/>
          <w:sz w:val="20"/>
        </w:rPr>
      </w:pPr>
      <w:r w:rsidRPr="00A94C35">
        <w:rPr>
          <w:rStyle w:val="SubtleEmphasis"/>
          <w:color w:val="auto"/>
          <w:sz w:val="20"/>
        </w:rPr>
        <w:tab/>
        <w:t>-</w:t>
      </w:r>
      <w:r w:rsidRPr="00A94C35">
        <w:rPr>
          <w:rStyle w:val="SubtleEmphasis"/>
          <w:color w:val="auto"/>
          <w:sz w:val="20"/>
        </w:rPr>
        <w:tab/>
        <w:t xml:space="preserve">the </w:t>
      </w:r>
      <w:r w:rsidR="00A94C35" w:rsidRPr="00A94C35">
        <w:rPr>
          <w:rStyle w:val="SubtleEmphasis"/>
          <w:color w:val="auto"/>
          <w:sz w:val="20"/>
        </w:rPr>
        <w:t xml:space="preserve">Lancewood </w:t>
      </w:r>
      <w:r w:rsidRPr="00A94C35">
        <w:rPr>
          <w:rStyle w:val="SubtleEmphasis"/>
          <w:color w:val="auto"/>
          <w:sz w:val="20"/>
        </w:rPr>
        <w:t>Regional Council Air Plan must be amended to reflect the above.</w:t>
      </w:r>
    </w:p>
    <w:p w14:paraId="285FDF2A" w14:textId="77777777" w:rsidR="00B8553D" w:rsidRDefault="00B8553D" w:rsidP="00A94C35">
      <w:pPr>
        <w:rPr>
          <w:rStyle w:val="SubtleEmphasis"/>
          <w:color w:val="auto"/>
          <w:sz w:val="20"/>
        </w:rPr>
      </w:pPr>
    </w:p>
    <w:p w14:paraId="0101287A" w14:textId="77777777" w:rsidR="0047044F" w:rsidRDefault="006C21D7" w:rsidP="0090025D">
      <w:r w:rsidRPr="00CE02AC">
        <w:t xml:space="preserve">Open fires may potentially be regulated by regional plans, the Regulations and local bylaws; and each set of requirements may be different. </w:t>
      </w:r>
      <w:r w:rsidR="00CE02AC" w:rsidRPr="00CE02AC">
        <w:t xml:space="preserve">Therefore, to avoid confusion, </w:t>
      </w:r>
      <w:r w:rsidRPr="00CE02AC">
        <w:t>it is important that r</w:t>
      </w:r>
      <w:r w:rsidR="00513BA0" w:rsidRPr="00CE02AC">
        <w:t xml:space="preserve">egional </w:t>
      </w:r>
      <w:r w:rsidR="00480499">
        <w:t xml:space="preserve">councils </w:t>
      </w:r>
      <w:r w:rsidR="00513BA0" w:rsidRPr="00CE02AC">
        <w:t xml:space="preserve">provide </w:t>
      </w:r>
      <w:r w:rsidR="00AC1341">
        <w:t>explanatory</w:t>
      </w:r>
      <w:r w:rsidR="00513BA0" w:rsidRPr="00CE02AC">
        <w:t xml:space="preserve"> material to</w:t>
      </w:r>
      <w:r w:rsidR="00CE02AC" w:rsidRPr="00CE02AC">
        <w:t xml:space="preserve"> people who may be affected</w:t>
      </w:r>
      <w:r w:rsidRPr="00CE02AC">
        <w:t>.</w:t>
      </w:r>
      <w:r w:rsidR="00513BA0" w:rsidRPr="00CE02AC">
        <w:t xml:space="preserve"> </w:t>
      </w:r>
    </w:p>
    <w:p w14:paraId="247A781C" w14:textId="77777777" w:rsidR="00E54515" w:rsidRPr="00E54515" w:rsidRDefault="00E54515" w:rsidP="0090025D">
      <w:pPr>
        <w:rPr>
          <w:i/>
          <w:iCs/>
        </w:rPr>
      </w:pPr>
    </w:p>
    <w:p w14:paraId="095E8EF6" w14:textId="77777777" w:rsidR="00A274E3" w:rsidRPr="00731020" w:rsidRDefault="00A274E3" w:rsidP="0090025D">
      <w:pPr>
        <w:pStyle w:val="Heading2"/>
      </w:pPr>
      <w:bookmarkStart w:id="179" w:name="_Toc77997013"/>
      <w:bookmarkStart w:id="180" w:name="_Toc87954635"/>
      <w:bookmarkStart w:id="181" w:name="_Toc222291809"/>
      <w:bookmarkStart w:id="182" w:name="_Toc222292155"/>
      <w:bookmarkStart w:id="183" w:name="_Toc222292243"/>
      <w:bookmarkStart w:id="184" w:name="_Toc242861966"/>
      <w:bookmarkStart w:id="185" w:name="_Toc300856627"/>
      <w:r>
        <w:t>5</w:t>
      </w:r>
      <w:r w:rsidR="00D16C70">
        <w:t>.4</w:t>
      </w:r>
      <w:r w:rsidRPr="00731020">
        <w:tab/>
      </w:r>
      <w:bookmarkEnd w:id="179"/>
      <w:r>
        <w:t>Role of territorial authorities</w:t>
      </w:r>
      <w:bookmarkEnd w:id="180"/>
      <w:bookmarkEnd w:id="181"/>
      <w:bookmarkEnd w:id="182"/>
      <w:bookmarkEnd w:id="183"/>
      <w:bookmarkEnd w:id="184"/>
      <w:bookmarkEnd w:id="185"/>
    </w:p>
    <w:p w14:paraId="0B9F289B" w14:textId="77777777" w:rsidR="00A274E3" w:rsidRDefault="00A274E3" w:rsidP="0090025D">
      <w:r w:rsidRPr="00234369">
        <w:t xml:space="preserve">Compliance with the </w:t>
      </w:r>
      <w:r w:rsidR="00D16C70">
        <w:t xml:space="preserve">open fire bans and </w:t>
      </w:r>
      <w:r>
        <w:t>woodburner</w:t>
      </w:r>
      <w:r w:rsidRPr="00234369">
        <w:t xml:space="preserve"> standard</w:t>
      </w:r>
      <w:r>
        <w:t>s</w:t>
      </w:r>
      <w:r w:rsidRPr="00234369">
        <w:t xml:space="preserve"> </w:t>
      </w:r>
      <w:r>
        <w:t>is the responsib</w:t>
      </w:r>
      <w:r w:rsidR="0004673E">
        <w:t>ility of the regional councils.</w:t>
      </w:r>
      <w:r>
        <w:t xml:space="preserve"> However, in practice, the role of the territorial authorities is paramount. </w:t>
      </w:r>
    </w:p>
    <w:p w14:paraId="73E58B19" w14:textId="77777777" w:rsidR="00493F5D" w:rsidRDefault="00493F5D" w:rsidP="0090025D"/>
    <w:p w14:paraId="48163CE6" w14:textId="77777777" w:rsidR="00493F5D" w:rsidRDefault="00D16C70" w:rsidP="0090025D">
      <w:pPr>
        <w:rPr>
          <w:color w:val="000000"/>
          <w:szCs w:val="24"/>
          <w:lang w:val="en-US" w:eastAsia="en-NZ"/>
        </w:rPr>
      </w:pPr>
      <w:r>
        <w:t xml:space="preserve">All new domestic fire installations </w:t>
      </w:r>
      <w:r w:rsidR="00A274E3" w:rsidRPr="00234369">
        <w:t xml:space="preserve">require a building consent from their </w:t>
      </w:r>
      <w:r w:rsidR="00A274E3">
        <w:t xml:space="preserve">territorial authority to ensure they </w:t>
      </w:r>
      <w:r w:rsidR="00A274E3" w:rsidRPr="00AE519F">
        <w:t>meet</w:t>
      </w:r>
      <w:r w:rsidR="00A274E3">
        <w:t xml:space="preserve"> Building C</w:t>
      </w:r>
      <w:r w:rsidR="00A274E3" w:rsidRPr="00234369">
        <w:t xml:space="preserve">ode requirements </w:t>
      </w:r>
      <w:r w:rsidR="00A274E3">
        <w:t xml:space="preserve">(eg, </w:t>
      </w:r>
      <w:r w:rsidR="00A274E3" w:rsidRPr="00234369">
        <w:t>safety and structura</w:t>
      </w:r>
      <w:r w:rsidR="0004673E">
        <w:t xml:space="preserve">l integrity). </w:t>
      </w:r>
      <w:r w:rsidR="00A274E3">
        <w:rPr>
          <w:color w:val="000000"/>
          <w:szCs w:val="24"/>
          <w:lang w:val="en-US" w:eastAsia="en-NZ"/>
        </w:rPr>
        <w:t xml:space="preserve">The national environmental standards for air quality are </w:t>
      </w:r>
      <w:r w:rsidR="002D574D">
        <w:rPr>
          <w:color w:val="000000"/>
          <w:szCs w:val="24"/>
          <w:lang w:val="en-US" w:eastAsia="en-NZ"/>
        </w:rPr>
        <w:t>regulations</w:t>
      </w:r>
      <w:r w:rsidR="00A274E3">
        <w:rPr>
          <w:color w:val="000000"/>
          <w:szCs w:val="24"/>
          <w:lang w:val="en-US" w:eastAsia="en-NZ"/>
        </w:rPr>
        <w:t xml:space="preserve"> made under the R</w:t>
      </w:r>
      <w:r w:rsidR="00D422D3">
        <w:rPr>
          <w:color w:val="000000"/>
          <w:szCs w:val="24"/>
          <w:lang w:val="en-US" w:eastAsia="en-NZ"/>
        </w:rPr>
        <w:t>MA</w:t>
      </w:r>
      <w:r w:rsidR="0004673E">
        <w:rPr>
          <w:color w:val="000000"/>
          <w:szCs w:val="24"/>
          <w:lang w:val="en-US" w:eastAsia="en-NZ"/>
        </w:rPr>
        <w:t>.</w:t>
      </w:r>
      <w:r w:rsidR="00A274E3">
        <w:rPr>
          <w:color w:val="000000"/>
          <w:szCs w:val="24"/>
          <w:lang w:val="en-US" w:eastAsia="en-NZ"/>
        </w:rPr>
        <w:t xml:space="preserve"> There is no link between the </w:t>
      </w:r>
      <w:r w:rsidR="002D574D">
        <w:rPr>
          <w:color w:val="000000"/>
          <w:szCs w:val="24"/>
          <w:lang w:val="en-US" w:eastAsia="en-NZ"/>
        </w:rPr>
        <w:t>Regulations</w:t>
      </w:r>
      <w:r w:rsidR="0004673E">
        <w:rPr>
          <w:color w:val="000000"/>
          <w:szCs w:val="24"/>
          <w:lang w:val="en-US" w:eastAsia="en-NZ"/>
        </w:rPr>
        <w:t xml:space="preserve"> and the Building Act 2004.</w:t>
      </w:r>
    </w:p>
    <w:p w14:paraId="182B1AB3" w14:textId="77777777" w:rsidR="00A94C35" w:rsidRDefault="00A94C35" w:rsidP="0090025D">
      <w:pPr>
        <w:rPr>
          <w:color w:val="000000"/>
          <w:szCs w:val="24"/>
          <w:lang w:val="en-US" w:eastAsia="en-NZ"/>
        </w:rPr>
      </w:pPr>
    </w:p>
    <w:p w14:paraId="48AC0205" w14:textId="77777777" w:rsidR="00A94C35" w:rsidRDefault="00A94C35" w:rsidP="00A94C35">
      <w:pPr>
        <w:shd w:val="clear" w:color="auto" w:fill="D9D9D9"/>
        <w:rPr>
          <w:color w:val="000000"/>
          <w:szCs w:val="24"/>
          <w:lang w:val="en-US" w:eastAsia="en-NZ"/>
        </w:rPr>
      </w:pPr>
      <w:r>
        <w:rPr>
          <w:color w:val="000000"/>
          <w:szCs w:val="24"/>
          <w:lang w:val="en-US" w:eastAsia="en-NZ"/>
        </w:rPr>
        <w:t xml:space="preserve">However, under section 44A of the RMA, territorial authorities do have a responsibility to ensure that they </w:t>
      </w:r>
      <w:r w:rsidRPr="00493F5D">
        <w:rPr>
          <w:i/>
          <w:color w:val="000000"/>
          <w:szCs w:val="24"/>
          <w:lang w:val="en-US" w:eastAsia="en-NZ"/>
        </w:rPr>
        <w:t xml:space="preserve">‘observe the national environmental standards’ </w:t>
      </w:r>
      <w:r w:rsidRPr="00493F5D">
        <w:rPr>
          <w:color w:val="000000"/>
          <w:szCs w:val="24"/>
          <w:lang w:val="en-US" w:eastAsia="en-NZ"/>
        </w:rPr>
        <w:t>and</w:t>
      </w:r>
      <w:r w:rsidRPr="00493F5D">
        <w:rPr>
          <w:i/>
          <w:color w:val="000000"/>
          <w:szCs w:val="24"/>
          <w:lang w:val="en-US" w:eastAsia="en-NZ"/>
        </w:rPr>
        <w:t xml:space="preserve"> ‘enforce the observance of national environmental standards to the extent to which their powers enable them to do so’</w:t>
      </w:r>
      <w:r>
        <w:rPr>
          <w:color w:val="000000"/>
          <w:szCs w:val="24"/>
          <w:lang w:val="en-US" w:eastAsia="en-NZ"/>
        </w:rPr>
        <w:t xml:space="preserve">.  Therefore, it would be </w:t>
      </w:r>
      <w:r w:rsidRPr="00E861D1">
        <w:rPr>
          <w:color w:val="000000"/>
          <w:szCs w:val="24"/>
          <w:lang w:val="en-US" w:eastAsia="en-NZ"/>
        </w:rPr>
        <w:t>prudent</w:t>
      </w:r>
      <w:r>
        <w:rPr>
          <w:color w:val="000000"/>
          <w:szCs w:val="24"/>
          <w:lang w:val="en-US" w:eastAsia="en-NZ"/>
        </w:rPr>
        <w:t xml:space="preserve">, for territorial authorities </w:t>
      </w:r>
      <w:r w:rsidRPr="00E861D1">
        <w:rPr>
          <w:color w:val="000000"/>
          <w:szCs w:val="24"/>
          <w:lang w:val="en-US" w:eastAsia="en-NZ"/>
        </w:rPr>
        <w:t xml:space="preserve">to inform </w:t>
      </w:r>
      <w:r>
        <w:rPr>
          <w:color w:val="000000"/>
          <w:szCs w:val="24"/>
          <w:lang w:val="en-US" w:eastAsia="en-NZ"/>
        </w:rPr>
        <w:t>the home owner</w:t>
      </w:r>
      <w:r w:rsidRPr="00E861D1">
        <w:rPr>
          <w:color w:val="000000"/>
          <w:szCs w:val="24"/>
          <w:lang w:val="en-US" w:eastAsia="en-NZ"/>
        </w:rPr>
        <w:t xml:space="preserve"> that granting of a building consent is not authority to install and opera</w:t>
      </w:r>
      <w:r>
        <w:rPr>
          <w:color w:val="000000"/>
          <w:szCs w:val="24"/>
          <w:lang w:val="en-US" w:eastAsia="en-NZ"/>
        </w:rPr>
        <w:t>te a non-compliant</w:t>
      </w:r>
      <w:r w:rsidRPr="00E861D1">
        <w:rPr>
          <w:color w:val="000000"/>
          <w:szCs w:val="24"/>
          <w:lang w:val="en-US" w:eastAsia="en-NZ"/>
        </w:rPr>
        <w:t xml:space="preserve"> </w:t>
      </w:r>
      <w:r>
        <w:rPr>
          <w:color w:val="000000"/>
          <w:szCs w:val="24"/>
          <w:lang w:val="en-US" w:eastAsia="en-NZ"/>
        </w:rPr>
        <w:t>domestic fire</w:t>
      </w:r>
      <w:r w:rsidRPr="00E861D1">
        <w:rPr>
          <w:color w:val="000000"/>
          <w:szCs w:val="24"/>
          <w:lang w:val="en-US" w:eastAsia="en-NZ"/>
        </w:rPr>
        <w:t>.</w:t>
      </w:r>
      <w:r>
        <w:rPr>
          <w:color w:val="000000"/>
          <w:szCs w:val="24"/>
          <w:lang w:val="en-US" w:eastAsia="en-NZ"/>
        </w:rPr>
        <w:t xml:space="preserve"> </w:t>
      </w:r>
      <w:r w:rsidRPr="00C767CB">
        <w:rPr>
          <w:color w:val="000000"/>
          <w:szCs w:val="24"/>
          <w:lang w:val="en-US" w:eastAsia="en-NZ"/>
        </w:rPr>
        <w:t xml:space="preserve">In </w:t>
      </w:r>
      <w:r>
        <w:rPr>
          <w:color w:val="000000"/>
          <w:szCs w:val="24"/>
          <w:lang w:val="en-US" w:eastAsia="en-NZ"/>
        </w:rPr>
        <w:t>practice,</w:t>
      </w:r>
      <w:r w:rsidRPr="00C767CB">
        <w:rPr>
          <w:color w:val="000000"/>
          <w:szCs w:val="24"/>
          <w:lang w:val="en-US" w:eastAsia="en-NZ"/>
        </w:rPr>
        <w:t xml:space="preserve"> territorial authorities </w:t>
      </w:r>
      <w:r>
        <w:rPr>
          <w:color w:val="000000"/>
          <w:szCs w:val="24"/>
          <w:lang w:val="en-US" w:eastAsia="en-NZ"/>
        </w:rPr>
        <w:t>act in the public interest by</w:t>
      </w:r>
      <w:r w:rsidRPr="00C767CB">
        <w:rPr>
          <w:color w:val="000000"/>
          <w:szCs w:val="24"/>
          <w:lang w:val="en-US" w:eastAsia="en-NZ"/>
        </w:rPr>
        <w:t xml:space="preserve"> referring people to the authorised woodburner list and advising people on whether their woodburner is compliant with the </w:t>
      </w:r>
      <w:r>
        <w:rPr>
          <w:color w:val="000000"/>
          <w:szCs w:val="24"/>
          <w:lang w:val="en-US" w:eastAsia="en-NZ"/>
        </w:rPr>
        <w:t>Regulations.</w:t>
      </w:r>
    </w:p>
    <w:p w14:paraId="09D64E1D" w14:textId="77777777" w:rsidR="00A94C35" w:rsidRDefault="00A94C35" w:rsidP="0090025D">
      <w:pPr>
        <w:rPr>
          <w:color w:val="000000"/>
          <w:szCs w:val="24"/>
          <w:lang w:val="en-US" w:eastAsia="en-NZ"/>
        </w:rPr>
      </w:pPr>
    </w:p>
    <w:p w14:paraId="7D7F6F45" w14:textId="77777777" w:rsidR="00A274E3" w:rsidRDefault="00A274E3" w:rsidP="0090025D">
      <w:pPr>
        <w:rPr>
          <w:lang w:val="en-US" w:eastAsia="en-NZ"/>
        </w:rPr>
      </w:pPr>
      <w:r>
        <w:rPr>
          <w:lang w:val="en-US" w:eastAsia="en-NZ"/>
        </w:rPr>
        <w:t xml:space="preserve">The Ministry for the Environment has </w:t>
      </w:r>
      <w:r w:rsidR="00D422D3">
        <w:rPr>
          <w:lang w:val="en-US" w:eastAsia="en-NZ"/>
        </w:rPr>
        <w:t xml:space="preserve">previously </w:t>
      </w:r>
      <w:r>
        <w:rPr>
          <w:lang w:val="en-US" w:eastAsia="en-NZ"/>
        </w:rPr>
        <w:t xml:space="preserve">written to all territorial authorities </w:t>
      </w:r>
      <w:r w:rsidR="00803667">
        <w:rPr>
          <w:lang w:val="en-US" w:eastAsia="en-NZ"/>
        </w:rPr>
        <w:t xml:space="preserve">noting the above and </w:t>
      </w:r>
      <w:r w:rsidRPr="00E861D1">
        <w:rPr>
          <w:lang w:val="en-US" w:eastAsia="en-NZ"/>
        </w:rPr>
        <w:t>suggest</w:t>
      </w:r>
      <w:r>
        <w:rPr>
          <w:lang w:val="en-US" w:eastAsia="en-NZ"/>
        </w:rPr>
        <w:t>ing</w:t>
      </w:r>
      <w:r w:rsidRPr="00E861D1">
        <w:rPr>
          <w:lang w:val="en-US" w:eastAsia="en-NZ"/>
        </w:rPr>
        <w:t xml:space="preserve"> th</w:t>
      </w:r>
      <w:r>
        <w:rPr>
          <w:lang w:val="en-US" w:eastAsia="en-NZ"/>
        </w:rPr>
        <w:t>ey</w:t>
      </w:r>
      <w:r w:rsidRPr="00E861D1">
        <w:rPr>
          <w:lang w:val="en-US" w:eastAsia="en-NZ"/>
        </w:rPr>
        <w:t xml:space="preserve"> issue an advice note with </w:t>
      </w:r>
      <w:r>
        <w:rPr>
          <w:lang w:val="en-US" w:eastAsia="en-NZ"/>
        </w:rPr>
        <w:t xml:space="preserve">a </w:t>
      </w:r>
      <w:r w:rsidRPr="00E861D1">
        <w:rPr>
          <w:lang w:val="en-US" w:eastAsia="en-NZ"/>
        </w:rPr>
        <w:t xml:space="preserve">building </w:t>
      </w:r>
      <w:r>
        <w:rPr>
          <w:lang w:val="en-US" w:eastAsia="en-NZ"/>
        </w:rPr>
        <w:t>consent</w:t>
      </w:r>
      <w:r w:rsidRPr="00E861D1">
        <w:rPr>
          <w:lang w:val="en-US" w:eastAsia="en-NZ"/>
        </w:rPr>
        <w:t xml:space="preserve"> </w:t>
      </w:r>
      <w:r>
        <w:rPr>
          <w:lang w:val="en-US" w:eastAsia="en-NZ"/>
        </w:rPr>
        <w:t xml:space="preserve">for woodburners </w:t>
      </w:r>
      <w:r w:rsidRPr="00E861D1">
        <w:rPr>
          <w:lang w:val="en-US" w:eastAsia="en-NZ"/>
        </w:rPr>
        <w:t>alert</w:t>
      </w:r>
      <w:r>
        <w:rPr>
          <w:lang w:val="en-US" w:eastAsia="en-NZ"/>
        </w:rPr>
        <w:t>ing</w:t>
      </w:r>
      <w:r w:rsidRPr="00E861D1">
        <w:rPr>
          <w:lang w:val="en-US" w:eastAsia="en-NZ"/>
        </w:rPr>
        <w:t xml:space="preserve"> the owner to the </w:t>
      </w:r>
      <w:r w:rsidR="00BE3D61">
        <w:rPr>
          <w:lang w:val="en-US" w:eastAsia="en-NZ"/>
        </w:rPr>
        <w:t>R</w:t>
      </w:r>
      <w:r w:rsidR="00BE3D61" w:rsidRPr="00E861D1">
        <w:rPr>
          <w:lang w:val="en-US" w:eastAsia="en-NZ"/>
        </w:rPr>
        <w:t>egulation</w:t>
      </w:r>
      <w:r w:rsidR="002D574D" w:rsidRPr="00E861D1">
        <w:rPr>
          <w:lang w:val="en-US" w:eastAsia="en-NZ"/>
        </w:rPr>
        <w:t>s</w:t>
      </w:r>
      <w:r w:rsidRPr="00E861D1">
        <w:rPr>
          <w:lang w:val="en-US" w:eastAsia="en-NZ"/>
        </w:rPr>
        <w:t xml:space="preserve">, as these </w:t>
      </w:r>
      <w:r w:rsidR="00BE3D61" w:rsidRPr="00E861D1">
        <w:rPr>
          <w:lang w:val="en-US" w:eastAsia="en-NZ"/>
        </w:rPr>
        <w:t xml:space="preserve">Regulations </w:t>
      </w:r>
      <w:r w:rsidRPr="00E861D1">
        <w:rPr>
          <w:lang w:val="en-US" w:eastAsia="en-NZ"/>
        </w:rPr>
        <w:t>prevent discharge from</w:t>
      </w:r>
      <w:r>
        <w:rPr>
          <w:lang w:val="en-US" w:eastAsia="en-NZ"/>
        </w:rPr>
        <w:t xml:space="preserve"> any non-compl</w:t>
      </w:r>
      <w:r w:rsidR="00D422D3">
        <w:rPr>
          <w:lang w:val="en-US" w:eastAsia="en-NZ"/>
        </w:rPr>
        <w:t>iant</w:t>
      </w:r>
      <w:r w:rsidR="001821CC">
        <w:rPr>
          <w:lang w:val="en-US" w:eastAsia="en-NZ"/>
        </w:rPr>
        <w:t xml:space="preserve"> wood</w:t>
      </w:r>
      <w:r>
        <w:rPr>
          <w:lang w:val="en-US" w:eastAsia="en-NZ"/>
        </w:rPr>
        <w:t>burner.</w:t>
      </w:r>
      <w:r w:rsidR="00AC1341">
        <w:rPr>
          <w:lang w:val="en-US" w:eastAsia="en-NZ"/>
        </w:rPr>
        <w:t xml:space="preserve"> </w:t>
      </w:r>
      <w:r w:rsidR="00D422D3">
        <w:rPr>
          <w:lang w:val="en-US" w:eastAsia="en-NZ"/>
        </w:rPr>
        <w:t>The same</w:t>
      </w:r>
      <w:r w:rsidR="00803667">
        <w:rPr>
          <w:lang w:val="en-US" w:eastAsia="en-NZ"/>
        </w:rPr>
        <w:t xml:space="preserve"> issue will arise with open fires banned under </w:t>
      </w:r>
      <w:r w:rsidR="00D422D3">
        <w:rPr>
          <w:lang w:val="en-US" w:eastAsia="en-NZ"/>
        </w:rPr>
        <w:t xml:space="preserve">new </w:t>
      </w:r>
      <w:r w:rsidR="00F3133E">
        <w:rPr>
          <w:lang w:val="en-US" w:eastAsia="en-NZ"/>
        </w:rPr>
        <w:br/>
      </w:r>
      <w:r w:rsidR="00803667">
        <w:rPr>
          <w:lang w:val="en-US" w:eastAsia="en-NZ"/>
        </w:rPr>
        <w:t>Regulation 24A</w:t>
      </w:r>
      <w:r w:rsidR="00D422D3">
        <w:rPr>
          <w:lang w:val="en-US" w:eastAsia="en-NZ"/>
        </w:rPr>
        <w:t>.</w:t>
      </w:r>
    </w:p>
    <w:p w14:paraId="1CDCA7E0" w14:textId="77777777" w:rsidR="00A74C2A" w:rsidRDefault="00A74C2A" w:rsidP="0090025D">
      <w:pPr>
        <w:rPr>
          <w:lang w:val="en-US" w:eastAsia="en-NZ"/>
        </w:rPr>
      </w:pPr>
    </w:p>
    <w:p w14:paraId="5820EEF3" w14:textId="77777777" w:rsidR="00D422D3" w:rsidRDefault="00D422D3" w:rsidP="0090025D">
      <w:r>
        <w:rPr>
          <w:lang w:val="en-US" w:eastAsia="en-NZ"/>
        </w:rPr>
        <w:t>Unitary authorities have responsibilities for both the RMA and the Building Act 2004</w:t>
      </w:r>
      <w:r w:rsidR="00803667">
        <w:rPr>
          <w:lang w:val="en-US" w:eastAsia="en-NZ"/>
        </w:rPr>
        <w:t xml:space="preserve">. Acting in the public interest would dictate </w:t>
      </w:r>
      <w:r w:rsidR="00AC1341">
        <w:rPr>
          <w:lang w:val="en-US" w:eastAsia="en-NZ"/>
        </w:rPr>
        <w:t xml:space="preserve">that explanatory material, covering the Regulations and local rules, should be provided to those </w:t>
      </w:r>
      <w:r>
        <w:rPr>
          <w:lang w:val="en-US" w:eastAsia="en-NZ"/>
        </w:rPr>
        <w:t>people seeking to install domestic fires.</w:t>
      </w:r>
    </w:p>
    <w:p w14:paraId="027BD16C" w14:textId="77777777" w:rsidR="00A274E3" w:rsidRPr="00AA1F18" w:rsidRDefault="00A274E3" w:rsidP="0090025D"/>
    <w:p w14:paraId="631DDA59" w14:textId="77777777" w:rsidR="00A274E3" w:rsidRDefault="00A274E3" w:rsidP="0090025D">
      <w:pPr>
        <w:rPr>
          <w:lang w:val="en-US" w:eastAsia="en-NZ"/>
        </w:rPr>
      </w:pPr>
      <w:r>
        <w:rPr>
          <w:lang w:val="en-US" w:eastAsia="en-NZ"/>
        </w:rPr>
        <w:t>The Ministry for the Environment recommends that regional councils liaise</w:t>
      </w:r>
      <w:r w:rsidR="00D422D3">
        <w:rPr>
          <w:lang w:val="en-US" w:eastAsia="en-NZ"/>
        </w:rPr>
        <w:t xml:space="preserve"> closely</w:t>
      </w:r>
      <w:r>
        <w:rPr>
          <w:lang w:val="en-US" w:eastAsia="en-NZ"/>
        </w:rPr>
        <w:t xml:space="preserve"> with the territorial </w:t>
      </w:r>
      <w:r>
        <w:t>authorities</w:t>
      </w:r>
      <w:r w:rsidR="00803667">
        <w:t xml:space="preserve"> on woodburner installations</w:t>
      </w:r>
      <w:r w:rsidR="0004673E">
        <w:t xml:space="preserve">. </w:t>
      </w:r>
      <w:r w:rsidR="00803667">
        <w:t xml:space="preserve">Whilst regional </w:t>
      </w:r>
      <w:r w:rsidR="00562132">
        <w:rPr>
          <w:lang w:val="en-US" w:eastAsia="en-NZ"/>
        </w:rPr>
        <w:t>councils</w:t>
      </w:r>
      <w:r>
        <w:rPr>
          <w:lang w:val="en-US" w:eastAsia="en-NZ"/>
        </w:rPr>
        <w:t xml:space="preserve"> are responsible for</w:t>
      </w:r>
      <w:r w:rsidR="004C42CC">
        <w:rPr>
          <w:lang w:val="en-US" w:eastAsia="en-NZ"/>
        </w:rPr>
        <w:t xml:space="preserve"> enforcement of the </w:t>
      </w:r>
      <w:r w:rsidR="002D574D">
        <w:rPr>
          <w:lang w:val="en-US" w:eastAsia="en-NZ"/>
        </w:rPr>
        <w:t>Regulations</w:t>
      </w:r>
      <w:r w:rsidR="001B1F05">
        <w:rPr>
          <w:lang w:val="en-US" w:eastAsia="en-NZ"/>
        </w:rPr>
        <w:t>,</w:t>
      </w:r>
      <w:r w:rsidR="004C42CC">
        <w:rPr>
          <w:lang w:val="en-US" w:eastAsia="en-NZ"/>
        </w:rPr>
        <w:t xml:space="preserve"> </w:t>
      </w:r>
      <w:r w:rsidR="00803667">
        <w:rPr>
          <w:lang w:val="en-US" w:eastAsia="en-NZ"/>
        </w:rPr>
        <w:t xml:space="preserve">it is </w:t>
      </w:r>
      <w:r w:rsidR="004C42CC">
        <w:rPr>
          <w:lang w:val="en-US" w:eastAsia="en-NZ"/>
        </w:rPr>
        <w:t xml:space="preserve">territorial authorities </w:t>
      </w:r>
      <w:r w:rsidR="00803667">
        <w:rPr>
          <w:lang w:val="en-US" w:eastAsia="en-NZ"/>
        </w:rPr>
        <w:t xml:space="preserve">who </w:t>
      </w:r>
      <w:r w:rsidR="004C42CC">
        <w:rPr>
          <w:lang w:val="en-US" w:eastAsia="en-NZ"/>
        </w:rPr>
        <w:t xml:space="preserve">collect </w:t>
      </w:r>
      <w:r w:rsidR="00803667">
        <w:rPr>
          <w:lang w:val="en-US" w:eastAsia="en-NZ"/>
        </w:rPr>
        <w:t>key data</w:t>
      </w:r>
      <w:r w:rsidR="004C42CC">
        <w:rPr>
          <w:lang w:val="en-US" w:eastAsia="en-NZ"/>
        </w:rPr>
        <w:t xml:space="preserve"> about domestic fi</w:t>
      </w:r>
      <w:r w:rsidR="00803667">
        <w:rPr>
          <w:lang w:val="en-US" w:eastAsia="en-NZ"/>
        </w:rPr>
        <w:t>res including installation date</w:t>
      </w:r>
      <w:r w:rsidR="004C42CC">
        <w:rPr>
          <w:lang w:val="en-US" w:eastAsia="en-NZ"/>
        </w:rPr>
        <w:t xml:space="preserve">, type of domestic fire and </w:t>
      </w:r>
      <w:r w:rsidR="00803667">
        <w:rPr>
          <w:lang w:val="en-US" w:eastAsia="en-NZ"/>
        </w:rPr>
        <w:t>location</w:t>
      </w:r>
      <w:r w:rsidR="004C42CC">
        <w:rPr>
          <w:lang w:val="en-US" w:eastAsia="en-NZ"/>
        </w:rPr>
        <w:t xml:space="preserve"> through</w:t>
      </w:r>
      <w:r w:rsidR="0004673E">
        <w:rPr>
          <w:lang w:val="en-US" w:eastAsia="en-NZ"/>
        </w:rPr>
        <w:t xml:space="preserve"> the building consent process. </w:t>
      </w:r>
      <w:r w:rsidR="004C42CC">
        <w:rPr>
          <w:lang w:val="en-US" w:eastAsia="en-NZ"/>
        </w:rPr>
        <w:t xml:space="preserve">This type of information is </w:t>
      </w:r>
      <w:r w:rsidR="00803667">
        <w:rPr>
          <w:lang w:val="en-US" w:eastAsia="en-NZ"/>
        </w:rPr>
        <w:t xml:space="preserve">critical for air quality management and </w:t>
      </w:r>
      <w:r w:rsidR="004C42CC">
        <w:rPr>
          <w:lang w:val="en-US" w:eastAsia="en-NZ"/>
        </w:rPr>
        <w:t xml:space="preserve">to determine compliance with the </w:t>
      </w:r>
      <w:r w:rsidR="002D574D">
        <w:rPr>
          <w:lang w:val="en-US" w:eastAsia="en-NZ"/>
        </w:rPr>
        <w:t>Regulations</w:t>
      </w:r>
      <w:r w:rsidR="004C42CC">
        <w:rPr>
          <w:lang w:val="en-US" w:eastAsia="en-NZ"/>
        </w:rPr>
        <w:t xml:space="preserve"> and a</w:t>
      </w:r>
      <w:r w:rsidR="0004673E">
        <w:rPr>
          <w:lang w:val="en-US" w:eastAsia="en-NZ"/>
        </w:rPr>
        <w:t>ny regional rules.</w:t>
      </w:r>
    </w:p>
    <w:p w14:paraId="0B4E786E" w14:textId="77777777" w:rsidR="0004673E" w:rsidRDefault="0004673E" w:rsidP="0090025D"/>
    <w:p w14:paraId="5C6ED43F" w14:textId="77777777" w:rsidR="00A274E3" w:rsidRDefault="00C767CB" w:rsidP="0090025D">
      <w:r>
        <w:t xml:space="preserve">A list of authorised woodburners is available on </w:t>
      </w:r>
      <w:r w:rsidR="00A274E3" w:rsidRPr="00234369">
        <w:t xml:space="preserve">the </w:t>
      </w:r>
      <w:r w:rsidR="00A274E3">
        <w:t xml:space="preserve">Ministry for the Environment’s </w:t>
      </w:r>
      <w:r w:rsidR="00A274E3" w:rsidRPr="00234369">
        <w:t>website</w:t>
      </w:r>
      <w:r w:rsidR="00C07826">
        <w:t xml:space="preserve"> (section </w:t>
      </w:r>
      <w:r w:rsidR="00261ACC" w:rsidRPr="001B1F05">
        <w:t>5.</w:t>
      </w:r>
      <w:r w:rsidR="00FE00FD" w:rsidRPr="001B1F05">
        <w:t>2</w:t>
      </w:r>
      <w:r w:rsidR="00261ACC" w:rsidRPr="001B1F05">
        <w:t>.</w:t>
      </w:r>
      <w:r w:rsidRPr="001B1F05">
        <w:t>8</w:t>
      </w:r>
      <w:r w:rsidR="00C07826">
        <w:t>)</w:t>
      </w:r>
      <w:r w:rsidR="00A274E3">
        <w:t>.</w:t>
      </w:r>
    </w:p>
    <w:p w14:paraId="22D16F3F" w14:textId="77777777" w:rsidR="007F504E" w:rsidRPr="007F504E" w:rsidRDefault="007F504E" w:rsidP="0090025D">
      <w:pPr>
        <w:pStyle w:val="Heading3"/>
      </w:pPr>
      <w:r>
        <w:t>5.4.1</w:t>
      </w:r>
      <w:r w:rsidRPr="007F504E">
        <w:tab/>
        <w:t>Bylaws</w:t>
      </w:r>
    </w:p>
    <w:p w14:paraId="57A58F1D" w14:textId="77777777" w:rsidR="007F504E" w:rsidRDefault="007F504E" w:rsidP="0090025D">
      <w:pPr>
        <w:pStyle w:val="BodyText"/>
      </w:pPr>
      <w:r>
        <w:t xml:space="preserve">Territorial authorities do not have a specific air quality management function under the RMA but they do have the primary responsibility for land use (eg, the location of activities that may discharge contaminants to air). However, territorial authorities are able to make bylaws under </w:t>
      </w:r>
      <w:r w:rsidR="008C53E6">
        <w:t xml:space="preserve">section 145(b) of the LGA. </w:t>
      </w:r>
      <w:r>
        <w:t>This could include bylaws regarding air quality</w:t>
      </w:r>
      <w:r w:rsidR="008C53E6">
        <w:t>.</w:t>
      </w:r>
      <w:r>
        <w:t xml:space="preserve"> Regulation 28 allows for bylaws to be more s</w:t>
      </w:r>
      <w:r w:rsidR="0004673E">
        <w:t>tringent than the Regulations.</w:t>
      </w:r>
    </w:p>
    <w:p w14:paraId="05703377" w14:textId="77777777" w:rsidR="007F504E" w:rsidRDefault="007F504E" w:rsidP="0090025D"/>
    <w:p w14:paraId="3C730D3C" w14:textId="77777777" w:rsidR="007F504E" w:rsidRDefault="007F504E" w:rsidP="0090025D">
      <w:r>
        <w:t xml:space="preserve">As an example, </w:t>
      </w:r>
      <w:r w:rsidRPr="00861517">
        <w:t>Rotorua District Council</w:t>
      </w:r>
      <w:r>
        <w:t>,</w:t>
      </w:r>
      <w:r w:rsidRPr="00861517">
        <w:t xml:space="preserve"> in collaboration with the Bay of Plenty Regional Council</w:t>
      </w:r>
      <w:r>
        <w:t>,</w:t>
      </w:r>
      <w:r w:rsidRPr="00861517">
        <w:t xml:space="preserve"> has developed the Air Quality Control Bylaw to help clean up Rotorua's air. </w:t>
      </w:r>
      <w:r>
        <w:t>The bylaw requires that:</w:t>
      </w:r>
    </w:p>
    <w:p w14:paraId="24CF88B2" w14:textId="77777777" w:rsidR="007F504E" w:rsidRPr="00861517" w:rsidRDefault="00261A2A" w:rsidP="000C700D">
      <w:pPr>
        <w:pStyle w:val="Bullet"/>
        <w:numPr>
          <w:ilvl w:val="0"/>
          <w:numId w:val="14"/>
        </w:numPr>
        <w:ind w:left="357" w:hanging="357"/>
      </w:pPr>
      <w:r>
        <w:t>o</w:t>
      </w:r>
      <w:r w:rsidR="007F504E" w:rsidRPr="00861517">
        <w:t xml:space="preserve">nly approved </w:t>
      </w:r>
      <w:r w:rsidR="007F504E">
        <w:t>woodburner</w:t>
      </w:r>
      <w:r w:rsidR="007F504E" w:rsidRPr="00861517">
        <w:t>s and pellet fires can be i</w:t>
      </w:r>
      <w:r>
        <w:t>nstalled in the Rotorua Airshed</w:t>
      </w:r>
    </w:p>
    <w:p w14:paraId="48BBDC98" w14:textId="77777777" w:rsidR="007F504E" w:rsidRPr="00861517" w:rsidRDefault="00261A2A" w:rsidP="000C700D">
      <w:pPr>
        <w:pStyle w:val="Bullet"/>
        <w:numPr>
          <w:ilvl w:val="0"/>
          <w:numId w:val="14"/>
        </w:numPr>
        <w:ind w:left="357" w:hanging="357"/>
      </w:pPr>
      <w:r>
        <w:t>f</w:t>
      </w:r>
      <w:r w:rsidR="007F504E" w:rsidRPr="00861517">
        <w:t xml:space="preserve">rom 1 May 2012 (when </w:t>
      </w:r>
      <w:r w:rsidR="007F504E">
        <w:t xml:space="preserve">the </w:t>
      </w:r>
      <w:r w:rsidR="007F504E" w:rsidRPr="00861517">
        <w:t xml:space="preserve">Point of Sale </w:t>
      </w:r>
      <w:r w:rsidR="007F504E">
        <w:t>R</w:t>
      </w:r>
      <w:r w:rsidR="007F504E" w:rsidRPr="00861517">
        <w:t>ule comes into effect), an owner of a house cannot sell it with a working op</w:t>
      </w:r>
      <w:r>
        <w:t>en fire or non-compliant burner</w:t>
      </w:r>
    </w:p>
    <w:p w14:paraId="6A0A9B71" w14:textId="77777777" w:rsidR="007F504E" w:rsidRPr="00861517" w:rsidRDefault="00261A2A" w:rsidP="000C700D">
      <w:pPr>
        <w:pStyle w:val="Bullet"/>
        <w:numPr>
          <w:ilvl w:val="0"/>
          <w:numId w:val="14"/>
        </w:numPr>
        <w:ind w:left="357" w:hanging="357"/>
      </w:pPr>
      <w:r>
        <w:t>f</w:t>
      </w:r>
      <w:r w:rsidR="007F504E" w:rsidRPr="00861517">
        <w:t xml:space="preserve">rom the 1 May 2015 </w:t>
      </w:r>
      <w:r w:rsidR="007F504E">
        <w:t xml:space="preserve">(when the </w:t>
      </w:r>
      <w:r w:rsidR="007F504E" w:rsidRPr="00861517">
        <w:t xml:space="preserve">Open Fire Rule comes </w:t>
      </w:r>
      <w:r w:rsidR="007F504E">
        <w:t xml:space="preserve">into effect) </w:t>
      </w:r>
      <w:r w:rsidR="007F504E" w:rsidRPr="00861517">
        <w:t>there will be a ban on using indoor open fires.</w:t>
      </w:r>
    </w:p>
    <w:p w14:paraId="33FA314B" w14:textId="77777777" w:rsidR="008C53E6" w:rsidRDefault="008C53E6" w:rsidP="0090025D">
      <w:pPr>
        <w:pStyle w:val="BodyText"/>
      </w:pPr>
    </w:p>
    <w:p w14:paraId="2041CBA9" w14:textId="77777777" w:rsidR="007F504E" w:rsidRDefault="007F504E" w:rsidP="0090025D">
      <w:pPr>
        <w:pStyle w:val="BodyText"/>
      </w:pPr>
      <w:r w:rsidRPr="007F504E">
        <w:t>A good working relationship between the regional councils and territorial authorities can significantly assist in addressing air quality issues, and meeting the national air quality standards effectively and efficiently.</w:t>
      </w:r>
    </w:p>
    <w:p w14:paraId="172EDBD4" w14:textId="77777777" w:rsidR="00E54515" w:rsidRPr="007F504E" w:rsidRDefault="00E54515" w:rsidP="0090025D">
      <w:pPr>
        <w:pStyle w:val="BodyText"/>
      </w:pPr>
    </w:p>
    <w:p w14:paraId="7BB407CA" w14:textId="77777777" w:rsidR="00A274E3" w:rsidRPr="00731020" w:rsidRDefault="001979C4" w:rsidP="0090025D">
      <w:pPr>
        <w:pStyle w:val="Heading2"/>
      </w:pPr>
      <w:bookmarkStart w:id="186" w:name="_Toc87954636"/>
      <w:bookmarkStart w:id="187" w:name="_Toc222291810"/>
      <w:bookmarkStart w:id="188" w:name="_Toc222292156"/>
      <w:bookmarkStart w:id="189" w:name="_Toc222292244"/>
      <w:bookmarkStart w:id="190" w:name="_Toc242861967"/>
      <w:bookmarkStart w:id="191" w:name="_Toc300856628"/>
      <w:r>
        <w:t>5.5</w:t>
      </w:r>
      <w:r w:rsidR="00A274E3">
        <w:tab/>
        <w:t>Enforcement</w:t>
      </w:r>
      <w:bookmarkEnd w:id="186"/>
      <w:bookmarkEnd w:id="187"/>
      <w:bookmarkEnd w:id="188"/>
      <w:bookmarkEnd w:id="189"/>
      <w:bookmarkEnd w:id="190"/>
      <w:bookmarkEnd w:id="191"/>
    </w:p>
    <w:p w14:paraId="449BBDEE" w14:textId="77777777" w:rsidR="00184FAB" w:rsidRDefault="00A274E3" w:rsidP="0090025D">
      <w:r w:rsidRPr="00234369">
        <w:t>Any person who discharges particles from</w:t>
      </w:r>
      <w:r w:rsidR="00184FAB">
        <w:t>:</w:t>
      </w:r>
    </w:p>
    <w:p w14:paraId="25D21C85" w14:textId="77777777" w:rsidR="00184FAB" w:rsidRDefault="00FA38E0" w:rsidP="000C700D">
      <w:pPr>
        <w:pStyle w:val="Bullet"/>
        <w:numPr>
          <w:ilvl w:val="0"/>
          <w:numId w:val="14"/>
        </w:numPr>
        <w:ind w:left="357" w:hanging="357"/>
      </w:pPr>
      <w:r>
        <w:t xml:space="preserve">a </w:t>
      </w:r>
      <w:r w:rsidR="00184FAB">
        <w:t>woodburner</w:t>
      </w:r>
      <w:r w:rsidR="00184FAB" w:rsidRPr="00234369">
        <w:t xml:space="preserve"> which does not comply with the </w:t>
      </w:r>
      <w:r w:rsidR="00184FAB">
        <w:t xml:space="preserve">woodburner </w:t>
      </w:r>
      <w:r w:rsidR="00184FAB" w:rsidRPr="00234369">
        <w:t>standard</w:t>
      </w:r>
      <w:r>
        <w:t xml:space="preserve">s </w:t>
      </w:r>
    </w:p>
    <w:p w14:paraId="089CD19E" w14:textId="77777777" w:rsidR="00184FAB" w:rsidRDefault="00FA38E0" w:rsidP="000C700D">
      <w:pPr>
        <w:pStyle w:val="Bullet"/>
        <w:numPr>
          <w:ilvl w:val="0"/>
          <w:numId w:val="14"/>
        </w:numPr>
        <w:ind w:left="357" w:hanging="357"/>
      </w:pPr>
      <w:r>
        <w:t>a</w:t>
      </w:r>
      <w:r w:rsidRPr="00234369">
        <w:t xml:space="preserve"> </w:t>
      </w:r>
      <w:r w:rsidR="008A1AB7">
        <w:t xml:space="preserve">solid-fuel burning open fire in </w:t>
      </w:r>
      <w:r w:rsidR="00184FAB">
        <w:t>an airshed that breaches the ambient PM</w:t>
      </w:r>
      <w:r w:rsidR="00184FAB" w:rsidRPr="00261A2A">
        <w:rPr>
          <w:vertAlign w:val="subscript"/>
        </w:rPr>
        <w:t>10</w:t>
      </w:r>
      <w:r w:rsidR="00AC1341">
        <w:t xml:space="preserve"> standard</w:t>
      </w:r>
      <w:r w:rsidR="00184FAB">
        <w:t xml:space="preserve"> </w:t>
      </w:r>
    </w:p>
    <w:p w14:paraId="03224FD4" w14:textId="77777777" w:rsidR="00184FAB" w:rsidRDefault="00184FAB" w:rsidP="0090025D"/>
    <w:p w14:paraId="565D18AF" w14:textId="77777777" w:rsidR="00A274E3" w:rsidRDefault="00A274E3" w:rsidP="0090025D">
      <w:r w:rsidRPr="00234369">
        <w:t>could be subject to enforcement action from the regional council in accordance with the enforcement provisions of the RMA</w:t>
      </w:r>
      <w:r>
        <w:t>.</w:t>
      </w:r>
      <w:r w:rsidR="00F53FCB">
        <w:t xml:space="preserve"> </w:t>
      </w:r>
      <w:r w:rsidR="004B0B50">
        <w:t xml:space="preserve">These provisions are discussed in more detail in </w:t>
      </w:r>
      <w:r w:rsidR="00A74C2A">
        <w:br/>
      </w:r>
      <w:r w:rsidR="004B0B50">
        <w:t xml:space="preserve">section </w:t>
      </w:r>
      <w:r w:rsidR="004B0B50" w:rsidRPr="001B1F05">
        <w:t>2.4.</w:t>
      </w:r>
    </w:p>
    <w:p w14:paraId="4C88D2E8" w14:textId="77777777" w:rsidR="00A274E3" w:rsidRPr="001B1F05" w:rsidRDefault="00A274E3" w:rsidP="0090025D">
      <w:r w:rsidRPr="008A1AB7">
        <w:t>In addition to this, section 44A(8) of the RMA now requires</w:t>
      </w:r>
      <w:r w:rsidR="00184FAB">
        <w:t xml:space="preserve"> that</w:t>
      </w:r>
      <w:r w:rsidRPr="008A1AB7">
        <w:t xml:space="preserve"> </w:t>
      </w:r>
      <w:r w:rsidR="00493F5D" w:rsidRPr="001B1F05">
        <w:t>‘</w:t>
      </w:r>
      <w:r w:rsidR="00493F5D" w:rsidRPr="00F003D7">
        <w:rPr>
          <w:i/>
        </w:rPr>
        <w:t>ev</w:t>
      </w:r>
      <w:r w:rsidRPr="00F003D7">
        <w:rPr>
          <w:i/>
        </w:rPr>
        <w:t>ery local authority and consent authority must enforce the observance of national environmental standards to the extent to which their powers enable them to do so</w:t>
      </w:r>
      <w:r w:rsidR="00493F5D" w:rsidRPr="001B1F05">
        <w:t>’</w:t>
      </w:r>
      <w:r w:rsidRPr="001B1F05">
        <w:t>.</w:t>
      </w:r>
    </w:p>
    <w:p w14:paraId="380FFD40" w14:textId="77777777" w:rsidR="00A274E3" w:rsidRPr="008A1AB7" w:rsidRDefault="00A274E3" w:rsidP="0090025D"/>
    <w:p w14:paraId="58735A76" w14:textId="77777777" w:rsidR="00A274E3" w:rsidRDefault="001B1F05" w:rsidP="0090025D">
      <w:r>
        <w:t xml:space="preserve">Therefore, </w:t>
      </w:r>
      <w:r w:rsidRPr="008A1AB7">
        <w:t xml:space="preserve">there </w:t>
      </w:r>
      <w:r w:rsidR="00A274E3" w:rsidRPr="008A1AB7">
        <w:t xml:space="preserve">is an obligation on regional councils to enforce </w:t>
      </w:r>
      <w:r w:rsidR="008A1AB7" w:rsidRPr="008A1AB7">
        <w:t xml:space="preserve">any open fire bans and the </w:t>
      </w:r>
      <w:r>
        <w:t>Regulations</w:t>
      </w:r>
      <w:r w:rsidR="00A274E3" w:rsidRPr="008A1AB7">
        <w:t>.</w:t>
      </w:r>
    </w:p>
    <w:p w14:paraId="5C625561" w14:textId="77777777" w:rsidR="00E54515" w:rsidRDefault="00E54515" w:rsidP="0090025D"/>
    <w:p w14:paraId="43725563" w14:textId="77777777" w:rsidR="00A274E3" w:rsidRPr="00731020" w:rsidRDefault="008A1AB7" w:rsidP="0090025D">
      <w:pPr>
        <w:pStyle w:val="Heading2"/>
      </w:pPr>
      <w:bookmarkStart w:id="192" w:name="_Toc87954638"/>
      <w:bookmarkStart w:id="193" w:name="_Toc222291811"/>
      <w:bookmarkStart w:id="194" w:name="_Toc222292157"/>
      <w:bookmarkStart w:id="195" w:name="_Toc222292245"/>
      <w:bookmarkStart w:id="196" w:name="_Toc242861968"/>
      <w:bookmarkStart w:id="197" w:name="_Toc300856629"/>
      <w:r>
        <w:t>5.6</w:t>
      </w:r>
      <w:r w:rsidR="00A274E3">
        <w:tab/>
      </w:r>
      <w:r w:rsidR="00A274E3" w:rsidRPr="00731020">
        <w:t>Education</w:t>
      </w:r>
      <w:bookmarkEnd w:id="192"/>
      <w:bookmarkEnd w:id="193"/>
      <w:bookmarkEnd w:id="194"/>
      <w:bookmarkEnd w:id="195"/>
      <w:bookmarkEnd w:id="196"/>
      <w:bookmarkEnd w:id="197"/>
    </w:p>
    <w:p w14:paraId="14428711" w14:textId="77777777" w:rsidR="00A274E3" w:rsidRDefault="00A274E3" w:rsidP="0090025D">
      <w:r w:rsidRPr="00234369">
        <w:t xml:space="preserve">Retailers </w:t>
      </w:r>
      <w:r>
        <w:t xml:space="preserve">are still </w:t>
      </w:r>
      <w:r w:rsidRPr="00234369">
        <w:t xml:space="preserve">able to sell </w:t>
      </w:r>
      <w:r>
        <w:t>woodburner</w:t>
      </w:r>
      <w:r w:rsidRPr="00234369">
        <w:t xml:space="preserve">s with </w:t>
      </w:r>
      <w:r>
        <w:t>particulate emissions greater than 1.5 </w:t>
      </w:r>
      <w:r w:rsidRPr="00234369">
        <w:t>g/kg, and with a the</w:t>
      </w:r>
      <w:r>
        <w:t>rmal efficiency of less than 65</w:t>
      </w:r>
      <w:r w:rsidR="00B24BCC">
        <w:t>%</w:t>
      </w:r>
      <w:r w:rsidRPr="00234369">
        <w:t xml:space="preserve">, but only for the installation in </w:t>
      </w:r>
      <w:r>
        <w:t xml:space="preserve">properties </w:t>
      </w:r>
      <w:r w:rsidR="008A1AB7">
        <w:t>that are larger</w:t>
      </w:r>
      <w:r>
        <w:t xml:space="preserve"> than two</w:t>
      </w:r>
      <w:r w:rsidRPr="00234369">
        <w:t xml:space="preserve"> hectares</w:t>
      </w:r>
      <w:r>
        <w:t xml:space="preserve">. </w:t>
      </w:r>
      <w:r w:rsidRPr="00234369">
        <w:t>Under the Consumer Guarantees Act</w:t>
      </w:r>
      <w:r>
        <w:t>,</w:t>
      </w:r>
      <w:r w:rsidRPr="00234369">
        <w:t xml:space="preserve"> retailers should make the implications of the </w:t>
      </w:r>
      <w:r>
        <w:t>woodburner</w:t>
      </w:r>
      <w:r w:rsidRPr="00234369">
        <w:t xml:space="preserve"> standard clear to their customers at the time of sale.</w:t>
      </w:r>
    </w:p>
    <w:p w14:paraId="57445152" w14:textId="77777777" w:rsidR="000C2627" w:rsidRDefault="000C2627" w:rsidP="0090025D"/>
    <w:p w14:paraId="72F08ED4" w14:textId="77777777" w:rsidR="008A1AB7" w:rsidRDefault="008A1AB7" w:rsidP="0090025D">
      <w:r>
        <w:t>Builders and architects can still design and build solid-fuel burning open fires but these should only be within properties that are outside airsheds where these are banned</w:t>
      </w:r>
      <w:r w:rsidR="00D41E19">
        <w:t xml:space="preserve"> from operating</w:t>
      </w:r>
      <w:r w:rsidR="00A74C2A">
        <w:t>.</w:t>
      </w:r>
      <w:r>
        <w:t xml:space="preserve"> If a customer wishes to have an open fire within a </w:t>
      </w:r>
      <w:r w:rsidR="00526DEB">
        <w:t>breaching</w:t>
      </w:r>
      <w:r>
        <w:t xml:space="preserve"> airshed then</w:t>
      </w:r>
      <w:r w:rsidR="00D41E19">
        <w:t xml:space="preserve"> it will need to be either </w:t>
      </w:r>
      <w:r w:rsidR="00FE00FD">
        <w:t xml:space="preserve">a </w:t>
      </w:r>
      <w:r w:rsidR="00D41E19">
        <w:t>liquid-fuel, or gas-fuel burning</w:t>
      </w:r>
      <w:r w:rsidR="00FE00FD">
        <w:t xml:space="preserve"> open fire.</w:t>
      </w:r>
    </w:p>
    <w:p w14:paraId="11A44544" w14:textId="77777777" w:rsidR="008A1AB7" w:rsidRDefault="008A1AB7" w:rsidP="0090025D"/>
    <w:p w14:paraId="66020B0E" w14:textId="77777777" w:rsidR="008A1AB7" w:rsidRDefault="00D41E19" w:rsidP="0090025D">
      <w:r w:rsidRPr="003409A0">
        <w:t>It is extremely important</w:t>
      </w:r>
      <w:r>
        <w:t xml:space="preserve"> that </w:t>
      </w:r>
      <w:r w:rsidR="00AC1341">
        <w:t>regional councils widely</w:t>
      </w:r>
      <w:r>
        <w:t xml:space="preserve"> public</w:t>
      </w:r>
      <w:r w:rsidR="00AC1341">
        <w:t>ise</w:t>
      </w:r>
      <w:r>
        <w:t xml:space="preserve"> the </w:t>
      </w:r>
      <w:r w:rsidR="00AC1341">
        <w:t>rules relating to domestic fires (both in relation to woodburners and any open fire bans)</w:t>
      </w:r>
      <w:r w:rsidR="00F53FCB">
        <w:t>.</w:t>
      </w:r>
    </w:p>
    <w:p w14:paraId="776F119E" w14:textId="77777777" w:rsidR="00B95323" w:rsidRPr="002C6428" w:rsidRDefault="00B95323" w:rsidP="0090025D">
      <w:pPr>
        <w:pStyle w:val="Heading3"/>
        <w:rPr>
          <w:lang w:eastAsia="en-NZ"/>
        </w:rPr>
      </w:pPr>
      <w:r w:rsidRPr="002C6428">
        <w:rPr>
          <w:lang w:eastAsia="en-NZ"/>
        </w:rPr>
        <w:t>5.6.1</w:t>
      </w:r>
      <w:r w:rsidRPr="002C6428">
        <w:rPr>
          <w:lang w:eastAsia="en-NZ"/>
        </w:rPr>
        <w:tab/>
      </w:r>
      <w:r w:rsidR="002C6428" w:rsidRPr="002C6428">
        <w:rPr>
          <w:lang w:eastAsia="en-NZ"/>
        </w:rPr>
        <w:t>Funding</w:t>
      </w:r>
      <w:r w:rsidR="00184FAB">
        <w:rPr>
          <w:lang w:eastAsia="en-NZ"/>
        </w:rPr>
        <w:t xml:space="preserve"> </w:t>
      </w:r>
      <w:r w:rsidR="00E54515">
        <w:rPr>
          <w:lang w:eastAsia="en-NZ"/>
        </w:rPr>
        <w:t>p</w:t>
      </w:r>
      <w:r w:rsidR="00184FAB">
        <w:rPr>
          <w:lang w:eastAsia="en-NZ"/>
        </w:rPr>
        <w:t>rogrammes</w:t>
      </w:r>
    </w:p>
    <w:p w14:paraId="7B03CC10" w14:textId="77777777" w:rsidR="00184FAB" w:rsidRPr="00184FAB" w:rsidRDefault="00184FAB" w:rsidP="0090025D">
      <w:pPr>
        <w:pStyle w:val="Heading5"/>
        <w:rPr>
          <w:lang w:eastAsia="en-NZ"/>
        </w:rPr>
      </w:pPr>
      <w:r w:rsidRPr="00184FAB">
        <w:rPr>
          <w:lang w:eastAsia="en-NZ"/>
        </w:rPr>
        <w:t xml:space="preserve">Central </w:t>
      </w:r>
      <w:r w:rsidR="00E54515">
        <w:rPr>
          <w:lang w:eastAsia="en-NZ"/>
        </w:rPr>
        <w:t>g</w:t>
      </w:r>
      <w:r w:rsidRPr="00184FAB">
        <w:rPr>
          <w:lang w:eastAsia="en-NZ"/>
        </w:rPr>
        <w:t>overnment</w:t>
      </w:r>
    </w:p>
    <w:p w14:paraId="5BB870C8" w14:textId="77777777" w:rsidR="00184FAB" w:rsidRPr="00184FAB" w:rsidRDefault="00184FAB" w:rsidP="0090025D">
      <w:pPr>
        <w:rPr>
          <w:lang w:eastAsia="en-NZ"/>
        </w:rPr>
      </w:pPr>
      <w:r w:rsidRPr="00184FAB">
        <w:rPr>
          <w:lang w:eastAsia="en-NZ"/>
        </w:rPr>
        <w:t>Central government has been running a number of programmes since 1996 to improve the energy use and e</w:t>
      </w:r>
      <w:r w:rsidR="00F53FCB">
        <w:rPr>
          <w:lang w:eastAsia="en-NZ"/>
        </w:rPr>
        <w:t>fficiency of New Zealand Homes.</w:t>
      </w:r>
      <w:r w:rsidRPr="00184FAB">
        <w:rPr>
          <w:lang w:eastAsia="en-NZ"/>
        </w:rPr>
        <w:t xml:space="preserve"> These are all run by the Energy Efficiency and Conservation Authority (EECA).</w:t>
      </w:r>
    </w:p>
    <w:p w14:paraId="4DCB82F2" w14:textId="77777777" w:rsidR="00184FAB" w:rsidRPr="00184FAB" w:rsidRDefault="00184FAB" w:rsidP="0090025D">
      <w:pPr>
        <w:rPr>
          <w:lang w:eastAsia="en-NZ"/>
        </w:rPr>
      </w:pPr>
    </w:p>
    <w:p w14:paraId="136B5309" w14:textId="77777777" w:rsidR="00184FAB" w:rsidRPr="00184FAB" w:rsidRDefault="002C6428" w:rsidP="0090025D">
      <w:pPr>
        <w:rPr>
          <w:lang w:eastAsia="en-NZ"/>
        </w:rPr>
      </w:pPr>
      <w:r w:rsidRPr="00184FAB">
        <w:rPr>
          <w:lang w:eastAsia="en-NZ"/>
        </w:rPr>
        <w:t xml:space="preserve">The </w:t>
      </w:r>
      <w:r w:rsidR="00184FAB" w:rsidRPr="00184FAB">
        <w:rPr>
          <w:lang w:eastAsia="en-NZ"/>
        </w:rPr>
        <w:t>Clean Heat</w:t>
      </w:r>
      <w:r w:rsidRPr="00184FAB">
        <w:rPr>
          <w:lang w:eastAsia="en-NZ"/>
        </w:rPr>
        <w:t xml:space="preserve"> programme </w:t>
      </w:r>
      <w:r w:rsidR="000D200B">
        <w:rPr>
          <w:lang w:eastAsia="en-NZ"/>
        </w:rPr>
        <w:t>was run from 2007 to 2013</w:t>
      </w:r>
      <w:r w:rsidR="00C3195F">
        <w:rPr>
          <w:lang w:eastAsia="en-NZ"/>
        </w:rPr>
        <w:t>.  It provided</w:t>
      </w:r>
      <w:r w:rsidR="00184FAB" w:rsidRPr="00184FAB">
        <w:rPr>
          <w:lang w:eastAsia="en-NZ"/>
        </w:rPr>
        <w:t xml:space="preserve"> $1.1 million per annum to fund retrofits of clean heat </w:t>
      </w:r>
      <w:r w:rsidR="00C3195F">
        <w:rPr>
          <w:lang w:eastAsia="en-NZ"/>
        </w:rPr>
        <w:t xml:space="preserve">appliances </w:t>
      </w:r>
      <w:r w:rsidR="00184FAB" w:rsidRPr="00184FAB">
        <w:rPr>
          <w:lang w:eastAsia="en-NZ"/>
        </w:rPr>
        <w:t xml:space="preserve">in low-income houses with open fires or old woodburners.  </w:t>
      </w:r>
    </w:p>
    <w:p w14:paraId="175D40EF" w14:textId="77777777" w:rsidR="002C6428" w:rsidRDefault="002C6428" w:rsidP="0090025D">
      <w:pPr>
        <w:rPr>
          <w:highlight w:val="yellow"/>
          <w:lang w:eastAsia="en-NZ"/>
        </w:rPr>
      </w:pPr>
    </w:p>
    <w:p w14:paraId="6F90E14B" w14:textId="77777777" w:rsidR="00B95323" w:rsidRDefault="00184FAB" w:rsidP="0090025D">
      <w:pPr>
        <w:rPr>
          <w:lang w:eastAsia="en-NZ"/>
        </w:rPr>
      </w:pPr>
      <w:r>
        <w:rPr>
          <w:lang w:eastAsia="en-NZ"/>
        </w:rPr>
        <w:t xml:space="preserve">The </w:t>
      </w:r>
      <w:r w:rsidR="00B95323" w:rsidRPr="00B95323">
        <w:rPr>
          <w:lang w:eastAsia="en-NZ"/>
        </w:rPr>
        <w:t xml:space="preserve">Warm Up New Zealand: Heat Smart </w:t>
      </w:r>
      <w:r>
        <w:rPr>
          <w:lang w:eastAsia="en-NZ"/>
        </w:rPr>
        <w:t>programm</w:t>
      </w:r>
      <w:r w:rsidR="00F53FCB">
        <w:rPr>
          <w:lang w:eastAsia="en-NZ"/>
        </w:rPr>
        <w:t xml:space="preserve">e has been running since 2009. </w:t>
      </w:r>
      <w:r w:rsidR="00C3195F">
        <w:rPr>
          <w:lang w:eastAsia="en-NZ"/>
        </w:rPr>
        <w:t xml:space="preserve">By 2013 this programme </w:t>
      </w:r>
      <w:r w:rsidR="00DD29C7">
        <w:rPr>
          <w:lang w:eastAsia="en-NZ"/>
        </w:rPr>
        <w:t>has</w:t>
      </w:r>
      <w:r w:rsidR="00C3195F">
        <w:rPr>
          <w:lang w:eastAsia="en-NZ"/>
        </w:rPr>
        <w:t xml:space="preserve"> </w:t>
      </w:r>
      <w:r>
        <w:rPr>
          <w:lang w:eastAsia="en-NZ"/>
        </w:rPr>
        <w:t>provide</w:t>
      </w:r>
      <w:r w:rsidR="00C3195F">
        <w:rPr>
          <w:lang w:eastAsia="en-NZ"/>
        </w:rPr>
        <w:t>d</w:t>
      </w:r>
      <w:r>
        <w:rPr>
          <w:lang w:eastAsia="en-NZ"/>
        </w:rPr>
        <w:t xml:space="preserve"> </w:t>
      </w:r>
      <w:r w:rsidR="00B95323" w:rsidRPr="00B95323">
        <w:rPr>
          <w:lang w:eastAsia="en-NZ"/>
        </w:rPr>
        <w:t xml:space="preserve">insulation </w:t>
      </w:r>
      <w:r w:rsidR="00C3195F">
        <w:rPr>
          <w:lang w:eastAsia="en-NZ"/>
        </w:rPr>
        <w:t xml:space="preserve">grants for </w:t>
      </w:r>
      <w:r w:rsidR="00B95323" w:rsidRPr="002C6428">
        <w:rPr>
          <w:lang w:eastAsia="en-NZ"/>
        </w:rPr>
        <w:t xml:space="preserve">more than 188,500 New Zealand </w:t>
      </w:r>
      <w:r w:rsidR="00C3195F">
        <w:rPr>
          <w:lang w:eastAsia="en-NZ"/>
        </w:rPr>
        <w:t>homes</w:t>
      </w:r>
      <w:r w:rsidR="00B95323" w:rsidRPr="002C6428">
        <w:rPr>
          <w:lang w:eastAsia="en-NZ"/>
        </w:rPr>
        <w:t xml:space="preserve">. </w:t>
      </w:r>
      <w:r w:rsidR="00C3195F">
        <w:rPr>
          <w:lang w:eastAsia="en-NZ"/>
        </w:rPr>
        <w:t xml:space="preserve">The </w:t>
      </w:r>
      <w:r w:rsidR="0024434A">
        <w:rPr>
          <w:lang w:eastAsia="en-NZ"/>
        </w:rPr>
        <w:t>programme also installs</w:t>
      </w:r>
      <w:r w:rsidR="00C3195F">
        <w:rPr>
          <w:lang w:eastAsia="en-NZ"/>
        </w:rPr>
        <w:t xml:space="preserve"> about 7000 authorised appliances (eg, heat pumps, flued gas fires or wood or pellet burners) each year. </w:t>
      </w:r>
    </w:p>
    <w:p w14:paraId="241FFD99" w14:textId="77777777" w:rsidR="00020A97" w:rsidRDefault="00064378" w:rsidP="0090025D">
      <w:pPr>
        <w:pStyle w:val="Heading5"/>
      </w:pPr>
      <w:r>
        <w:t>Local initiatives</w:t>
      </w:r>
    </w:p>
    <w:p w14:paraId="7A509A17" w14:textId="77777777" w:rsidR="00020A97" w:rsidRDefault="00020A97" w:rsidP="0090025D">
      <w:r>
        <w:t>Many regional councils provide subsidies or loans to assist with the removal of open fires or older non-compliant woodburners and the installat</w:t>
      </w:r>
      <w:r w:rsidR="00F53FCB">
        <w:t xml:space="preserve">ion of a clean heating source. </w:t>
      </w:r>
      <w:r>
        <w:t xml:space="preserve">Environment Canterbury and Nelson City Council </w:t>
      </w:r>
      <w:r w:rsidR="00506F4D">
        <w:t xml:space="preserve">are examples of regional councils that </w:t>
      </w:r>
      <w:r>
        <w:t xml:space="preserve">have </w:t>
      </w:r>
      <w:r w:rsidR="00064378">
        <w:t xml:space="preserve">had </w:t>
      </w:r>
      <w:r w:rsidR="00C3195F">
        <w:t>Clean Heat schemes. F</w:t>
      </w:r>
      <w:r>
        <w:t>or more information on these please contact the relevant council.</w:t>
      </w:r>
    </w:p>
    <w:p w14:paraId="01345773" w14:textId="77777777" w:rsidR="00020A97" w:rsidRDefault="00020A97" w:rsidP="0090025D"/>
    <w:p w14:paraId="500B8A41" w14:textId="77777777" w:rsidR="00064378" w:rsidRDefault="00993D03" w:rsidP="0090025D">
      <w:pPr>
        <w:rPr>
          <w:lang w:eastAsia="en-NZ"/>
        </w:rPr>
      </w:pPr>
      <w:r>
        <w:rPr>
          <w:lang w:eastAsia="en-NZ"/>
        </w:rPr>
        <w:t xml:space="preserve">Eight councils offer a </w:t>
      </w:r>
      <w:r w:rsidR="00C3195F">
        <w:rPr>
          <w:lang w:eastAsia="en-NZ"/>
        </w:rPr>
        <w:t xml:space="preserve">Voluntary Targetted Rate Scheme, which is a </w:t>
      </w:r>
      <w:r>
        <w:rPr>
          <w:lang w:eastAsia="en-NZ"/>
        </w:rPr>
        <w:t>way for people to pay off the costs of retrofitting</w:t>
      </w:r>
      <w:r w:rsidR="0023627D">
        <w:rPr>
          <w:lang w:eastAsia="en-NZ"/>
        </w:rPr>
        <w:t xml:space="preserve"> insulation and/or clean heat over </w:t>
      </w:r>
      <w:r w:rsidR="00F53FCB">
        <w:rPr>
          <w:lang w:eastAsia="en-NZ"/>
        </w:rPr>
        <w:t xml:space="preserve">time through their rates bill. </w:t>
      </w:r>
      <w:r w:rsidR="0023627D">
        <w:rPr>
          <w:lang w:eastAsia="en-NZ"/>
        </w:rPr>
        <w:t>These councils are: Auckland Council, Greater Wellington Regional Council, Malborough District Council, Tasman District Council, Hawkes</w:t>
      </w:r>
      <w:r w:rsidR="002B78ED">
        <w:rPr>
          <w:lang w:eastAsia="en-NZ"/>
        </w:rPr>
        <w:t>’</w:t>
      </w:r>
      <w:r w:rsidR="0023627D">
        <w:rPr>
          <w:lang w:eastAsia="en-NZ"/>
        </w:rPr>
        <w:t xml:space="preserve"> Bay Regional Council, Nelson City Council, Environment Canterbury and the Chatham Islands Council.</w:t>
      </w:r>
    </w:p>
    <w:p w14:paraId="65C3B149" w14:textId="77777777" w:rsidR="00064378" w:rsidRDefault="00064378" w:rsidP="0090025D">
      <w:pPr>
        <w:rPr>
          <w:lang w:eastAsia="en-NZ"/>
        </w:rPr>
      </w:pPr>
    </w:p>
    <w:p w14:paraId="1F752260" w14:textId="77777777" w:rsidR="00020A97" w:rsidRDefault="00020A97" w:rsidP="0090025D">
      <w:pPr>
        <w:rPr>
          <w:lang w:eastAsia="en-NZ"/>
        </w:rPr>
      </w:pPr>
      <w:r w:rsidRPr="00506F4D">
        <w:rPr>
          <w:rFonts w:ascii="TimesNewRomanPS-BoldMT" w:hAnsi="TimesNewRomanPS-BoldMT" w:cs="TimesNewRomanPS-BoldMT"/>
          <w:bCs/>
          <w:lang w:eastAsia="en-NZ"/>
        </w:rPr>
        <w:t xml:space="preserve">Nelson City Council and Tasman District Council have also introduced a </w:t>
      </w:r>
      <w:r w:rsidRPr="00506F4D">
        <w:rPr>
          <w:lang w:eastAsia="en-NZ"/>
        </w:rPr>
        <w:t>business-friendly</w:t>
      </w:r>
      <w:r>
        <w:rPr>
          <w:lang w:eastAsia="en-NZ"/>
        </w:rPr>
        <w:t xml:space="preserve"> Good Wood scheme</w:t>
      </w:r>
      <w:r w:rsidR="00506F4D">
        <w:rPr>
          <w:lang w:eastAsia="en-NZ"/>
        </w:rPr>
        <w:t xml:space="preserve"> which </w:t>
      </w:r>
      <w:r>
        <w:rPr>
          <w:lang w:eastAsia="en-NZ"/>
        </w:rPr>
        <w:t>involves firewood merchants guaranteeing their wood to be less than 25 per cent moisture in</w:t>
      </w:r>
      <w:r w:rsidR="00506F4D">
        <w:rPr>
          <w:lang w:eastAsia="en-NZ"/>
        </w:rPr>
        <w:t xml:space="preserve"> </w:t>
      </w:r>
      <w:r>
        <w:rPr>
          <w:lang w:eastAsia="en-NZ"/>
        </w:rPr>
        <w:t>return for free promotion as a ‘good wood’ supplier by the council</w:t>
      </w:r>
      <w:r w:rsidR="001B1F05">
        <w:rPr>
          <w:lang w:eastAsia="en-NZ"/>
        </w:rPr>
        <w:t>.</w:t>
      </w:r>
      <w:r w:rsidR="00506F4D">
        <w:rPr>
          <w:lang w:eastAsia="en-NZ"/>
        </w:rPr>
        <w:t xml:space="preserve"> </w:t>
      </w:r>
      <w:r w:rsidR="001B1F05">
        <w:rPr>
          <w:lang w:eastAsia="en-NZ"/>
        </w:rPr>
        <w:t xml:space="preserve">Dry seasoned </w:t>
      </w:r>
      <w:r w:rsidR="00506F4D">
        <w:rPr>
          <w:lang w:eastAsia="en-NZ"/>
        </w:rPr>
        <w:t>wood produces less PM</w:t>
      </w:r>
      <w:r w:rsidR="00506F4D" w:rsidRPr="00FE00FD">
        <w:rPr>
          <w:vertAlign w:val="subscript"/>
          <w:lang w:eastAsia="en-NZ"/>
        </w:rPr>
        <w:t>10</w:t>
      </w:r>
      <w:r w:rsidR="00506F4D">
        <w:rPr>
          <w:lang w:eastAsia="en-NZ"/>
        </w:rPr>
        <w:t xml:space="preserve"> per kilogram of wood burnt.</w:t>
      </w:r>
    </w:p>
    <w:p w14:paraId="6BB48315" w14:textId="77777777" w:rsidR="00A74C2A" w:rsidRDefault="00A74C2A" w:rsidP="0090025D">
      <w:pPr>
        <w:rPr>
          <w:lang w:eastAsia="en-NZ"/>
        </w:rPr>
      </w:pPr>
    </w:p>
    <w:p w14:paraId="07159E0A" w14:textId="77777777" w:rsidR="006507FD" w:rsidRPr="000A61B9" w:rsidRDefault="006507FD" w:rsidP="0090025D">
      <w:pPr>
        <w:pStyle w:val="Heading2"/>
      </w:pPr>
      <w:bookmarkStart w:id="198" w:name="_Toc300856630"/>
      <w:r>
        <w:t>5.7</w:t>
      </w:r>
      <w:r>
        <w:tab/>
      </w:r>
      <w:r w:rsidRPr="000A61B9">
        <w:t>Reporting requirements</w:t>
      </w:r>
      <w:bookmarkEnd w:id="198"/>
    </w:p>
    <w:p w14:paraId="635C9E34" w14:textId="77777777" w:rsidR="006507FD" w:rsidRDefault="006507FD" w:rsidP="0090025D">
      <w:r>
        <w:t>The Minister for the Environment may, under section 27 of the RMA, request information on the implementation of the Regulations from</w:t>
      </w:r>
      <w:r w:rsidR="00F53FCB">
        <w:t xml:space="preserve"> regional councils at any time.</w:t>
      </w:r>
      <w:r>
        <w:t xml:space="preserve"> Councils have 20 working days to respond.</w:t>
      </w:r>
    </w:p>
    <w:p w14:paraId="732E100C" w14:textId="77777777" w:rsidR="006507FD" w:rsidRDefault="006507FD" w:rsidP="0090025D"/>
    <w:p w14:paraId="492A906C" w14:textId="77777777" w:rsidR="006507FD" w:rsidRDefault="006507FD" w:rsidP="0090025D">
      <w:pPr>
        <w:sectPr w:rsidR="006507FD">
          <w:pgSz w:w="11907" w:h="16840" w:code="9"/>
          <w:pgMar w:top="1701" w:right="1418" w:bottom="1701" w:left="1418" w:header="567" w:footer="567" w:gutter="567"/>
          <w:cols w:space="720"/>
        </w:sectPr>
      </w:pPr>
    </w:p>
    <w:p w14:paraId="00F36704" w14:textId="77777777" w:rsidR="00A274E3" w:rsidRPr="00234369" w:rsidRDefault="000C2627" w:rsidP="0090025D">
      <w:pPr>
        <w:pStyle w:val="Heading1"/>
      </w:pPr>
      <w:bookmarkStart w:id="199" w:name="_Toc300856631"/>
      <w:r>
        <w:t>6</w:t>
      </w:r>
      <w:r>
        <w:tab/>
        <w:t>Greenhouse Gas Emissions at Landfills</w:t>
      </w:r>
      <w:bookmarkEnd w:id="199"/>
    </w:p>
    <w:p w14:paraId="14C3A786" w14:textId="77777777" w:rsidR="000C2627" w:rsidRPr="000C434D" w:rsidRDefault="005466F7" w:rsidP="0090025D">
      <w:pPr>
        <w:pStyle w:val="Heading2"/>
      </w:pPr>
      <w:bookmarkStart w:id="200" w:name="_Toc87954640"/>
      <w:bookmarkStart w:id="201" w:name="_Toc222291813"/>
      <w:bookmarkStart w:id="202" w:name="_Toc222292159"/>
      <w:bookmarkStart w:id="203" w:name="_Toc222292247"/>
      <w:bookmarkStart w:id="204" w:name="_Toc242861970"/>
      <w:bookmarkStart w:id="205" w:name="_Toc300856632"/>
      <w:r>
        <w:t>6</w:t>
      </w:r>
      <w:r w:rsidR="000C2627" w:rsidRPr="000C434D">
        <w:t>.1</w:t>
      </w:r>
      <w:r w:rsidR="000C2627">
        <w:tab/>
      </w:r>
      <w:r w:rsidR="000C2627" w:rsidRPr="000C434D">
        <w:t>Background</w:t>
      </w:r>
      <w:bookmarkEnd w:id="200"/>
      <w:bookmarkEnd w:id="201"/>
      <w:bookmarkEnd w:id="202"/>
      <w:bookmarkEnd w:id="203"/>
      <w:bookmarkEnd w:id="204"/>
      <w:bookmarkEnd w:id="205"/>
    </w:p>
    <w:p w14:paraId="30FE7375" w14:textId="77777777" w:rsidR="00F815AE" w:rsidRDefault="00F815AE" w:rsidP="0090025D"/>
    <w:p w14:paraId="2CA02230" w14:textId="77777777" w:rsidR="007B3F46" w:rsidRPr="007B3F46" w:rsidRDefault="00621731" w:rsidP="0090025D">
      <w:r>
        <w:t xml:space="preserve">New Zealand is a Party to the United Nations Framework Convention on Climate Change (UNFCCC) and the Kyoto Protocol. Both international agreements aim to reduce global greenhouse gas emissions and address the effects of climate change. New Zealand is on track to meet our emissions reduction target of 0% increase on 1990 levels for the first commitment period of </w:t>
      </w:r>
      <w:r w:rsidR="00F53FCB">
        <w:t>the Kyoto Protocol (2008-2012).</w:t>
      </w:r>
      <w:r>
        <w:t xml:space="preserve"> In August 2013 New Zealand announced a 2020 target of -5% from 1990 levels for the period 2013-2020.  Additionally, New Zealand has a gazetted a long term target to reduce emissions </w:t>
      </w:r>
      <w:r w:rsidR="00F53FCB">
        <w:t>by 50% from 1990 level by 2050.</w:t>
      </w:r>
    </w:p>
    <w:p w14:paraId="164C62FE" w14:textId="77777777" w:rsidR="007B3F46" w:rsidRPr="007B3F46" w:rsidRDefault="007B3F46" w:rsidP="0090025D"/>
    <w:p w14:paraId="0B7E7A6A" w14:textId="77777777" w:rsidR="00FA1A6A" w:rsidRDefault="00FA1A6A" w:rsidP="0090025D">
      <w:r w:rsidRPr="007B3F46">
        <w:t>One of the most important greenhouse gases in terms of the level of emissions and its global warming potential</w:t>
      </w:r>
      <w:r>
        <w:t xml:space="preserve"> is methane.</w:t>
      </w:r>
      <w:r w:rsidRPr="00FA1A6A">
        <w:t xml:space="preserve"> </w:t>
      </w:r>
      <w:r w:rsidRPr="007B3F46">
        <w:t>It is estimated that landfill gas emissions make up 4</w:t>
      </w:r>
      <w:r w:rsidR="00470027">
        <w:t>%</w:t>
      </w:r>
      <w:r w:rsidR="00CB4921">
        <w:t xml:space="preserve"> </w:t>
      </w:r>
      <w:r w:rsidRPr="007B3F46">
        <w:t>of New Zealand’s total methane (a greenhouse gas) emissions</w:t>
      </w:r>
      <w:r>
        <w:t xml:space="preserve"> (MfE 2004a)</w:t>
      </w:r>
      <w:r w:rsidRPr="007B3F46">
        <w:t>.</w:t>
      </w:r>
    </w:p>
    <w:p w14:paraId="0E2ADEF5" w14:textId="77777777" w:rsidR="00FA1A6A" w:rsidRDefault="00FA1A6A" w:rsidP="0090025D"/>
    <w:p w14:paraId="1DB81FCE" w14:textId="77777777" w:rsidR="000C2627" w:rsidRDefault="00FA1A6A" w:rsidP="0090025D">
      <w:r>
        <w:t xml:space="preserve">The Regulations contain landfill gas standards (Regulations 25 to 27). </w:t>
      </w:r>
      <w:r w:rsidR="000C2627" w:rsidRPr="007B3F46">
        <w:t>The objective of the landfill gas standards is the effective management of discharges to air of greenhouse gases</w:t>
      </w:r>
      <w:r w:rsidR="007B3F46" w:rsidRPr="007B3F46">
        <w:t xml:space="preserve"> (mainly methane)</w:t>
      </w:r>
      <w:r w:rsidR="000C2627" w:rsidRPr="007B3F46">
        <w:t xml:space="preserve"> </w:t>
      </w:r>
      <w:r w:rsidR="00F53FCB">
        <w:t>generated from large landfills.</w:t>
      </w:r>
      <w:r w:rsidR="000C2627" w:rsidRPr="007B3F46">
        <w:t xml:space="preserve"> </w:t>
      </w:r>
      <w:r>
        <w:t>The</w:t>
      </w:r>
      <w:r w:rsidR="000C2627" w:rsidRPr="007B3F46">
        <w:t xml:space="preserve"> control and destruction of methane</w:t>
      </w:r>
      <w:r>
        <w:t xml:space="preserve"> is therefore the focus of the Regulations.</w:t>
      </w:r>
      <w:r w:rsidRPr="00FA1A6A">
        <w:t xml:space="preserve"> </w:t>
      </w:r>
      <w:r>
        <w:t>It is also important to understand the Resource Management (Energy and Climate Change) Amendment Act 2004 in relation to the landfill gas standards.</w:t>
      </w:r>
    </w:p>
    <w:p w14:paraId="3BA8E5E9" w14:textId="77777777" w:rsidR="000C2627" w:rsidRDefault="000C2627" w:rsidP="0090025D"/>
    <w:p w14:paraId="5988E316" w14:textId="77777777" w:rsidR="000C2627" w:rsidRDefault="000C2627" w:rsidP="0090025D">
      <w:r>
        <w:t xml:space="preserve">The </w:t>
      </w:r>
      <w:r w:rsidR="002D574D">
        <w:t>Regulations</w:t>
      </w:r>
      <w:r>
        <w:t xml:space="preserve"> require the collection and destruction of methane gas at all landfill sites with a total design capacity greater than 1 million tonnes of refuse</w:t>
      </w:r>
      <w:r w:rsidR="00FA1A6A">
        <w:t xml:space="preserve"> (ie, large landfills)</w:t>
      </w:r>
      <w:r>
        <w:t>. The</w:t>
      </w:r>
      <w:r w:rsidR="00FA1A6A">
        <w:t xml:space="preserve">y also </w:t>
      </w:r>
      <w:r>
        <w:t xml:space="preserve">set design standards for the flaring of the gas, </w:t>
      </w:r>
      <w:r w:rsidR="00FA1A6A">
        <w:t xml:space="preserve">allow </w:t>
      </w:r>
      <w:r>
        <w:t>for destruction of collected gas via beneficial uses of methane – such as electricity generation</w:t>
      </w:r>
      <w:r w:rsidR="00FA1A6A">
        <w:t>, and facilitate management of organic waste outside of the landfill (eg, via composting initiatives).</w:t>
      </w:r>
    </w:p>
    <w:p w14:paraId="737CB76E" w14:textId="77777777" w:rsidR="002E56F9" w:rsidRDefault="002E56F9" w:rsidP="0090025D"/>
    <w:p w14:paraId="1295DB25" w14:textId="77777777" w:rsidR="000C2627" w:rsidRPr="00EE3684" w:rsidRDefault="002D5C81" w:rsidP="0090025D">
      <w:pPr>
        <w:pStyle w:val="Heading2"/>
      </w:pPr>
      <w:bookmarkStart w:id="206" w:name="_Toc69868780"/>
      <w:bookmarkStart w:id="207" w:name="_Toc70825751"/>
      <w:bookmarkStart w:id="208" w:name="_Toc78879339"/>
      <w:bookmarkStart w:id="209" w:name="_Toc87954641"/>
      <w:bookmarkStart w:id="210" w:name="_Toc222291814"/>
      <w:bookmarkStart w:id="211" w:name="_Toc222292160"/>
      <w:bookmarkStart w:id="212" w:name="_Toc222292248"/>
      <w:bookmarkStart w:id="213" w:name="_Toc242861971"/>
      <w:bookmarkStart w:id="214" w:name="_Toc300856633"/>
      <w:r>
        <w:t>6</w:t>
      </w:r>
      <w:r w:rsidR="000C2627">
        <w:t>.2</w:t>
      </w:r>
      <w:r w:rsidR="000C2627" w:rsidRPr="00EE3684">
        <w:tab/>
        <w:t>Resource Management (Energy and Climate Change) Amendment Act 2004</w:t>
      </w:r>
      <w:bookmarkEnd w:id="206"/>
      <w:bookmarkEnd w:id="207"/>
      <w:bookmarkEnd w:id="208"/>
      <w:bookmarkEnd w:id="209"/>
      <w:bookmarkEnd w:id="210"/>
      <w:bookmarkEnd w:id="211"/>
      <w:bookmarkEnd w:id="212"/>
      <w:bookmarkEnd w:id="213"/>
      <w:bookmarkEnd w:id="214"/>
    </w:p>
    <w:p w14:paraId="1A04C860" w14:textId="77777777" w:rsidR="000C2627" w:rsidRDefault="000C2627" w:rsidP="0090025D">
      <w:r>
        <w:t>The Resource Management (Energy and Climate Change) Amendment Act 2004 ca</w:t>
      </w:r>
      <w:r w:rsidR="00F53FCB">
        <w:t>me into force on 2 March 2004.</w:t>
      </w:r>
    </w:p>
    <w:p w14:paraId="4487CB9D" w14:textId="77777777" w:rsidR="000C2627" w:rsidRDefault="000C2627" w:rsidP="0090025D"/>
    <w:p w14:paraId="289B1D7A" w14:textId="77777777" w:rsidR="000C2627" w:rsidRDefault="000C2627" w:rsidP="0090025D">
      <w:r>
        <w:t>One of the motivations for the Amendment Act</w:t>
      </w:r>
      <w:r w:rsidR="006C7EF2">
        <w:t xml:space="preserve"> 2004</w:t>
      </w:r>
      <w:r>
        <w:t xml:space="preserve"> was to remove the potential for duplication of greenhouse gas emissions</w:t>
      </w:r>
      <w:r w:rsidR="00FA1A6A">
        <w:t xml:space="preserve"> regulations</w:t>
      </w:r>
      <w:r>
        <w:t xml:space="preserve"> at the local and national levels</w:t>
      </w:r>
      <w:r w:rsidR="00FA1A6A">
        <w:t xml:space="preserve"> and to achieve</w:t>
      </w:r>
      <w:r>
        <w:t xml:space="preserve"> national </w:t>
      </w:r>
      <w:r w:rsidR="00FC6CAB">
        <w:t>leadership</w:t>
      </w:r>
      <w:r>
        <w:t xml:space="preserve"> of controls on </w:t>
      </w:r>
      <w:r w:rsidR="00FA1A6A">
        <w:t>greenhouse gas discharges</w:t>
      </w:r>
      <w:r>
        <w:t>.</w:t>
      </w:r>
      <w:r w:rsidR="00FA1A6A">
        <w:t xml:space="preserve"> </w:t>
      </w:r>
      <w:r>
        <w:t xml:space="preserve">The Amendment Act </w:t>
      </w:r>
      <w:r w:rsidR="00FA1A6A">
        <w:t xml:space="preserve">has </w:t>
      </w:r>
      <w:r>
        <w:t>achieve</w:t>
      </w:r>
      <w:r w:rsidR="00FA1A6A">
        <w:t>d</w:t>
      </w:r>
      <w:r>
        <w:t xml:space="preserve"> national </w:t>
      </w:r>
      <w:r w:rsidR="00FC6CAB">
        <w:t>direction</w:t>
      </w:r>
      <w:r>
        <w:t xml:space="preserve"> by removing the power of regional councils to consider the impacts of </w:t>
      </w:r>
      <w:r w:rsidR="00FA1A6A">
        <w:t xml:space="preserve">greenhouse gas </w:t>
      </w:r>
      <w:r>
        <w:t>discharges to air on climate change when making rules in regional plans or determining air discharge consents, except where necessary to implement a national environmental standard.</w:t>
      </w:r>
    </w:p>
    <w:p w14:paraId="61C6AA2F" w14:textId="77777777" w:rsidR="00E06416" w:rsidRDefault="00E06416" w:rsidP="0090025D"/>
    <w:p w14:paraId="1D7BB740" w14:textId="77777777" w:rsidR="00FC6CAB" w:rsidRDefault="00E06416" w:rsidP="0090025D">
      <w:r>
        <w:t xml:space="preserve">The </w:t>
      </w:r>
      <w:r w:rsidR="002179A2">
        <w:t xml:space="preserve">purpose of </w:t>
      </w:r>
      <w:r w:rsidR="00FC6CAB">
        <w:t xml:space="preserve">the landfill gas </w:t>
      </w:r>
      <w:r w:rsidR="002179A2">
        <w:t>control</w:t>
      </w:r>
      <w:r w:rsidR="00FC6CAB">
        <w:t xml:space="preserve">s under the Regulations is </w:t>
      </w:r>
      <w:r w:rsidR="008352F7">
        <w:t xml:space="preserve">to </w:t>
      </w:r>
      <w:r w:rsidR="00FC6CAB">
        <w:t xml:space="preserve">control </w:t>
      </w:r>
      <w:r w:rsidR="002179A2">
        <w:t>greenh</w:t>
      </w:r>
      <w:r w:rsidR="00FC6CAB">
        <w:t>ouse gas</w:t>
      </w:r>
      <w:r w:rsidR="002179A2">
        <w:t xml:space="preserve"> </w:t>
      </w:r>
      <w:r w:rsidR="00FC6CAB">
        <w:t xml:space="preserve">discharges </w:t>
      </w:r>
      <w:r w:rsidR="008352F7">
        <w:t xml:space="preserve">(mainly methane) </w:t>
      </w:r>
      <w:r w:rsidR="00FC6CAB">
        <w:t>to air</w:t>
      </w:r>
      <w:r w:rsidR="002179A2">
        <w:t xml:space="preserve">. </w:t>
      </w:r>
    </w:p>
    <w:p w14:paraId="2E31D47D" w14:textId="77777777" w:rsidR="000C2627" w:rsidRDefault="00FC6CAB" w:rsidP="0090025D">
      <w:r>
        <w:t xml:space="preserve">The following sections of the RMA apply and need to be read in conjunction with the landfill </w:t>
      </w:r>
      <w:r w:rsidR="008352F7">
        <w:t xml:space="preserve">gas </w:t>
      </w:r>
      <w:r>
        <w:t>standard</w:t>
      </w:r>
      <w:r w:rsidR="00FE3B57">
        <w:t>s</w:t>
      </w:r>
      <w:r>
        <w:t xml:space="preserve">: </w:t>
      </w:r>
      <w:r w:rsidR="00911CD5">
        <w:t>section</w:t>
      </w:r>
      <w:r w:rsidR="00BF6F9E">
        <w:t xml:space="preserve">s 70A, </w:t>
      </w:r>
      <w:r w:rsidR="00911CD5">
        <w:t>70B</w:t>
      </w:r>
      <w:r w:rsidR="00BF6F9E">
        <w:t>, 104E</w:t>
      </w:r>
      <w:r w:rsidR="00522FFC">
        <w:t xml:space="preserve"> </w:t>
      </w:r>
      <w:r w:rsidR="00BF6F9E">
        <w:t>and 104F</w:t>
      </w:r>
      <w:r w:rsidR="00911CD5">
        <w:t xml:space="preserve"> </w:t>
      </w:r>
      <w:r w:rsidR="005B50AE">
        <w:t>(which w</w:t>
      </w:r>
      <w:r w:rsidR="00BF6F9E">
        <w:t>ere</w:t>
      </w:r>
      <w:r w:rsidR="005B50AE">
        <w:t xml:space="preserve"> inserted by the </w:t>
      </w:r>
      <w:r w:rsidR="00C301FE">
        <w:t xml:space="preserve">Climate Change </w:t>
      </w:r>
      <w:r>
        <w:t>Amendment Act 2004)</w:t>
      </w:r>
      <w:r w:rsidR="00BF6F9E">
        <w:t>. These</w:t>
      </w:r>
      <w:r w:rsidR="0098402E">
        <w:t xml:space="preserve"> </w:t>
      </w:r>
      <w:r w:rsidR="000C2627">
        <w:t>state</w:t>
      </w:r>
      <w:r w:rsidR="00BF6F9E">
        <w:t xml:space="preserve"> that</w:t>
      </w:r>
      <w:r w:rsidR="000C2627">
        <w:t>:</w:t>
      </w:r>
    </w:p>
    <w:p w14:paraId="48B188C4" w14:textId="77777777" w:rsidR="009A7250" w:rsidRDefault="009A7250" w:rsidP="009A7250"/>
    <w:p w14:paraId="5DD89A5F" w14:textId="77777777" w:rsidR="009A7250" w:rsidRPr="00785DB3" w:rsidRDefault="009A7250" w:rsidP="009A7250">
      <w:pPr>
        <w:ind w:left="567" w:right="566"/>
        <w:rPr>
          <w:b/>
          <w:i/>
          <w:sz w:val="20"/>
        </w:rPr>
      </w:pPr>
      <w:r w:rsidRPr="00785DB3">
        <w:rPr>
          <w:b/>
          <w:i/>
          <w:sz w:val="20"/>
        </w:rPr>
        <w:t>70A</w:t>
      </w:r>
      <w:r w:rsidRPr="00785DB3">
        <w:rPr>
          <w:b/>
          <w:i/>
          <w:sz w:val="20"/>
        </w:rPr>
        <w:tab/>
        <w:t>Application to climate change of rules relating to discharge of greenhouse gases</w:t>
      </w:r>
    </w:p>
    <w:p w14:paraId="59A7202D" w14:textId="77777777" w:rsidR="009A7250" w:rsidRPr="00785DB3" w:rsidRDefault="009A7250" w:rsidP="009A7250">
      <w:pPr>
        <w:ind w:left="1134" w:right="566" w:hanging="567"/>
        <w:rPr>
          <w:i/>
          <w:sz w:val="20"/>
        </w:rPr>
      </w:pPr>
      <w:r w:rsidRPr="00785DB3">
        <w:rPr>
          <w:i/>
          <w:sz w:val="20"/>
        </w:rPr>
        <w:tab/>
        <w:t xml:space="preserve">Despite section 68(3), when making a rule to control the discharge of greenhouse gases under its functions under section 30(1)(d)(iv) or (f), a regional council must not have regard to the effects of such a discharge on climate change, except to the extent that the use and development of renewable energy enables a reduction in the discharge into air of greenhouse gases, either </w:t>
      </w:r>
      <w:r>
        <w:rPr>
          <w:i/>
          <w:sz w:val="20"/>
        </w:rPr>
        <w:t xml:space="preserve">--- </w:t>
      </w:r>
    </w:p>
    <w:p w14:paraId="7B8A4D3D" w14:textId="77777777" w:rsidR="009A7250" w:rsidRPr="00785DB3" w:rsidRDefault="009A7250" w:rsidP="009A7250">
      <w:pPr>
        <w:ind w:left="1701" w:right="566" w:hanging="567"/>
        <w:rPr>
          <w:i/>
          <w:sz w:val="20"/>
        </w:rPr>
      </w:pPr>
      <w:r w:rsidRPr="00785DB3">
        <w:rPr>
          <w:i/>
          <w:sz w:val="20"/>
        </w:rPr>
        <w:t>(a)</w:t>
      </w:r>
      <w:r w:rsidRPr="00785DB3">
        <w:rPr>
          <w:i/>
          <w:sz w:val="20"/>
        </w:rPr>
        <w:tab/>
        <w:t>in absolute terms; or</w:t>
      </w:r>
    </w:p>
    <w:p w14:paraId="03C216C6" w14:textId="77777777" w:rsidR="009A7250" w:rsidRPr="00785DB3" w:rsidRDefault="009A7250" w:rsidP="009A7250">
      <w:pPr>
        <w:ind w:left="1701" w:right="566" w:hanging="567"/>
        <w:rPr>
          <w:i/>
          <w:sz w:val="20"/>
        </w:rPr>
      </w:pPr>
      <w:r w:rsidRPr="00785DB3">
        <w:rPr>
          <w:i/>
          <w:sz w:val="20"/>
        </w:rPr>
        <w:t>(b)</w:t>
      </w:r>
      <w:r w:rsidRPr="00785DB3">
        <w:rPr>
          <w:i/>
          <w:sz w:val="20"/>
        </w:rPr>
        <w:tab/>
        <w:t>relative to the use and development of non-renewable energy.</w:t>
      </w:r>
    </w:p>
    <w:p w14:paraId="47F055EA" w14:textId="77777777" w:rsidR="009A7250" w:rsidRDefault="009A7250" w:rsidP="009A7250">
      <w:pPr>
        <w:ind w:left="1134" w:hanging="567"/>
      </w:pPr>
      <w:r>
        <w:tab/>
      </w:r>
    </w:p>
    <w:p w14:paraId="6A1CBD62" w14:textId="77777777" w:rsidR="009A7250" w:rsidRPr="00620CAD" w:rsidRDefault="009A7250" w:rsidP="009A7250">
      <w:pPr>
        <w:pStyle w:val="Blockquote"/>
        <w:spacing w:before="0"/>
        <w:rPr>
          <w:b/>
        </w:rPr>
      </w:pPr>
      <w:r w:rsidRPr="00620CAD">
        <w:rPr>
          <w:b/>
        </w:rPr>
        <w:t>70B</w:t>
      </w:r>
      <w:r w:rsidRPr="00620CAD">
        <w:rPr>
          <w:b/>
        </w:rPr>
        <w:tab/>
        <w:t>Implementation of national environmental standards</w:t>
      </w:r>
    </w:p>
    <w:p w14:paraId="6B9A4E76" w14:textId="77777777" w:rsidR="009A7250" w:rsidRDefault="009A7250" w:rsidP="009A7250">
      <w:pPr>
        <w:pStyle w:val="Blockquote"/>
        <w:spacing w:before="0"/>
        <w:ind w:left="1134" w:right="566"/>
      </w:pPr>
      <w:r>
        <w:t>If a national environmental standard is made to control the effects on climate change of the discharge into air of greenhouse gases, a regional council may make rules that are necessary to implement the standard, provided the rules are no more or less restrictive than the standard.</w:t>
      </w:r>
    </w:p>
    <w:p w14:paraId="19C0FA5B" w14:textId="77777777" w:rsidR="009A7250" w:rsidRDefault="009A7250" w:rsidP="009A7250">
      <w:pPr>
        <w:pStyle w:val="Blockquote"/>
        <w:spacing w:before="0"/>
        <w:ind w:left="1134" w:right="566"/>
      </w:pPr>
    </w:p>
    <w:p w14:paraId="1B5147B5" w14:textId="77777777" w:rsidR="009A7250" w:rsidRDefault="009A7250" w:rsidP="009A7250">
      <w:pPr>
        <w:pStyle w:val="Blockquote"/>
        <w:spacing w:before="0"/>
        <w:ind w:left="1134" w:hanging="567"/>
        <w:rPr>
          <w:b/>
        </w:rPr>
      </w:pPr>
      <w:r>
        <w:rPr>
          <w:b/>
        </w:rPr>
        <w:t>104E</w:t>
      </w:r>
      <w:r>
        <w:rPr>
          <w:b/>
        </w:rPr>
        <w:tab/>
        <w:t>Applications relating to discharge of greenhouse gases</w:t>
      </w:r>
    </w:p>
    <w:p w14:paraId="1838ABA5" w14:textId="77777777" w:rsidR="009A7250" w:rsidRPr="005F39E9" w:rsidRDefault="009A7250" w:rsidP="009A7250">
      <w:pPr>
        <w:pStyle w:val="Blockquote"/>
        <w:spacing w:before="0"/>
        <w:ind w:left="1134" w:hanging="567"/>
      </w:pPr>
      <w:r>
        <w:rPr>
          <w:b/>
        </w:rPr>
        <w:tab/>
      </w:r>
      <w:r w:rsidRPr="005F39E9">
        <w:t xml:space="preserve">When considering an application for a discharge permit or coastal permit to do something that would otherwise contravene section 15 or section 15B relating to the discharge into air of greenhouse gases, a consent authority must not have regard to the effects of such a discharge on climate change, except to the extent that the use and development of renewable energy enables a reduction in the discharge into air or greenhouse gases, either – </w:t>
      </w:r>
    </w:p>
    <w:p w14:paraId="511D97F5" w14:textId="77777777" w:rsidR="009A7250" w:rsidRPr="005F39E9" w:rsidRDefault="009A7250" w:rsidP="009A7250">
      <w:pPr>
        <w:pStyle w:val="Blockquote"/>
        <w:spacing w:before="0"/>
        <w:ind w:left="1701" w:hanging="567"/>
      </w:pPr>
      <w:r w:rsidRPr="005F39E9">
        <w:t>(a)</w:t>
      </w:r>
      <w:r w:rsidRPr="005F39E9">
        <w:tab/>
        <w:t>in absolute terms; or</w:t>
      </w:r>
    </w:p>
    <w:p w14:paraId="775B62A0" w14:textId="77777777" w:rsidR="009A7250" w:rsidRPr="005F39E9" w:rsidRDefault="009A7250" w:rsidP="009A7250">
      <w:pPr>
        <w:pStyle w:val="Blockquote"/>
        <w:spacing w:before="0"/>
        <w:ind w:left="1701" w:hanging="567"/>
      </w:pPr>
      <w:r w:rsidRPr="005F39E9">
        <w:t>(b)</w:t>
      </w:r>
      <w:r w:rsidRPr="005F39E9">
        <w:tab/>
        <w:t>relative to the use and development of non-renewable energy.</w:t>
      </w:r>
    </w:p>
    <w:p w14:paraId="07E37F0D" w14:textId="77777777" w:rsidR="009A7250" w:rsidRDefault="009A7250" w:rsidP="009A7250">
      <w:pPr>
        <w:pStyle w:val="Blockquote"/>
        <w:spacing w:before="0"/>
        <w:ind w:left="1134" w:hanging="567"/>
        <w:rPr>
          <w:b/>
        </w:rPr>
      </w:pPr>
      <w:r>
        <w:rPr>
          <w:b/>
        </w:rPr>
        <w:tab/>
      </w:r>
    </w:p>
    <w:p w14:paraId="3D8DD0FE" w14:textId="77777777" w:rsidR="009A7250" w:rsidRPr="00620CAD" w:rsidRDefault="009A7250" w:rsidP="009A7250">
      <w:pPr>
        <w:pStyle w:val="Blockquote"/>
        <w:spacing w:before="0"/>
        <w:ind w:left="1134" w:hanging="567"/>
        <w:rPr>
          <w:b/>
        </w:rPr>
      </w:pPr>
      <w:r w:rsidRPr="00620CAD">
        <w:rPr>
          <w:b/>
        </w:rPr>
        <w:t>104F</w:t>
      </w:r>
      <w:r w:rsidRPr="00620CAD">
        <w:rPr>
          <w:b/>
        </w:rPr>
        <w:tab/>
        <w:t>Implementation of National Environmental Standards</w:t>
      </w:r>
    </w:p>
    <w:p w14:paraId="04976DC1" w14:textId="77777777" w:rsidR="009A7250" w:rsidRDefault="009A7250" w:rsidP="009A7250">
      <w:pPr>
        <w:pStyle w:val="Blockquote"/>
        <w:spacing w:before="0"/>
        <w:ind w:left="1134"/>
      </w:pPr>
      <w:r>
        <w:t>If a national environmental standard is made to control the effects on climate change of the discharge into air of greenhouse gases, a consent authority, when considering an application for a discharge permit or coastal permit to do something that would otherwise contravene section 15 or section 15B, –</w:t>
      </w:r>
    </w:p>
    <w:p w14:paraId="405A318C" w14:textId="77777777" w:rsidR="009A7250" w:rsidRDefault="009A7250" w:rsidP="009A7250">
      <w:pPr>
        <w:pStyle w:val="Blockquote"/>
        <w:spacing w:before="0"/>
        <w:ind w:left="1701" w:hanging="567"/>
      </w:pPr>
      <w:r>
        <w:t>(a)</w:t>
      </w:r>
      <w:r>
        <w:tab/>
        <w:t>may grant the application, with or without conditions, or decline it, as necessary to implement the standard; but</w:t>
      </w:r>
    </w:p>
    <w:p w14:paraId="5F2B96AF" w14:textId="77777777" w:rsidR="009A7250" w:rsidRDefault="009A7250" w:rsidP="009A7250">
      <w:pPr>
        <w:pStyle w:val="Blockquote"/>
        <w:spacing w:before="0"/>
        <w:ind w:left="1701" w:hanging="567"/>
      </w:pPr>
      <w:r>
        <w:t>(b)</w:t>
      </w:r>
      <w:r>
        <w:tab/>
        <w:t>in making its determination, must be no more or less restrictive than is necessary to implement the standard.</w:t>
      </w:r>
    </w:p>
    <w:p w14:paraId="264094B6" w14:textId="77777777" w:rsidR="009A7250" w:rsidRDefault="009A7250" w:rsidP="009A7250"/>
    <w:p w14:paraId="1695DB7E" w14:textId="77777777" w:rsidR="00BF6F9E" w:rsidRPr="00BF6F9E" w:rsidRDefault="00BF6F9E" w:rsidP="0090025D">
      <w:r>
        <w:t>To summarise, these sections of the RMA state:</w:t>
      </w:r>
    </w:p>
    <w:p w14:paraId="0E122E4B" w14:textId="77777777" w:rsidR="00BF6F9E" w:rsidRDefault="00FA38E0" w:rsidP="000C700D">
      <w:pPr>
        <w:pStyle w:val="Bullet"/>
        <w:numPr>
          <w:ilvl w:val="0"/>
          <w:numId w:val="14"/>
        </w:numPr>
        <w:ind w:left="357" w:hanging="357"/>
      </w:pPr>
      <w:r>
        <w:t xml:space="preserve">rules </w:t>
      </w:r>
      <w:r w:rsidR="00BF6F9E">
        <w:t>and resource consents can only consider the effects on climate change to the extent that the use of renewable energy will reduce discharges into air or greenhouse gases in total</w:t>
      </w:r>
      <w:r w:rsidR="001644FF">
        <w:t>,</w:t>
      </w:r>
      <w:r w:rsidR="00BF6F9E">
        <w:t xml:space="preserve"> or in comparison to non-renewable energy</w:t>
      </w:r>
      <w:r w:rsidR="00FC6CAB">
        <w:t xml:space="preserve"> (ie, the effects of climate change per se cannot be considered)</w:t>
      </w:r>
      <w:r w:rsidR="00BF6F9E">
        <w:t xml:space="preserve"> </w:t>
      </w:r>
    </w:p>
    <w:p w14:paraId="6A86AB97" w14:textId="77777777" w:rsidR="00BF6F9E" w:rsidRDefault="00FA38E0" w:rsidP="000C700D">
      <w:pPr>
        <w:pStyle w:val="Bullet"/>
        <w:numPr>
          <w:ilvl w:val="0"/>
          <w:numId w:val="14"/>
        </w:numPr>
        <w:ind w:left="357" w:hanging="357"/>
      </w:pPr>
      <w:r>
        <w:t xml:space="preserve">rules </w:t>
      </w:r>
      <w:r w:rsidR="00BF6F9E">
        <w:t>can be made that are necessary to implement the national environmental standard (not the policy)</w:t>
      </w:r>
    </w:p>
    <w:p w14:paraId="4B71B079" w14:textId="77777777" w:rsidR="00BF6F9E" w:rsidRDefault="00FA38E0" w:rsidP="000C700D">
      <w:pPr>
        <w:pStyle w:val="Bullet"/>
        <w:numPr>
          <w:ilvl w:val="0"/>
          <w:numId w:val="14"/>
        </w:numPr>
        <w:ind w:left="357" w:hanging="357"/>
      </w:pPr>
      <w:r>
        <w:t>r</w:t>
      </w:r>
      <w:r w:rsidR="00BF6F9E">
        <w:t>ules have to be no more or no less restrictive than the national environmental standard</w:t>
      </w:r>
    </w:p>
    <w:p w14:paraId="638BEC05" w14:textId="77777777" w:rsidR="00BF6F9E" w:rsidRDefault="00FA38E0" w:rsidP="000C700D">
      <w:pPr>
        <w:pStyle w:val="Bullet"/>
        <w:numPr>
          <w:ilvl w:val="0"/>
          <w:numId w:val="14"/>
        </w:numPr>
        <w:ind w:left="357" w:hanging="357"/>
      </w:pPr>
      <w:r>
        <w:t xml:space="preserve">resource </w:t>
      </w:r>
      <w:r w:rsidR="00BF6F9E">
        <w:t xml:space="preserve">consents can be issued for greenhouse gas emissions but the regional council may be no more or no less restrictive than is necessary to implement </w:t>
      </w:r>
      <w:r w:rsidR="001644FF">
        <w:t>a national environmental</w:t>
      </w:r>
      <w:r w:rsidR="00BF6F9E">
        <w:t xml:space="preserve"> standard</w:t>
      </w:r>
      <w:r>
        <w:t>.</w:t>
      </w:r>
    </w:p>
    <w:p w14:paraId="09EA6266" w14:textId="77777777" w:rsidR="001644FF" w:rsidRDefault="001644FF" w:rsidP="0090025D"/>
    <w:p w14:paraId="7FCD89B7" w14:textId="77777777" w:rsidR="00692425" w:rsidRDefault="00BF6F9E" w:rsidP="0090025D">
      <w:r>
        <w:t>These sections of the RMA mean that regional rules</w:t>
      </w:r>
      <w:r w:rsidR="00692425">
        <w:t xml:space="preserve"> (and resource consents)</w:t>
      </w:r>
      <w:r>
        <w:t xml:space="preserve"> when considered within the context of the Regulations are applied differently for the control of greenhouse gas emissions from landfill gas in comparison to other parts of the Regulation. That is, regional rules </w:t>
      </w:r>
      <w:r w:rsidR="00692425">
        <w:t xml:space="preserve">(and resource consents) </w:t>
      </w:r>
      <w:r>
        <w:t>cannot be more restrictive (as allowed for by Regulation 28) when applied to greenhouse g</w:t>
      </w:r>
      <w:r w:rsidR="00F53FCB">
        <w:t>as emissions from landfill gas.</w:t>
      </w:r>
      <w:r>
        <w:t xml:space="preserve"> </w:t>
      </w:r>
    </w:p>
    <w:p w14:paraId="0B292732" w14:textId="77777777" w:rsidR="00BF6F9E" w:rsidRDefault="00BF6F9E" w:rsidP="0090025D"/>
    <w:p w14:paraId="44D16A6D" w14:textId="77777777" w:rsidR="00692425" w:rsidRDefault="001644FF" w:rsidP="0090025D">
      <w:r>
        <w:t>Regional</w:t>
      </w:r>
      <w:r w:rsidR="00BF6F9E">
        <w:t xml:space="preserve"> rules</w:t>
      </w:r>
      <w:r w:rsidR="00692425">
        <w:t xml:space="preserve"> and resource consents conditions</w:t>
      </w:r>
      <w:r w:rsidR="00BF6F9E">
        <w:t xml:space="preserve"> </w:t>
      </w:r>
      <w:r>
        <w:t>for the purpose of</w:t>
      </w:r>
      <w:r w:rsidR="00BF6F9E">
        <w:t xml:space="preserve"> control</w:t>
      </w:r>
      <w:r>
        <w:t>ling</w:t>
      </w:r>
      <w:r w:rsidR="00BF6F9E">
        <w:t xml:space="preserve"> odour</w:t>
      </w:r>
      <w:r w:rsidR="00522FFC">
        <w:t xml:space="preserve"> from landfill gas</w:t>
      </w:r>
      <w:r>
        <w:t>, and/</w:t>
      </w:r>
      <w:r w:rsidR="00BF6F9E">
        <w:t>or methane emissions for health and safety</w:t>
      </w:r>
      <w:r w:rsidR="00FC6CAB">
        <w:t xml:space="preserve"> reasons</w:t>
      </w:r>
      <w:r>
        <w:t xml:space="preserve"> are not subject to the</w:t>
      </w:r>
      <w:r w:rsidR="00BC135F">
        <w:t>se</w:t>
      </w:r>
      <w:r>
        <w:t xml:space="preserve"> sections of the RMA. This is because these</w:t>
      </w:r>
      <w:r w:rsidR="00FC6CAB">
        <w:t xml:space="preserve"> rules </w:t>
      </w:r>
      <w:r>
        <w:t>and/</w:t>
      </w:r>
      <w:r w:rsidR="00FC6CAB">
        <w:t xml:space="preserve">or conditions are not </w:t>
      </w:r>
      <w:r w:rsidR="00BC135F">
        <w:t>for the purpose</w:t>
      </w:r>
      <w:r>
        <w:t xml:space="preserve"> of </w:t>
      </w:r>
      <w:r w:rsidR="00FC6CAB">
        <w:t>manag</w:t>
      </w:r>
      <w:r>
        <w:t>ing greenhouse gas</w:t>
      </w:r>
      <w:r w:rsidR="00FC6CAB">
        <w:t xml:space="preserve"> emissions in terms of their effects on climate change</w:t>
      </w:r>
      <w:r>
        <w:t>. Such rules and/or conditions would not be</w:t>
      </w:r>
      <w:r w:rsidR="00FC6CAB">
        <w:t xml:space="preserve"> covered by the Regulations</w:t>
      </w:r>
      <w:r w:rsidR="006C7EF2">
        <w:t xml:space="preserve"> or the </w:t>
      </w:r>
      <w:r>
        <w:t xml:space="preserve">Climate Change </w:t>
      </w:r>
      <w:r w:rsidR="006C7EF2">
        <w:t>Amendment Act 2004</w:t>
      </w:r>
      <w:r w:rsidR="00FC6CAB">
        <w:t>.</w:t>
      </w:r>
    </w:p>
    <w:p w14:paraId="30ECB975" w14:textId="77777777" w:rsidR="00692425" w:rsidRDefault="00692425" w:rsidP="0090025D"/>
    <w:p w14:paraId="04937987" w14:textId="77777777" w:rsidR="00BF6F9E" w:rsidRDefault="00BF6F9E" w:rsidP="0090025D">
      <w:r>
        <w:t>To avoid doubt, regional councils should indicate what their rules relating to landfill gas emissions are for (eg, greenhouse gas emission, odour or health and safety).</w:t>
      </w:r>
    </w:p>
    <w:p w14:paraId="28A9D01D" w14:textId="77777777" w:rsidR="002E56F9" w:rsidRDefault="002E56F9" w:rsidP="0090025D"/>
    <w:p w14:paraId="15A1B87D" w14:textId="77777777" w:rsidR="000C2627" w:rsidRPr="00367A35" w:rsidRDefault="00E71322" w:rsidP="0090025D">
      <w:pPr>
        <w:pStyle w:val="Heading2"/>
      </w:pPr>
      <w:bookmarkStart w:id="215" w:name="_Toc78879340"/>
      <w:bookmarkStart w:id="216" w:name="_Toc87954642"/>
      <w:bookmarkStart w:id="217" w:name="_Toc222291815"/>
      <w:bookmarkStart w:id="218" w:name="_Toc222292161"/>
      <w:bookmarkStart w:id="219" w:name="_Toc222292249"/>
      <w:bookmarkStart w:id="220" w:name="_Toc242861972"/>
      <w:bookmarkStart w:id="221" w:name="_Toc300856634"/>
      <w:r>
        <w:t>6</w:t>
      </w:r>
      <w:r w:rsidR="000C2627">
        <w:t>.3</w:t>
      </w:r>
      <w:r w:rsidR="000C2627" w:rsidRPr="00367A35">
        <w:tab/>
        <w:t xml:space="preserve">What do the </w:t>
      </w:r>
      <w:r w:rsidR="000C2627">
        <w:t xml:space="preserve">landfill gas </w:t>
      </w:r>
      <w:r w:rsidR="000C2627" w:rsidRPr="00367A35">
        <w:t>standard</w:t>
      </w:r>
      <w:r w:rsidR="000C2627">
        <w:t>s</w:t>
      </w:r>
      <w:r w:rsidR="000C2627" w:rsidRPr="00367A35">
        <w:t xml:space="preserve"> say?</w:t>
      </w:r>
      <w:bookmarkEnd w:id="215"/>
      <w:bookmarkEnd w:id="216"/>
      <w:bookmarkEnd w:id="217"/>
      <w:bookmarkEnd w:id="218"/>
      <w:bookmarkEnd w:id="219"/>
      <w:bookmarkEnd w:id="220"/>
      <w:bookmarkEnd w:id="221"/>
    </w:p>
    <w:p w14:paraId="782F3F9D" w14:textId="77777777" w:rsidR="00F17D32" w:rsidRDefault="000C2627" w:rsidP="00F17D32">
      <w:r>
        <w:t>Regula</w:t>
      </w:r>
      <w:r w:rsidR="00522FFC">
        <w:t>tion 25 outlines which sites</w:t>
      </w:r>
      <w:r>
        <w:t xml:space="preserve"> the landfill gas standards apply to.</w:t>
      </w:r>
      <w:r w:rsidR="00F17D32" w:rsidRPr="00F17D32">
        <w:t xml:space="preserve"> </w:t>
      </w:r>
    </w:p>
    <w:p w14:paraId="47A870AE" w14:textId="77777777" w:rsidR="00F17D32" w:rsidRPr="00DC42BD" w:rsidRDefault="00F17D32" w:rsidP="00F17D32">
      <w:pPr>
        <w:pStyle w:val="Blockquote"/>
        <w:ind w:left="1134" w:hanging="567"/>
        <w:rPr>
          <w:b/>
        </w:rPr>
      </w:pPr>
      <w:r w:rsidRPr="00DC42BD">
        <w:rPr>
          <w:b/>
        </w:rPr>
        <w:t>25</w:t>
      </w:r>
      <w:r w:rsidRPr="00DC42BD">
        <w:rPr>
          <w:b/>
        </w:rPr>
        <w:tab/>
        <w:t>Application of regulations 26 and 27</w:t>
      </w:r>
    </w:p>
    <w:p w14:paraId="23F7ACC9" w14:textId="77777777" w:rsidR="00F17D32" w:rsidRDefault="00F17D32" w:rsidP="00F17D32">
      <w:pPr>
        <w:pStyle w:val="Blockquote"/>
        <w:ind w:left="1134" w:hanging="567"/>
      </w:pPr>
      <w:r>
        <w:t>(1)</w:t>
      </w:r>
      <w:r>
        <w:tab/>
        <w:t>Regulations 26 and 27 apply to a landfill if –</w:t>
      </w:r>
    </w:p>
    <w:p w14:paraId="6FAC723C" w14:textId="77777777" w:rsidR="00F17D32" w:rsidRDefault="00F17D32" w:rsidP="00F17D32">
      <w:pPr>
        <w:pStyle w:val="Blockquote"/>
        <w:spacing w:before="60"/>
        <w:ind w:left="1701" w:hanging="567"/>
      </w:pPr>
      <w:r>
        <w:t>a.</w:t>
      </w:r>
      <w:r>
        <w:tab/>
        <w:t>the landfill –</w:t>
      </w:r>
    </w:p>
    <w:p w14:paraId="45A7521F" w14:textId="77777777" w:rsidR="00F17D32" w:rsidRDefault="00F17D32" w:rsidP="00F17D32">
      <w:pPr>
        <w:pStyle w:val="Blockquote"/>
        <w:spacing w:before="30"/>
        <w:ind w:left="2268" w:hanging="567"/>
      </w:pPr>
      <w:r>
        <w:t>i.</w:t>
      </w:r>
      <w:r>
        <w:tab/>
        <w:t>has a total capacity of not less than 1 million tonnes; and</w:t>
      </w:r>
    </w:p>
    <w:p w14:paraId="3F063F83" w14:textId="77777777" w:rsidR="00F17D32" w:rsidRDefault="00F17D32" w:rsidP="00F17D32">
      <w:pPr>
        <w:pStyle w:val="Blockquote"/>
        <w:spacing w:before="30"/>
        <w:ind w:left="2268" w:hanging="567"/>
      </w:pPr>
      <w:r>
        <w:t>ii.</w:t>
      </w:r>
      <w:r>
        <w:tab/>
        <w:t>contains not less than 200,000 tonnes of waste; and</w:t>
      </w:r>
    </w:p>
    <w:p w14:paraId="6DBF4CAB" w14:textId="77777777" w:rsidR="00F17D32" w:rsidRDefault="00F17D32" w:rsidP="00F17D32">
      <w:pPr>
        <w:pStyle w:val="Blockquote"/>
        <w:spacing w:before="30"/>
        <w:ind w:left="2268" w:hanging="567"/>
      </w:pPr>
      <w:r>
        <w:t>iii.</w:t>
      </w:r>
      <w:r>
        <w:tab/>
        <w:t>is or is likely to be accepting waste; and</w:t>
      </w:r>
    </w:p>
    <w:p w14:paraId="5EED3248" w14:textId="77777777" w:rsidR="00F17D32" w:rsidRDefault="00F17D32" w:rsidP="00F17D32">
      <w:pPr>
        <w:pStyle w:val="Blockquote"/>
        <w:spacing w:before="60"/>
        <w:ind w:left="1701" w:hanging="567"/>
      </w:pPr>
      <w:r>
        <w:t>b.</w:t>
      </w:r>
      <w:r>
        <w:tab/>
        <w:t>the waste in or to be included in the landfill is likely to consist of 5% or more (by weight) of matter that is putrescible or biodegradable.</w:t>
      </w:r>
    </w:p>
    <w:p w14:paraId="4CAEDF3A" w14:textId="77777777" w:rsidR="00F17D32" w:rsidRDefault="00F17D32" w:rsidP="00F17D32">
      <w:pPr>
        <w:pStyle w:val="Blockquote"/>
        <w:ind w:left="1134" w:hanging="567"/>
      </w:pPr>
      <w:r>
        <w:t>(2)</w:t>
      </w:r>
      <w:r>
        <w:tab/>
        <w:t>However, regulations 26 and 27 do not apply to a landfill until 8 October 2007 if the landfill –</w:t>
      </w:r>
    </w:p>
    <w:p w14:paraId="6BB6A390" w14:textId="77777777" w:rsidR="00F17D32" w:rsidRDefault="00F17D32" w:rsidP="00F17D32">
      <w:pPr>
        <w:pStyle w:val="Blockquote"/>
        <w:spacing w:before="60"/>
        <w:ind w:left="1701" w:hanging="567"/>
      </w:pPr>
      <w:r>
        <w:t>a.</w:t>
      </w:r>
      <w:r>
        <w:tab/>
        <w:t>has a total capacity of not less than 1 million tonnes of waste; and</w:t>
      </w:r>
    </w:p>
    <w:p w14:paraId="58ADAFF1" w14:textId="77777777" w:rsidR="00F17D32" w:rsidRDefault="00F17D32" w:rsidP="00F17D32">
      <w:pPr>
        <w:pStyle w:val="Blockquote"/>
        <w:spacing w:before="60"/>
        <w:ind w:left="1701" w:hanging="567"/>
      </w:pPr>
      <w:r>
        <w:t>b.</w:t>
      </w:r>
      <w:r>
        <w:tab/>
        <w:t>on 8 October 2004 –</w:t>
      </w:r>
    </w:p>
    <w:p w14:paraId="1A43884B" w14:textId="77777777" w:rsidR="00F17D32" w:rsidRDefault="00F17D32" w:rsidP="00F17D32">
      <w:pPr>
        <w:pStyle w:val="Blockquote"/>
        <w:spacing w:before="30"/>
        <w:ind w:left="2268" w:hanging="567"/>
      </w:pPr>
      <w:r>
        <w:t>i.</w:t>
      </w:r>
      <w:r>
        <w:tab/>
        <w:t>contains not less than 200,000 tonnes of waste; and</w:t>
      </w:r>
    </w:p>
    <w:p w14:paraId="2BD0739F" w14:textId="77777777" w:rsidR="00F17D32" w:rsidRDefault="00F17D32" w:rsidP="00F17D32">
      <w:pPr>
        <w:pStyle w:val="Blockquote"/>
        <w:spacing w:before="30"/>
        <w:ind w:left="2268" w:hanging="567"/>
      </w:pPr>
      <w:r>
        <w:t>ii.</w:t>
      </w:r>
      <w:r>
        <w:tab/>
        <w:t>is accepting waste; and</w:t>
      </w:r>
    </w:p>
    <w:p w14:paraId="76F07473" w14:textId="77777777" w:rsidR="00F17D32" w:rsidRDefault="00F17D32" w:rsidP="00F17D32">
      <w:pPr>
        <w:pStyle w:val="Blockquote"/>
        <w:spacing w:before="60"/>
        <w:ind w:left="1701" w:hanging="567"/>
      </w:pPr>
      <w:r>
        <w:t>c.</w:t>
      </w:r>
      <w:r>
        <w:tab/>
        <w:t>does not operate a gas collection system.</w:t>
      </w:r>
    </w:p>
    <w:p w14:paraId="01B049E1" w14:textId="77777777" w:rsidR="00F17D32" w:rsidRDefault="00F17D32" w:rsidP="00F17D32">
      <w:pPr>
        <w:pStyle w:val="Blockquote"/>
        <w:ind w:left="1134" w:hanging="567"/>
      </w:pPr>
      <w:r>
        <w:t>(3)</w:t>
      </w:r>
      <w:r>
        <w:tab/>
        <w:t>Regulations 26 and 27 do not apply to a cleanfill.</w:t>
      </w:r>
    </w:p>
    <w:p w14:paraId="630EF801" w14:textId="77777777" w:rsidR="000C2627" w:rsidRPr="00367A35" w:rsidRDefault="00E71322" w:rsidP="0090025D">
      <w:pPr>
        <w:pStyle w:val="Heading3"/>
      </w:pPr>
      <w:bookmarkStart w:id="222" w:name="_Toc78879342"/>
      <w:bookmarkStart w:id="223" w:name="_Toc87954643"/>
      <w:bookmarkStart w:id="224" w:name="_Toc222291816"/>
      <w:bookmarkStart w:id="225" w:name="_Toc222292162"/>
      <w:bookmarkStart w:id="226" w:name="_Toc222292250"/>
      <w:bookmarkStart w:id="227" w:name="_Toc242861973"/>
      <w:r>
        <w:t>6</w:t>
      </w:r>
      <w:r w:rsidR="000C2627" w:rsidRPr="00AE519F">
        <w:t>.3.1</w:t>
      </w:r>
      <w:r w:rsidR="000C2627" w:rsidRPr="00367A35">
        <w:tab/>
        <w:t>Applies to landfills that are designed to accept over 1</w:t>
      </w:r>
      <w:r w:rsidR="000C2627">
        <w:t> </w:t>
      </w:r>
      <w:r w:rsidR="000C2627" w:rsidRPr="00367A35">
        <w:t>million ton</w:t>
      </w:r>
      <w:r w:rsidR="000C2627">
        <w:t>n</w:t>
      </w:r>
      <w:r w:rsidR="000C2627" w:rsidRPr="00367A35">
        <w:t>es of refuse throughout their design life</w:t>
      </w:r>
      <w:bookmarkEnd w:id="222"/>
      <w:bookmarkEnd w:id="223"/>
      <w:bookmarkEnd w:id="224"/>
      <w:bookmarkEnd w:id="225"/>
      <w:bookmarkEnd w:id="226"/>
      <w:bookmarkEnd w:id="227"/>
    </w:p>
    <w:p w14:paraId="504D3234" w14:textId="77777777" w:rsidR="003429CA" w:rsidRDefault="00713C45" w:rsidP="0090025D">
      <w:r>
        <w:t>Regulation</w:t>
      </w:r>
      <w:r w:rsidR="000C2627">
        <w:t xml:space="preserve"> 25(1)(a)(i) states that the </w:t>
      </w:r>
      <w:r w:rsidR="002D574D">
        <w:t>Regulations</w:t>
      </w:r>
      <w:r w:rsidR="000C2627">
        <w:t xml:space="preserve"> apply to sites with a design capacity of greater than 1 million tonne</w:t>
      </w:r>
      <w:r w:rsidR="00F53FCB">
        <w:t>s of refuse.</w:t>
      </w:r>
      <w:r w:rsidR="000C2627">
        <w:t xml:space="preserve"> </w:t>
      </w:r>
      <w:r w:rsidR="003429CA">
        <w:t>L</w:t>
      </w:r>
      <w:r w:rsidR="000C2627">
        <w:t xml:space="preserve">andfills smaller than 1 million tonnes can generate methane at volumes that </w:t>
      </w:r>
      <w:r w:rsidR="003429CA">
        <w:t>are able to</w:t>
      </w:r>
      <w:r w:rsidR="000C2627">
        <w:t xml:space="preserve"> be collected, </w:t>
      </w:r>
      <w:r w:rsidR="003429CA">
        <w:t>however, this</w:t>
      </w:r>
      <w:r w:rsidR="000C2627">
        <w:t xml:space="preserve"> is usually </w:t>
      </w:r>
      <w:r w:rsidR="003429CA">
        <w:t xml:space="preserve">below </w:t>
      </w:r>
      <w:r w:rsidR="000C2627">
        <w:t>economically viable</w:t>
      </w:r>
      <w:r w:rsidR="003429CA">
        <w:t xml:space="preserve"> </w:t>
      </w:r>
      <w:r w:rsidR="001644FF">
        <w:t xml:space="preserve">volume </w:t>
      </w:r>
      <w:r w:rsidR="00FC6CAB">
        <w:t>levels</w:t>
      </w:r>
      <w:r w:rsidR="000C2627">
        <w:t>.</w:t>
      </w:r>
      <w:r w:rsidR="003429CA">
        <w:t xml:space="preserve">  </w:t>
      </w:r>
    </w:p>
    <w:p w14:paraId="3C8BDEB1" w14:textId="77777777" w:rsidR="003429CA" w:rsidRDefault="003429CA" w:rsidP="0090025D"/>
    <w:p w14:paraId="5CEAF20F" w14:textId="77777777" w:rsidR="000C2627" w:rsidRDefault="001644FF" w:rsidP="0090025D">
      <w:r>
        <w:t>As noted above, a</w:t>
      </w:r>
      <w:r w:rsidR="006C7EF2">
        <w:t xml:space="preserve"> regional council can require landfills </w:t>
      </w:r>
      <w:r w:rsidR="003429CA">
        <w:t>smaller than 1 million tonnes to install a gas collection system</w:t>
      </w:r>
      <w:r w:rsidR="006C7EF2">
        <w:t xml:space="preserve"> through regional plans or resource consent</w:t>
      </w:r>
      <w:r>
        <w:t xml:space="preserve"> for the purposes of managing</w:t>
      </w:r>
      <w:r w:rsidR="003429CA">
        <w:t xml:space="preserve"> odour </w:t>
      </w:r>
      <w:r>
        <w:t>and/</w:t>
      </w:r>
      <w:r w:rsidR="003429CA">
        <w:t xml:space="preserve">or </w:t>
      </w:r>
      <w:r w:rsidR="00713C45">
        <w:t>health and safety</w:t>
      </w:r>
      <w:r w:rsidR="00F53FCB">
        <w:t xml:space="preserve">. </w:t>
      </w:r>
      <w:r w:rsidR="0009097B">
        <w:t>Such landfills are</w:t>
      </w:r>
      <w:r w:rsidR="003429CA">
        <w:t xml:space="preserve"> </w:t>
      </w:r>
      <w:r w:rsidR="00713C45">
        <w:t xml:space="preserve">not </w:t>
      </w:r>
      <w:r w:rsidR="003429CA">
        <w:t xml:space="preserve">covered by the Regulations or the </w:t>
      </w:r>
      <w:r w:rsidR="0009097B">
        <w:t xml:space="preserve">Climate Change </w:t>
      </w:r>
      <w:r w:rsidR="003429CA">
        <w:t>Amendment Act 2004.</w:t>
      </w:r>
    </w:p>
    <w:p w14:paraId="3C550769" w14:textId="77777777" w:rsidR="000C2627" w:rsidRPr="00367A35" w:rsidRDefault="00E71322" w:rsidP="0090025D">
      <w:pPr>
        <w:pStyle w:val="Heading3"/>
      </w:pPr>
      <w:bookmarkStart w:id="228" w:name="_Toc78879344"/>
      <w:bookmarkStart w:id="229" w:name="_Toc87954644"/>
      <w:bookmarkStart w:id="230" w:name="_Toc222291817"/>
      <w:bookmarkStart w:id="231" w:name="_Toc222292163"/>
      <w:bookmarkStart w:id="232" w:name="_Toc222292251"/>
      <w:bookmarkStart w:id="233" w:name="_Toc242861974"/>
      <w:r>
        <w:t>6</w:t>
      </w:r>
      <w:r w:rsidR="000C2627" w:rsidRPr="00AE519F">
        <w:t>.3.2</w:t>
      </w:r>
      <w:r w:rsidR="000C2627" w:rsidRPr="00367A35">
        <w:tab/>
      </w:r>
      <w:bookmarkEnd w:id="228"/>
      <w:bookmarkEnd w:id="229"/>
      <w:bookmarkEnd w:id="230"/>
      <w:bookmarkEnd w:id="231"/>
      <w:bookmarkEnd w:id="232"/>
      <w:bookmarkEnd w:id="233"/>
      <w:r w:rsidR="00713C45">
        <w:t>Applies once 200,000 tonnes of refuse is in place</w:t>
      </w:r>
    </w:p>
    <w:p w14:paraId="250A1872" w14:textId="77777777" w:rsidR="006C7EF2" w:rsidRDefault="006C7EF2" w:rsidP="0090025D">
      <w:r>
        <w:t>Regulation 25(1)(a)(ii) requires that the gas collection system must be operating when 200,000 tonnes of refuse has been placed within the landfill.</w:t>
      </w:r>
    </w:p>
    <w:p w14:paraId="0F5883F7" w14:textId="77777777" w:rsidR="006C7EF2" w:rsidRDefault="006C7EF2" w:rsidP="0090025D"/>
    <w:p w14:paraId="51CB5732" w14:textId="77777777" w:rsidR="000C2627" w:rsidRDefault="000C2627" w:rsidP="0090025D">
      <w:r>
        <w:t xml:space="preserve">Gas collection systems are normally not installed until adequate volumes </w:t>
      </w:r>
      <w:r w:rsidR="00F53FCB">
        <w:t>of methane have been generated.</w:t>
      </w:r>
      <w:r>
        <w:t xml:space="preserve"> </w:t>
      </w:r>
      <w:r w:rsidR="006429B4">
        <w:t xml:space="preserve">Methane generation </w:t>
      </w:r>
      <w:r>
        <w:t>is dependent on the period of time the refuse has been in place and the total quantity</w:t>
      </w:r>
      <w:r w:rsidR="006C7EF2">
        <w:t xml:space="preserve"> and type</w:t>
      </w:r>
      <w:r w:rsidR="00F53FCB">
        <w:t xml:space="preserve"> of refuse.</w:t>
      </w:r>
      <w:r>
        <w:t xml:space="preserve"> The time anaerobic conditions start varies, but is usually between 80 and 260 da</w:t>
      </w:r>
      <w:r w:rsidR="00F53FCB">
        <w:t>ys after refuse placement.</w:t>
      </w:r>
      <w:r>
        <w:t xml:space="preserve"> Methane volumes usually only reach viable options for gas control after approximately 200,000 tonnes of refuse is in place.</w:t>
      </w:r>
    </w:p>
    <w:p w14:paraId="00DD0969" w14:textId="77777777" w:rsidR="003429CA" w:rsidRDefault="003429CA" w:rsidP="0090025D"/>
    <w:p w14:paraId="3ABEB85E" w14:textId="77777777" w:rsidR="003429CA" w:rsidRDefault="003429CA" w:rsidP="0090025D">
      <w:r>
        <w:t>The Regulations do not preclude the installation of a gas collection system</w:t>
      </w:r>
      <w:r w:rsidR="00713C45">
        <w:t xml:space="preserve"> prior to 200,000 tonnes of refuse being in place.</w:t>
      </w:r>
      <w:r w:rsidR="00F53FCB">
        <w:t xml:space="preserve"> </w:t>
      </w:r>
      <w:r w:rsidR="009564AE">
        <w:t xml:space="preserve">Similarly, and as noted above, landfills </w:t>
      </w:r>
      <w:r w:rsidR="00713C45">
        <w:t xml:space="preserve">can still be required by a regional plan rule or resource consent, to install a gas collection system </w:t>
      </w:r>
      <w:r w:rsidR="00F53FCB">
        <w:t>before</w:t>
      </w:r>
      <w:r w:rsidR="00713C45">
        <w:t xml:space="preserve"> the installation of 200,000 tonnes of refuse</w:t>
      </w:r>
      <w:r w:rsidR="00F53FCB">
        <w:t>.</w:t>
      </w:r>
      <w:r w:rsidR="006C7EF2">
        <w:t xml:space="preserve"> </w:t>
      </w:r>
      <w:r w:rsidR="00713C45">
        <w:t>In this instance</w:t>
      </w:r>
      <w:r w:rsidR="006429B4">
        <w:t>,</w:t>
      </w:r>
      <w:r w:rsidR="00713C45">
        <w:t xml:space="preserve"> the gas collection system would </w:t>
      </w:r>
      <w:r w:rsidR="009564AE">
        <w:t>for the purposes of managing odour and/or health and safety</w:t>
      </w:r>
      <w:r w:rsidR="006C7EF2">
        <w:t xml:space="preserve"> and is therefore not covered by the Regulations or the</w:t>
      </w:r>
      <w:r w:rsidR="009564AE">
        <w:t xml:space="preserve"> Climate Change</w:t>
      </w:r>
      <w:r w:rsidR="006C7EF2">
        <w:t xml:space="preserve"> Amendment Act 2004.</w:t>
      </w:r>
    </w:p>
    <w:p w14:paraId="41B3C2F8" w14:textId="77777777" w:rsidR="000C2627" w:rsidRPr="00367A35" w:rsidRDefault="00E71322" w:rsidP="0090025D">
      <w:pPr>
        <w:pStyle w:val="Heading3"/>
      </w:pPr>
      <w:bookmarkStart w:id="234" w:name="_Toc78879343"/>
      <w:bookmarkStart w:id="235" w:name="_Toc87954645"/>
      <w:bookmarkStart w:id="236" w:name="_Toc222291818"/>
      <w:bookmarkStart w:id="237" w:name="_Toc222292164"/>
      <w:bookmarkStart w:id="238" w:name="_Toc222292252"/>
      <w:bookmarkStart w:id="239" w:name="_Toc242861975"/>
      <w:r>
        <w:t>6</w:t>
      </w:r>
      <w:r w:rsidR="000C2627" w:rsidRPr="00AE519F">
        <w:t>.3.3</w:t>
      </w:r>
      <w:r w:rsidR="000C2627" w:rsidRPr="00367A35">
        <w:tab/>
        <w:t>Applies only to operating sites</w:t>
      </w:r>
      <w:bookmarkEnd w:id="234"/>
      <w:bookmarkEnd w:id="235"/>
      <w:bookmarkEnd w:id="236"/>
      <w:bookmarkEnd w:id="237"/>
      <w:bookmarkEnd w:id="238"/>
      <w:bookmarkEnd w:id="239"/>
    </w:p>
    <w:p w14:paraId="284B7AB6" w14:textId="77777777" w:rsidR="000C2627" w:rsidRPr="005611C1" w:rsidRDefault="00713C45" w:rsidP="0090025D">
      <w:r>
        <w:t xml:space="preserve">Regulation </w:t>
      </w:r>
      <w:r w:rsidR="000C2627">
        <w:t xml:space="preserve">25(1)(a)(iii) states that the </w:t>
      </w:r>
      <w:r w:rsidR="00BE3D61">
        <w:t>Regulation</w:t>
      </w:r>
      <w:r w:rsidR="000C2627">
        <w:t xml:space="preserve"> only applies to sites that are operating.  It does not apply to closed landfills.</w:t>
      </w:r>
    </w:p>
    <w:p w14:paraId="72AF710E" w14:textId="77777777" w:rsidR="000C2627" w:rsidRDefault="000C2627" w:rsidP="0090025D"/>
    <w:p w14:paraId="4F91173A" w14:textId="77777777" w:rsidR="000C2627" w:rsidRDefault="000C2627" w:rsidP="0090025D">
      <w:r>
        <w:t>Existing gas management control systems at closed landfills may continue to operate as per existing consent conditions.</w:t>
      </w:r>
    </w:p>
    <w:p w14:paraId="0C34F0B4" w14:textId="77777777" w:rsidR="000C2627" w:rsidRDefault="000C2627" w:rsidP="0090025D"/>
    <w:p w14:paraId="6602DAB1" w14:textId="77777777" w:rsidR="000C2627" w:rsidRDefault="000C2627" w:rsidP="0090025D">
      <w:r>
        <w:t xml:space="preserve">Closed landfills can still produce significant quantities of methane over an extended period.  It is also usual for gas to accumulate in an old landfill site and for there to be periodic uncontrolled emissions of gas.  </w:t>
      </w:r>
    </w:p>
    <w:p w14:paraId="168CA613" w14:textId="77777777" w:rsidR="000C2627" w:rsidRPr="00367A35" w:rsidRDefault="00E71322" w:rsidP="0090025D">
      <w:pPr>
        <w:pStyle w:val="Heading3"/>
      </w:pPr>
      <w:bookmarkStart w:id="240" w:name="_Toc78879341"/>
      <w:bookmarkStart w:id="241" w:name="_Toc87954646"/>
      <w:bookmarkStart w:id="242" w:name="_Toc222291819"/>
      <w:bookmarkStart w:id="243" w:name="_Toc222292165"/>
      <w:bookmarkStart w:id="244" w:name="_Toc222292253"/>
      <w:bookmarkStart w:id="245" w:name="_Toc242861976"/>
      <w:r>
        <w:t>6</w:t>
      </w:r>
      <w:r w:rsidR="000C2627" w:rsidRPr="00AE519F">
        <w:t>.3.4</w:t>
      </w:r>
      <w:r w:rsidR="000C2627" w:rsidRPr="00367A35">
        <w:tab/>
        <w:t xml:space="preserve">Applies to </w:t>
      </w:r>
      <w:r w:rsidR="000C2627">
        <w:t xml:space="preserve">large </w:t>
      </w:r>
      <w:r w:rsidR="000C2627" w:rsidRPr="00367A35">
        <w:t xml:space="preserve">landfills </w:t>
      </w:r>
      <w:bookmarkEnd w:id="240"/>
      <w:r w:rsidR="000C2627">
        <w:t xml:space="preserve">with more than </w:t>
      </w:r>
      <w:r w:rsidR="00470027">
        <w:t>5%</w:t>
      </w:r>
      <w:r w:rsidR="000C2627">
        <w:t xml:space="preserve"> putrescible matter</w:t>
      </w:r>
      <w:bookmarkEnd w:id="241"/>
      <w:bookmarkEnd w:id="242"/>
      <w:bookmarkEnd w:id="243"/>
      <w:bookmarkEnd w:id="244"/>
      <w:bookmarkEnd w:id="245"/>
    </w:p>
    <w:p w14:paraId="2CCBDE5A" w14:textId="77777777" w:rsidR="000C2627" w:rsidRDefault="00713C45" w:rsidP="0090025D">
      <w:r>
        <w:t xml:space="preserve">Regulation </w:t>
      </w:r>
      <w:r w:rsidR="000C2627">
        <w:t xml:space="preserve">25(3) states that the </w:t>
      </w:r>
      <w:r w:rsidR="00BE3D61">
        <w:t>Regulation</w:t>
      </w:r>
      <w:r w:rsidR="000C2627">
        <w:t xml:space="preserve"> does not apply to a cleanfill site, as these sites produce </w:t>
      </w:r>
      <w:r w:rsidR="00F53FCB">
        <w:t xml:space="preserve">only minor amounts of methane. </w:t>
      </w:r>
      <w:r w:rsidR="000C2627">
        <w:t xml:space="preserve">The </w:t>
      </w:r>
      <w:r w:rsidR="00BE3D61">
        <w:t>Regulation</w:t>
      </w:r>
      <w:r w:rsidR="000C2627">
        <w:t xml:space="preserve"> defines cleanfill as follows:</w:t>
      </w:r>
    </w:p>
    <w:p w14:paraId="241DE60F" w14:textId="77777777" w:rsidR="001625F3" w:rsidRPr="001625F3" w:rsidRDefault="001625F3" w:rsidP="001625F3">
      <w:pPr>
        <w:pStyle w:val="Blockquote"/>
        <w:spacing w:before="0"/>
      </w:pPr>
    </w:p>
    <w:p w14:paraId="2A0F8C3E" w14:textId="77777777" w:rsidR="001625F3" w:rsidRPr="00DC42BD" w:rsidRDefault="001625F3" w:rsidP="001625F3">
      <w:pPr>
        <w:pStyle w:val="Blockquote"/>
        <w:spacing w:before="0"/>
        <w:rPr>
          <w:b/>
        </w:rPr>
      </w:pPr>
      <w:r w:rsidRPr="00DC42BD">
        <w:rPr>
          <w:b/>
        </w:rPr>
        <w:t>Cleanfill</w:t>
      </w:r>
    </w:p>
    <w:p w14:paraId="3183E23E" w14:textId="77777777" w:rsidR="001625F3" w:rsidRDefault="001625F3" w:rsidP="001625F3">
      <w:pPr>
        <w:pStyle w:val="Blockquote"/>
        <w:spacing w:before="0"/>
        <w:ind w:left="1134" w:hanging="567"/>
      </w:pPr>
      <w:r>
        <w:t>(a)</w:t>
      </w:r>
      <w:r>
        <w:tab/>
        <w:t>means a landfill that accepts only material that, when buried or placed, will not have an adverse effect on the environment; but</w:t>
      </w:r>
    </w:p>
    <w:p w14:paraId="2B8B3573" w14:textId="77777777" w:rsidR="001625F3" w:rsidRPr="005179BE" w:rsidRDefault="001625F3" w:rsidP="001625F3">
      <w:pPr>
        <w:pStyle w:val="Blockquote"/>
        <w:spacing w:before="0"/>
        <w:ind w:left="1134" w:hanging="567"/>
      </w:pPr>
      <w:r>
        <w:t>(b)</w:t>
      </w:r>
      <w:r>
        <w:tab/>
        <w:t>does not include a landfill that contains 5% or more (by weight) putrescible matter.</w:t>
      </w:r>
    </w:p>
    <w:p w14:paraId="168E36DA" w14:textId="77777777" w:rsidR="000C2627" w:rsidRDefault="000C2627" w:rsidP="0090025D"/>
    <w:p w14:paraId="68DAF3E7" w14:textId="77777777" w:rsidR="00713C45" w:rsidRDefault="000C2627" w:rsidP="0090025D">
      <w:r>
        <w:t xml:space="preserve">The </w:t>
      </w:r>
      <w:r w:rsidR="002D574D">
        <w:t>Regulations</w:t>
      </w:r>
      <w:r>
        <w:t xml:space="preserve"> do apply to industrial monofills such as bark or sawdust dumps that are over </w:t>
      </w:r>
      <w:r w:rsidR="001625F3">
        <w:br/>
      </w:r>
      <w:r>
        <w:t>1 million tonnes in size and have more than 5</w:t>
      </w:r>
      <w:r w:rsidR="00470027">
        <w:t>%</w:t>
      </w:r>
      <w:r>
        <w:t xml:space="preserve"> (by weight) of matter that is putrescible or biodegradable.</w:t>
      </w:r>
      <w:r w:rsidR="00713C45" w:rsidRPr="00713C45">
        <w:t xml:space="preserve"> </w:t>
      </w:r>
    </w:p>
    <w:p w14:paraId="32CBD34A" w14:textId="77777777" w:rsidR="000C2627" w:rsidRPr="00367A35" w:rsidRDefault="00E71322" w:rsidP="0090025D">
      <w:pPr>
        <w:pStyle w:val="Heading3"/>
      </w:pPr>
      <w:bookmarkStart w:id="246" w:name="_Toc78879345"/>
      <w:bookmarkStart w:id="247" w:name="_Toc87954647"/>
      <w:bookmarkStart w:id="248" w:name="_Toc222291820"/>
      <w:bookmarkStart w:id="249" w:name="_Toc222292166"/>
      <w:bookmarkStart w:id="250" w:name="_Toc222292254"/>
      <w:bookmarkStart w:id="251" w:name="_Toc242861977"/>
      <w:r>
        <w:t>6</w:t>
      </w:r>
      <w:r w:rsidR="000C2627" w:rsidRPr="00AE519F">
        <w:t>.3.5</w:t>
      </w:r>
      <w:r w:rsidR="000C2627" w:rsidRPr="00367A35">
        <w:tab/>
        <w:t xml:space="preserve">Transitional period for </w:t>
      </w:r>
      <w:r w:rsidR="009F762C">
        <w:t xml:space="preserve">operating </w:t>
      </w:r>
      <w:r w:rsidR="000C2627" w:rsidRPr="00367A35">
        <w:t>sites without gas collection</w:t>
      </w:r>
      <w:bookmarkEnd w:id="246"/>
      <w:bookmarkEnd w:id="247"/>
      <w:bookmarkEnd w:id="248"/>
      <w:bookmarkEnd w:id="249"/>
      <w:bookmarkEnd w:id="250"/>
      <w:bookmarkEnd w:id="251"/>
    </w:p>
    <w:p w14:paraId="507586B6" w14:textId="77777777" w:rsidR="003C177E" w:rsidRDefault="00760678" w:rsidP="0090025D">
      <w:r>
        <w:t>Regulation 25 applied</w:t>
      </w:r>
      <w:r w:rsidRPr="00367A35">
        <w:t xml:space="preserve"> </w:t>
      </w:r>
      <w:r w:rsidR="00522FFC">
        <w:t xml:space="preserve">with </w:t>
      </w:r>
      <w:r w:rsidRPr="00367A35">
        <w:t>immediate</w:t>
      </w:r>
      <w:r w:rsidR="00522FFC">
        <w:t xml:space="preserve"> effect</w:t>
      </w:r>
      <w:r w:rsidRPr="00367A35">
        <w:t xml:space="preserve"> </w:t>
      </w:r>
      <w:r w:rsidRPr="00760678">
        <w:t>on 8 October 2004 for sites that had existing gas collection systems and for any new landfills that were being built (providing the criteria</w:t>
      </w:r>
      <w:r w:rsidR="00F53FCB">
        <w:t xml:space="preserve"> in Regulation 25(1) was met).</w:t>
      </w:r>
    </w:p>
    <w:p w14:paraId="47BDE33C" w14:textId="77777777" w:rsidR="003C177E" w:rsidRDefault="003C177E" w:rsidP="0090025D"/>
    <w:p w14:paraId="5AC35CF2" w14:textId="77777777" w:rsidR="000C2627" w:rsidRDefault="00522FFC" w:rsidP="0090025D">
      <w:r>
        <w:t>However, Regulation 25(2) also allowed e</w:t>
      </w:r>
      <w:r w:rsidR="00760678" w:rsidRPr="00760678">
        <w:t>x</w:t>
      </w:r>
      <w:r w:rsidR="000C2627" w:rsidRPr="00760678">
        <w:t>isting operational sites</w:t>
      </w:r>
      <w:r w:rsidR="00760678" w:rsidRPr="00760678">
        <w:t xml:space="preserve"> at the time the Regulations were promulgated (8 October</w:t>
      </w:r>
      <w:r w:rsidR="00760678">
        <w:t xml:space="preserve"> 2004) </w:t>
      </w:r>
      <w:r w:rsidR="003C177E">
        <w:t xml:space="preserve">that did not </w:t>
      </w:r>
      <w:r w:rsidR="000C2627">
        <w:t>operate a landfill gas collec</w:t>
      </w:r>
      <w:r w:rsidR="003C177E">
        <w:t xml:space="preserve">tion and destruction system </w:t>
      </w:r>
      <w:r>
        <w:t>to have</w:t>
      </w:r>
      <w:r w:rsidR="000C2627">
        <w:t xml:space="preserve"> a transitional period of three years</w:t>
      </w:r>
      <w:r w:rsidR="003C177E">
        <w:t xml:space="preserve"> (until 8 October 2007) </w:t>
      </w:r>
      <w:r w:rsidR="000C2627">
        <w:t>to install and commence operation</w:t>
      </w:r>
      <w:r w:rsidR="003C177E">
        <w:t xml:space="preserve"> of a collection system</w:t>
      </w:r>
      <w:r w:rsidR="00F53FCB">
        <w:t xml:space="preserve">. </w:t>
      </w:r>
      <w:r w:rsidR="000C2627">
        <w:t xml:space="preserve">This </w:t>
      </w:r>
      <w:r w:rsidR="003C177E">
        <w:t xml:space="preserve">was to </w:t>
      </w:r>
      <w:r w:rsidR="000C2627">
        <w:t>provide time for the landfill owner to fund, design, install and operate a landfill gas collection and destruction system.</w:t>
      </w:r>
      <w:r w:rsidR="00F53FCB">
        <w:t xml:space="preserve"> </w:t>
      </w:r>
      <w:r w:rsidR="009564AE">
        <w:t xml:space="preserve">At the time of writing (2011) the </w:t>
      </w:r>
      <w:r w:rsidR="003C177E">
        <w:t xml:space="preserve">transitional period finished </w:t>
      </w:r>
      <w:r w:rsidR="00480BC1">
        <w:t>several</w:t>
      </w:r>
      <w:r w:rsidR="003C177E">
        <w:t xml:space="preserve"> years ago</w:t>
      </w:r>
      <w:r w:rsidR="00D957A0">
        <w:t>; therefore,</w:t>
      </w:r>
      <w:r w:rsidR="003C177E">
        <w:t xml:space="preserve"> all existing and new</w:t>
      </w:r>
      <w:r w:rsidR="00480BC1">
        <w:t xml:space="preserve"> large</w:t>
      </w:r>
      <w:r w:rsidR="003C177E">
        <w:t xml:space="preserve"> landfills</w:t>
      </w:r>
      <w:r w:rsidR="00480BC1">
        <w:t xml:space="preserve"> must comply with Regulation 25.</w:t>
      </w:r>
    </w:p>
    <w:p w14:paraId="13D19C30" w14:textId="77777777" w:rsidR="000C2627" w:rsidRPr="003B4901" w:rsidRDefault="00E71322" w:rsidP="0090025D">
      <w:pPr>
        <w:pStyle w:val="Heading3"/>
      </w:pPr>
      <w:bookmarkStart w:id="252" w:name="_Toc78879347"/>
      <w:bookmarkStart w:id="253" w:name="_Toc87954648"/>
      <w:bookmarkStart w:id="254" w:name="_Toc222291821"/>
      <w:bookmarkStart w:id="255" w:name="_Toc222292167"/>
      <w:bookmarkStart w:id="256" w:name="_Toc222292255"/>
      <w:bookmarkStart w:id="257" w:name="_Toc242861978"/>
      <w:r>
        <w:t>6</w:t>
      </w:r>
      <w:r w:rsidR="000C2627" w:rsidRPr="00AE519F">
        <w:t>.3.6</w:t>
      </w:r>
      <w:r w:rsidR="000C2627" w:rsidRPr="003B4901">
        <w:tab/>
      </w:r>
      <w:bookmarkEnd w:id="252"/>
      <w:r w:rsidR="000C2627">
        <w:t>Control of gas</w:t>
      </w:r>
      <w:bookmarkEnd w:id="253"/>
      <w:bookmarkEnd w:id="254"/>
      <w:bookmarkEnd w:id="255"/>
      <w:bookmarkEnd w:id="256"/>
      <w:bookmarkEnd w:id="257"/>
    </w:p>
    <w:p w14:paraId="6B61A2F8" w14:textId="77777777" w:rsidR="001625F3" w:rsidRPr="005611C1" w:rsidRDefault="001625F3" w:rsidP="001625F3">
      <w:pPr>
        <w:pStyle w:val="Blockquote"/>
        <w:spacing w:before="0"/>
        <w:ind w:leftChars="256" w:left="565" w:rightChars="258" w:right="568" w:hanging="2"/>
        <w:rPr>
          <w:b/>
        </w:rPr>
      </w:pPr>
      <w:r w:rsidRPr="005611C1">
        <w:rPr>
          <w:b/>
        </w:rPr>
        <w:t>26</w:t>
      </w:r>
      <w:r w:rsidRPr="005611C1">
        <w:rPr>
          <w:b/>
        </w:rPr>
        <w:tab/>
      </w:r>
      <w:r>
        <w:rPr>
          <w:b/>
        </w:rPr>
        <w:tab/>
      </w:r>
      <w:r w:rsidRPr="005611C1">
        <w:rPr>
          <w:b/>
        </w:rPr>
        <w:t>Control of gas</w:t>
      </w:r>
    </w:p>
    <w:p w14:paraId="1BB5F384" w14:textId="77777777" w:rsidR="001625F3" w:rsidRDefault="001625F3" w:rsidP="001625F3">
      <w:pPr>
        <w:pStyle w:val="Blockquote"/>
        <w:spacing w:before="0"/>
        <w:ind w:left="1701" w:rightChars="258" w:right="568" w:hanging="567"/>
      </w:pPr>
      <w:r>
        <w:t>(1)</w:t>
      </w:r>
      <w:r>
        <w:tab/>
        <w:t>No person may allow the discharge of gas to air from a landfill.</w:t>
      </w:r>
    </w:p>
    <w:p w14:paraId="2E4BC654" w14:textId="77777777" w:rsidR="001625F3" w:rsidRDefault="001625F3" w:rsidP="001625F3">
      <w:pPr>
        <w:pStyle w:val="Blockquote"/>
        <w:spacing w:before="0"/>
        <w:ind w:leftChars="515" w:left="1702" w:hanging="569"/>
      </w:pPr>
      <w:r>
        <w:t>(2)</w:t>
      </w:r>
      <w:r>
        <w:tab/>
        <w:t>Subclause (1) does not apply if the landfill has a system for the collection of gas from the landfill –</w:t>
      </w:r>
    </w:p>
    <w:p w14:paraId="2C0440E9" w14:textId="77777777" w:rsidR="001625F3" w:rsidRDefault="001625F3" w:rsidP="001625F3">
      <w:pPr>
        <w:pStyle w:val="Blockquote"/>
        <w:spacing w:before="0"/>
        <w:ind w:leftChars="773" w:left="2266" w:rightChars="258" w:right="568" w:hanging="565"/>
      </w:pPr>
      <w:r>
        <w:t>a.</w:t>
      </w:r>
      <w:r>
        <w:tab/>
        <w:t>that is designed and operated to ensure that any discharge of gas from the surface of the landfill does not exceed 5000 parts of methane per million parts of air; and</w:t>
      </w:r>
    </w:p>
    <w:p w14:paraId="3A3AED8E" w14:textId="77777777" w:rsidR="001625F3" w:rsidRDefault="001625F3" w:rsidP="001625F3">
      <w:pPr>
        <w:pStyle w:val="Blockquote"/>
        <w:spacing w:before="0"/>
        <w:ind w:leftChars="771" w:left="2265" w:rightChars="258" w:right="568" w:hanging="569"/>
      </w:pPr>
      <w:r>
        <w:t>b.</w:t>
      </w:r>
      <w:r>
        <w:tab/>
        <w:t>in which the gas is –</w:t>
      </w:r>
    </w:p>
    <w:p w14:paraId="01B8424C" w14:textId="77777777" w:rsidR="001625F3" w:rsidRDefault="001625F3" w:rsidP="001625F3">
      <w:pPr>
        <w:pStyle w:val="Blockquote"/>
        <w:spacing w:before="0"/>
        <w:ind w:leftChars="1030" w:left="2835" w:rightChars="258" w:right="568" w:hanging="569"/>
      </w:pPr>
      <w:r>
        <w:t>i.</w:t>
      </w:r>
      <w:r>
        <w:tab/>
        <w:t>flared in accordance with regulation 27; or</w:t>
      </w:r>
    </w:p>
    <w:p w14:paraId="14D40BB1" w14:textId="77777777" w:rsidR="001625F3" w:rsidRDefault="001625F3" w:rsidP="001625F3">
      <w:pPr>
        <w:pStyle w:val="Blockquote"/>
        <w:spacing w:before="0"/>
        <w:ind w:leftChars="1030" w:left="2835" w:rightChars="258" w:right="568" w:hanging="569"/>
      </w:pPr>
      <w:r>
        <w:t>ii.</w:t>
      </w:r>
      <w:r>
        <w:tab/>
        <w:t>used as a fuel or for generating electricity.</w:t>
      </w:r>
    </w:p>
    <w:p w14:paraId="25D153FB" w14:textId="77777777" w:rsidR="000C2627" w:rsidRDefault="000C2627" w:rsidP="0090025D"/>
    <w:p w14:paraId="6A8F8405" w14:textId="77777777" w:rsidR="000C2627" w:rsidRDefault="000C2627" w:rsidP="0090025D">
      <w:r>
        <w:t>Gas collection efficiencies are variable and so measurements are relati</w:t>
      </w:r>
      <w:r w:rsidR="00A42258">
        <w:t>vely inaccurate and unreliable.</w:t>
      </w:r>
      <w:r>
        <w:t xml:space="preserve"> It is therefore not possible for the </w:t>
      </w:r>
      <w:r w:rsidR="00BE3D61">
        <w:t>Regulation</w:t>
      </w:r>
      <w:r>
        <w:t>s to specify a percentage efficien</w:t>
      </w:r>
      <w:r w:rsidR="00673C12">
        <w:t>cy for a gas collection system.</w:t>
      </w:r>
      <w:r>
        <w:t xml:space="preserve"> Measuring methane emissions at the landfill surface and at monitoring points around the landfill is currently common practice in resource consent conditions at major landfills, includi</w:t>
      </w:r>
      <w:r w:rsidR="00673C12">
        <w:t xml:space="preserve">ng many recently closed sites. </w:t>
      </w:r>
      <w:r>
        <w:t>The surface emission limit is commonly 0.5</w:t>
      </w:r>
      <w:r w:rsidR="00470027">
        <w:t>%</w:t>
      </w:r>
      <w:r>
        <w:t xml:space="preserve"> methane (by volume in air) in New Zealand which is 5000 </w:t>
      </w:r>
      <w:r w:rsidR="00522FFC">
        <w:t>parts per million (</w:t>
      </w:r>
      <w:r>
        <w:t>ppm</w:t>
      </w:r>
      <w:r w:rsidR="00522FFC">
        <w:t>)</w:t>
      </w:r>
      <w:r>
        <w:t xml:space="preserve"> and corresp</w:t>
      </w:r>
      <w:r w:rsidR="00470027">
        <w:t>onds to approximately 10%</w:t>
      </w:r>
      <w:r>
        <w:t xml:space="preserve"> of the lower explosive limit (LEL) for methane.</w:t>
      </w:r>
    </w:p>
    <w:p w14:paraId="1EC8AABB" w14:textId="77777777" w:rsidR="000C2627" w:rsidRDefault="000C2627" w:rsidP="0090025D"/>
    <w:p w14:paraId="134A8587" w14:textId="77777777" w:rsidR="000C2627" w:rsidRDefault="000C2627" w:rsidP="0090025D">
      <w:r>
        <w:t>Monitoring of surface methane emissions is a requirement of resource consent</w:t>
      </w:r>
      <w:r w:rsidR="00C81F7B">
        <w:t>s</w:t>
      </w:r>
      <w:r>
        <w:t xml:space="preserve"> at most landfills and is used at some clo</w:t>
      </w:r>
      <w:r w:rsidR="00673C12">
        <w:t xml:space="preserve">sed landfills to assess risks. </w:t>
      </w:r>
      <w:r>
        <w:t xml:space="preserve">Factors to consider when designing a surface methane monitoring programme are outlined in </w:t>
      </w:r>
      <w:r w:rsidRPr="001B1F05">
        <w:t xml:space="preserve">section </w:t>
      </w:r>
      <w:r w:rsidR="009F762C" w:rsidRPr="001B1F05">
        <w:t>6</w:t>
      </w:r>
      <w:r w:rsidRPr="001B1F05">
        <w:t>.6</w:t>
      </w:r>
      <w:r>
        <w:t xml:space="preserve"> of this report.</w:t>
      </w:r>
    </w:p>
    <w:p w14:paraId="2CF14B5C" w14:textId="77777777" w:rsidR="000C2627" w:rsidRPr="00914CE2" w:rsidRDefault="000C2627" w:rsidP="0090025D"/>
    <w:p w14:paraId="3FE4CE8E" w14:textId="77777777" w:rsidR="000C2627" w:rsidRDefault="009F762C" w:rsidP="0090025D">
      <w:r>
        <w:t>Regulation</w:t>
      </w:r>
      <w:r w:rsidR="000C2627">
        <w:t xml:space="preserve"> 26(2)(b)(ii) allows for collected landfill gas to be used as a fuel, or for the purpo</w:t>
      </w:r>
      <w:r w:rsidR="00673C12">
        <w:t xml:space="preserve">ses of generating electricity. </w:t>
      </w:r>
      <w:r w:rsidR="000C2627">
        <w:t>Potential beneficial re-u</w:t>
      </w:r>
      <w:r w:rsidR="00C81F7B">
        <w:t>se options</w:t>
      </w:r>
      <w:r w:rsidR="000C2627">
        <w:t xml:space="preserve"> are outlined in </w:t>
      </w:r>
      <w:r w:rsidR="000C2627" w:rsidRPr="001B1F05">
        <w:t xml:space="preserve">section </w:t>
      </w:r>
      <w:r w:rsidRPr="001B1F05">
        <w:t>6</w:t>
      </w:r>
      <w:r w:rsidR="000C2627" w:rsidRPr="001B1F05">
        <w:t>.5 of</w:t>
      </w:r>
      <w:r w:rsidR="000C2627">
        <w:t xml:space="preserve"> the report.</w:t>
      </w:r>
    </w:p>
    <w:p w14:paraId="47D4F806" w14:textId="77777777" w:rsidR="000C2627" w:rsidRPr="00367A35" w:rsidRDefault="00E71322" w:rsidP="0090025D">
      <w:pPr>
        <w:pStyle w:val="Heading3"/>
      </w:pPr>
      <w:bookmarkStart w:id="258" w:name="_Toc78879346"/>
      <w:bookmarkStart w:id="259" w:name="_Toc87954649"/>
      <w:bookmarkStart w:id="260" w:name="_Toc222291822"/>
      <w:bookmarkStart w:id="261" w:name="_Toc222292168"/>
      <w:bookmarkStart w:id="262" w:name="_Toc222292256"/>
      <w:bookmarkStart w:id="263" w:name="_Toc242861979"/>
      <w:r>
        <w:t>6</w:t>
      </w:r>
      <w:r w:rsidR="000C2627" w:rsidRPr="00AE519F">
        <w:t>.3.7</w:t>
      </w:r>
      <w:r w:rsidR="000C2627" w:rsidRPr="00367A35">
        <w:tab/>
        <w:t>Flaring standards</w:t>
      </w:r>
      <w:bookmarkEnd w:id="258"/>
      <w:bookmarkEnd w:id="259"/>
      <w:bookmarkEnd w:id="260"/>
      <w:bookmarkEnd w:id="261"/>
      <w:bookmarkEnd w:id="262"/>
      <w:bookmarkEnd w:id="263"/>
    </w:p>
    <w:p w14:paraId="503BE13C" w14:textId="77777777" w:rsidR="00A42258" w:rsidRPr="005611C1" w:rsidRDefault="00A42258" w:rsidP="00A42258">
      <w:pPr>
        <w:pStyle w:val="Blockquote"/>
        <w:spacing w:before="0"/>
        <w:ind w:leftChars="255" w:left="1132" w:rightChars="258" w:right="568" w:hanging="571"/>
        <w:rPr>
          <w:b/>
        </w:rPr>
      </w:pPr>
      <w:r w:rsidRPr="005611C1">
        <w:rPr>
          <w:b/>
        </w:rPr>
        <w:t>27</w:t>
      </w:r>
      <w:r w:rsidRPr="005611C1">
        <w:rPr>
          <w:b/>
        </w:rPr>
        <w:tab/>
        <w:t>Flaring of gas</w:t>
      </w:r>
    </w:p>
    <w:p w14:paraId="243C9995" w14:textId="77777777" w:rsidR="00A42258" w:rsidRDefault="00A42258" w:rsidP="00A42258">
      <w:pPr>
        <w:pStyle w:val="Blockquote"/>
        <w:spacing w:before="0"/>
        <w:ind w:leftChars="257" w:left="1133" w:hangingChars="284" w:hanging="568"/>
      </w:pPr>
      <w:r>
        <w:t>(1)</w:t>
      </w:r>
      <w:r>
        <w:tab/>
        <w:t>If gas collected at a landfill is destroyed by flaring, –</w:t>
      </w:r>
    </w:p>
    <w:p w14:paraId="43DCBA5A" w14:textId="77777777" w:rsidR="00A42258" w:rsidRDefault="00A42258" w:rsidP="00A42258">
      <w:pPr>
        <w:pStyle w:val="Blockquote"/>
        <w:spacing w:before="0"/>
        <w:ind w:leftChars="515" w:left="1701" w:hangingChars="284" w:hanging="568"/>
      </w:pPr>
      <w:r>
        <w:t>a.</w:t>
      </w:r>
      <w:r>
        <w:tab/>
        <w:t>the system for the principal flare or flares must –</w:t>
      </w:r>
    </w:p>
    <w:p w14:paraId="05E5E4A4" w14:textId="77777777" w:rsidR="00A42258" w:rsidRDefault="00A42258" w:rsidP="00A42258">
      <w:pPr>
        <w:pStyle w:val="Blockquote"/>
        <w:spacing w:before="0"/>
        <w:ind w:leftChars="772" w:left="2266" w:hangingChars="284" w:hanging="568"/>
      </w:pPr>
      <w:r>
        <w:t>i.</w:t>
      </w:r>
      <w:r>
        <w:tab/>
        <w:t>comply with the requirements in subclause (2): or</w:t>
      </w:r>
    </w:p>
    <w:p w14:paraId="5F81282A" w14:textId="77777777" w:rsidR="00A42258" w:rsidRDefault="00A42258" w:rsidP="00A42258">
      <w:pPr>
        <w:pStyle w:val="Blockquote"/>
        <w:spacing w:before="0"/>
        <w:ind w:leftChars="772" w:left="2266" w:hangingChars="284" w:hanging="568"/>
      </w:pPr>
      <w:r>
        <w:t>ii.</w:t>
      </w:r>
      <w:r>
        <w:tab/>
        <w:t>achieve at least the same effect as the system in subclause (2); and</w:t>
      </w:r>
    </w:p>
    <w:p w14:paraId="78EEC31F" w14:textId="77777777" w:rsidR="00A42258" w:rsidRDefault="00A42258" w:rsidP="00A42258">
      <w:pPr>
        <w:pStyle w:val="Blockquote"/>
        <w:spacing w:before="0"/>
        <w:ind w:leftChars="515" w:left="1701" w:hangingChars="284" w:hanging="568"/>
      </w:pPr>
      <w:r>
        <w:t>b.</w:t>
      </w:r>
      <w:r>
        <w:tab/>
        <w:t>the system for the backup flare must –</w:t>
      </w:r>
    </w:p>
    <w:p w14:paraId="7AC083BB" w14:textId="77777777" w:rsidR="00A42258" w:rsidRDefault="00A42258" w:rsidP="00A42258">
      <w:pPr>
        <w:pStyle w:val="Blockquote"/>
        <w:spacing w:before="0"/>
        <w:ind w:leftChars="772" w:left="2266" w:hangingChars="284" w:hanging="568"/>
      </w:pPr>
      <w:r>
        <w:t>i.</w:t>
      </w:r>
      <w:r>
        <w:tab/>
        <w:t>comply with the requirements in subclause (3); or</w:t>
      </w:r>
    </w:p>
    <w:p w14:paraId="468A865C" w14:textId="77777777" w:rsidR="00A42258" w:rsidRDefault="00A42258" w:rsidP="00A42258">
      <w:pPr>
        <w:pStyle w:val="Blockquote"/>
        <w:spacing w:before="0"/>
        <w:ind w:leftChars="772" w:left="2266" w:hangingChars="284" w:hanging="568"/>
      </w:pPr>
      <w:r>
        <w:t>ii.</w:t>
      </w:r>
      <w:r>
        <w:tab/>
        <w:t>achieve at least the same effect as the system in subclause (3).</w:t>
      </w:r>
    </w:p>
    <w:p w14:paraId="4B5140C7" w14:textId="77777777" w:rsidR="00A42258" w:rsidRDefault="00A42258" w:rsidP="00A42258">
      <w:pPr>
        <w:pStyle w:val="Blockquote"/>
        <w:spacing w:before="0"/>
        <w:ind w:leftChars="258" w:left="1134" w:hangingChars="283" w:hanging="566"/>
      </w:pPr>
      <w:r>
        <w:t>(2)</w:t>
      </w:r>
      <w:r>
        <w:tab/>
        <w:t>The system for a principal flare must –</w:t>
      </w:r>
    </w:p>
    <w:p w14:paraId="072EE578" w14:textId="77777777" w:rsidR="00A42258" w:rsidRDefault="00A42258" w:rsidP="00A42258">
      <w:pPr>
        <w:pStyle w:val="Blockquote"/>
        <w:spacing w:before="0"/>
        <w:ind w:leftChars="515" w:left="1699" w:hangingChars="283" w:hanging="566"/>
      </w:pPr>
      <w:r>
        <w:t>a.</w:t>
      </w:r>
      <w:r>
        <w:tab/>
        <w:t>have a flame arrestor; and</w:t>
      </w:r>
    </w:p>
    <w:p w14:paraId="2D25D189" w14:textId="77777777" w:rsidR="00A42258" w:rsidRDefault="00A42258" w:rsidP="00A42258">
      <w:pPr>
        <w:pStyle w:val="Blockquote"/>
        <w:spacing w:before="0"/>
        <w:ind w:leftChars="515" w:left="1699" w:hangingChars="283" w:hanging="566"/>
      </w:pPr>
      <w:r>
        <w:t>b.</w:t>
      </w:r>
      <w:r>
        <w:tab/>
        <w:t>have an automatic backflow prevention device, or an equivalent device, between the principal flare and the landfill; and</w:t>
      </w:r>
    </w:p>
    <w:p w14:paraId="1EE43D4D" w14:textId="77777777" w:rsidR="00A42258" w:rsidRDefault="00A42258" w:rsidP="00A42258">
      <w:pPr>
        <w:pStyle w:val="Blockquote"/>
        <w:spacing w:before="0"/>
        <w:ind w:leftChars="515" w:left="1699" w:hangingChars="283" w:hanging="566"/>
      </w:pPr>
      <w:r>
        <w:t>c.</w:t>
      </w:r>
      <w:r>
        <w:tab/>
        <w:t>have an automatic isolation system that ensures that, if the flame is lost, no significant discharge of unburnt gas from the flare occurs; and</w:t>
      </w:r>
    </w:p>
    <w:p w14:paraId="35108638" w14:textId="77777777" w:rsidR="00A42258" w:rsidRDefault="00A42258" w:rsidP="00A42258">
      <w:pPr>
        <w:pStyle w:val="Blockquote"/>
        <w:spacing w:before="0"/>
        <w:ind w:leftChars="515" w:left="1699" w:hangingChars="283" w:hanging="566"/>
      </w:pPr>
      <w:r>
        <w:t>d.</w:t>
      </w:r>
      <w:r>
        <w:tab/>
        <w:t>have a continuous automatic ignition system; and</w:t>
      </w:r>
    </w:p>
    <w:p w14:paraId="55F9E49D" w14:textId="77777777" w:rsidR="00A42258" w:rsidRDefault="00A42258" w:rsidP="00A42258">
      <w:pPr>
        <w:pStyle w:val="Blockquote"/>
        <w:spacing w:before="0"/>
        <w:ind w:leftChars="515" w:left="1699" w:hangingChars="283" w:hanging="566"/>
      </w:pPr>
      <w:r>
        <w:t>e.</w:t>
      </w:r>
      <w:r>
        <w:tab/>
        <w:t>have a design that achieves a minimum flue gas retention time of 0.5 seconds; and</w:t>
      </w:r>
    </w:p>
    <w:p w14:paraId="6EC445CE" w14:textId="77777777" w:rsidR="00A42258" w:rsidRDefault="00A42258" w:rsidP="00A42258">
      <w:pPr>
        <w:pStyle w:val="Blockquote"/>
        <w:spacing w:before="0"/>
        <w:ind w:leftChars="515" w:left="1699" w:hangingChars="283" w:hanging="566"/>
      </w:pPr>
      <w:r>
        <w:t>f.</w:t>
      </w:r>
      <w:r>
        <w:tab/>
        <w:t>be designed and operated so that gas is burned at a temperature of at least 750 degrees C; and</w:t>
      </w:r>
    </w:p>
    <w:p w14:paraId="7AB6E9D1" w14:textId="77777777" w:rsidR="00A42258" w:rsidRDefault="00A42258" w:rsidP="00A42258">
      <w:pPr>
        <w:pStyle w:val="Blockquote"/>
        <w:spacing w:before="0"/>
        <w:ind w:leftChars="515" w:left="1699" w:hangingChars="283" w:hanging="566"/>
      </w:pPr>
      <w:r>
        <w:t>g.</w:t>
      </w:r>
      <w:r>
        <w:tab/>
        <w:t>have a permanent temperature indicator; and</w:t>
      </w:r>
    </w:p>
    <w:p w14:paraId="5634EC0A" w14:textId="77777777" w:rsidR="00A42258" w:rsidRDefault="00A42258" w:rsidP="00A42258">
      <w:pPr>
        <w:pStyle w:val="Blockquote"/>
        <w:spacing w:before="0"/>
        <w:ind w:leftChars="515" w:left="1699" w:hangingChars="283" w:hanging="566"/>
      </w:pPr>
      <w:r>
        <w:t>h.</w:t>
      </w:r>
      <w:r>
        <w:tab/>
        <w:t>have adequate sampling ports to enable emission testing to be undertaken; and</w:t>
      </w:r>
    </w:p>
    <w:p w14:paraId="475011E0" w14:textId="77777777" w:rsidR="00A42258" w:rsidRDefault="00A42258" w:rsidP="00A42258">
      <w:pPr>
        <w:pStyle w:val="Blockquote"/>
        <w:spacing w:before="0"/>
        <w:ind w:leftChars="515" w:left="1699" w:hangingChars="283" w:hanging="566"/>
      </w:pPr>
      <w:r>
        <w:t>i.</w:t>
      </w:r>
      <w:r>
        <w:tab/>
        <w:t>provide for safe access to sampling ports while any emission tests are being undertaken.</w:t>
      </w:r>
    </w:p>
    <w:p w14:paraId="65CA9AD6" w14:textId="77777777" w:rsidR="00A42258" w:rsidRDefault="00A42258" w:rsidP="00A42258">
      <w:pPr>
        <w:pStyle w:val="Blockquote"/>
        <w:spacing w:before="0"/>
        <w:ind w:leftChars="257" w:left="1133" w:hangingChars="284" w:hanging="568"/>
      </w:pPr>
      <w:r>
        <w:t>(3)</w:t>
      </w:r>
      <w:r>
        <w:tab/>
        <w:t>The system for a backup flare must have –</w:t>
      </w:r>
    </w:p>
    <w:p w14:paraId="28A2E321" w14:textId="77777777" w:rsidR="00A42258" w:rsidRDefault="00A42258" w:rsidP="00A42258">
      <w:pPr>
        <w:pStyle w:val="Blockquote"/>
        <w:spacing w:before="0"/>
        <w:ind w:leftChars="515" w:left="1701" w:hangingChars="284" w:hanging="568"/>
      </w:pPr>
      <w:r>
        <w:t>a.</w:t>
      </w:r>
      <w:r>
        <w:tab/>
        <w:t>a flame arrestor; and</w:t>
      </w:r>
    </w:p>
    <w:p w14:paraId="0BF0253C" w14:textId="77777777" w:rsidR="00A42258" w:rsidRDefault="00A42258" w:rsidP="00A42258">
      <w:pPr>
        <w:pStyle w:val="Blockquote"/>
        <w:spacing w:before="0"/>
        <w:ind w:leftChars="515" w:left="1701" w:hangingChars="284" w:hanging="568"/>
      </w:pPr>
      <w:r>
        <w:t>b.</w:t>
      </w:r>
      <w:r>
        <w:tab/>
        <w:t>an automatic backflow prevention device, or an equivalent device, between the backup flare and the landfill; and</w:t>
      </w:r>
    </w:p>
    <w:p w14:paraId="16D123C6" w14:textId="77777777" w:rsidR="00A42258" w:rsidRDefault="00A42258" w:rsidP="00A42258">
      <w:pPr>
        <w:pStyle w:val="Blockquote"/>
        <w:spacing w:before="0"/>
        <w:ind w:leftChars="515" w:left="1701" w:hangingChars="284" w:hanging="568"/>
      </w:pPr>
      <w:r>
        <w:t>c.</w:t>
      </w:r>
      <w:r>
        <w:tab/>
        <w:t>an automatic isolation system that ensures that, if the flame is lost, no significant discharge of unburnt gas from the flare occurs; and</w:t>
      </w:r>
    </w:p>
    <w:p w14:paraId="70562683" w14:textId="77777777" w:rsidR="00A42258" w:rsidRDefault="00A42258" w:rsidP="00A42258">
      <w:pPr>
        <w:pStyle w:val="Blockquote"/>
        <w:spacing w:before="0"/>
        <w:ind w:leftChars="515" w:left="1701" w:hangingChars="284" w:hanging="568"/>
      </w:pPr>
      <w:r>
        <w:t>d.</w:t>
      </w:r>
      <w:r>
        <w:tab/>
        <w:t>a continuous automatic ignition system.</w:t>
      </w:r>
    </w:p>
    <w:p w14:paraId="341069A6" w14:textId="77777777" w:rsidR="00A42258" w:rsidRDefault="00A42258" w:rsidP="00A42258">
      <w:pPr>
        <w:pStyle w:val="Blockquote"/>
        <w:spacing w:before="0"/>
        <w:ind w:leftChars="257" w:left="1133" w:hangingChars="284" w:hanging="568"/>
      </w:pPr>
      <w:r>
        <w:t>(4)</w:t>
      </w:r>
      <w:r>
        <w:tab/>
        <w:t>A principal flare must be operated at all times unless it has malfunctioned or is shut down for maintenance.</w:t>
      </w:r>
    </w:p>
    <w:p w14:paraId="74B1DB18" w14:textId="77777777" w:rsidR="00A42258" w:rsidRDefault="00A42258" w:rsidP="00A42258">
      <w:pPr>
        <w:pStyle w:val="Blockquote"/>
        <w:spacing w:before="0"/>
        <w:ind w:leftChars="257" w:left="1133" w:hangingChars="284" w:hanging="568"/>
      </w:pPr>
      <w:r>
        <w:t>(5)</w:t>
      </w:r>
      <w:r>
        <w:tab/>
        <w:t>A backup flare must be operated if, and only if, a principal flare is not operating.</w:t>
      </w:r>
    </w:p>
    <w:p w14:paraId="662F2718" w14:textId="77777777" w:rsidR="000C2627" w:rsidRDefault="000C2627" w:rsidP="0090025D"/>
    <w:p w14:paraId="39FBBBD4" w14:textId="77777777" w:rsidR="000C2627" w:rsidRDefault="000C2627" w:rsidP="0090025D">
      <w:r>
        <w:t>Regulation 27 outlines the performance standards a landfill consent holder is required to meet if they elect to destroy</w:t>
      </w:r>
      <w:r w:rsidR="00673C12">
        <w:t xml:space="preserve"> the collected gas by flaring. </w:t>
      </w:r>
      <w:r>
        <w:t xml:space="preserve">This </w:t>
      </w:r>
      <w:r w:rsidR="00BE3D61">
        <w:t>Regulation</w:t>
      </w:r>
      <w:r>
        <w:t xml:space="preserve"> requires that any principal flare must operate </w:t>
      </w:r>
      <w:r w:rsidR="009F762C">
        <w:t>at a minimum temperature of 750°C (</w:t>
      </w:r>
      <w:r>
        <w:t>degrees Celsius</w:t>
      </w:r>
      <w:r w:rsidR="009F762C">
        <w:t>)</w:t>
      </w:r>
      <w:r>
        <w:t xml:space="preserve"> and be designed to achieve a minimum flue gas </w:t>
      </w:r>
      <w:r w:rsidR="00673C12">
        <w:t xml:space="preserve">retention time of 0.5 seconds. </w:t>
      </w:r>
      <w:r>
        <w:t xml:space="preserve">The </w:t>
      </w:r>
      <w:r w:rsidR="00BE3D61">
        <w:t>Regulation</w:t>
      </w:r>
      <w:r>
        <w:t xml:space="preserve"> also requires that any principal landfill gas flare has:</w:t>
      </w:r>
    </w:p>
    <w:p w14:paraId="09619461" w14:textId="77777777" w:rsidR="000C2627" w:rsidRDefault="000C2627" w:rsidP="00007C0D">
      <w:pPr>
        <w:pStyle w:val="Bullet"/>
        <w:numPr>
          <w:ilvl w:val="0"/>
          <w:numId w:val="14"/>
        </w:numPr>
        <w:ind w:left="357" w:hanging="357"/>
      </w:pPr>
      <w:r>
        <w:t>a flame arrestor and automatic back-flow protection device or an equivalent system between the flare and the landfill to prevent flash-back and landfill fires</w:t>
      </w:r>
    </w:p>
    <w:p w14:paraId="7F85F0FA" w14:textId="77777777" w:rsidR="000C2627" w:rsidRDefault="000C2627" w:rsidP="00007C0D">
      <w:pPr>
        <w:pStyle w:val="Bullet"/>
        <w:numPr>
          <w:ilvl w:val="0"/>
          <w:numId w:val="14"/>
        </w:numPr>
        <w:ind w:left="357" w:hanging="357"/>
      </w:pPr>
      <w:r>
        <w:t>a continuous automatic ignition system</w:t>
      </w:r>
    </w:p>
    <w:p w14:paraId="507A994F" w14:textId="77777777" w:rsidR="000C2627" w:rsidRDefault="000C2627" w:rsidP="00007C0D">
      <w:pPr>
        <w:pStyle w:val="Bullet"/>
        <w:numPr>
          <w:ilvl w:val="0"/>
          <w:numId w:val="14"/>
        </w:numPr>
        <w:ind w:left="357" w:hanging="357"/>
      </w:pPr>
      <w:r>
        <w:t>an automatic isolation system to ensure that there is no significant discharge of unburnt landfill gas from the flare in the event of flame loss</w:t>
      </w:r>
    </w:p>
    <w:p w14:paraId="0A585A86" w14:textId="77777777" w:rsidR="000C2627" w:rsidRDefault="000C2627" w:rsidP="00007C0D">
      <w:pPr>
        <w:pStyle w:val="Bullet"/>
        <w:numPr>
          <w:ilvl w:val="0"/>
          <w:numId w:val="14"/>
        </w:numPr>
        <w:ind w:left="357" w:hanging="357"/>
      </w:pPr>
      <w:r>
        <w:t>a permanent temperature indicator</w:t>
      </w:r>
    </w:p>
    <w:p w14:paraId="7A956C97" w14:textId="77777777" w:rsidR="000C2627" w:rsidRDefault="000C2627" w:rsidP="00007C0D">
      <w:pPr>
        <w:pStyle w:val="Bullet"/>
        <w:numPr>
          <w:ilvl w:val="0"/>
          <w:numId w:val="14"/>
        </w:numPr>
        <w:ind w:left="357" w:hanging="357"/>
      </w:pPr>
      <w:r>
        <w:t>adequate sampling ports to enable emissions testing to be undertaken</w:t>
      </w:r>
    </w:p>
    <w:p w14:paraId="5173D99C" w14:textId="77777777" w:rsidR="000C2627" w:rsidRDefault="000C2627" w:rsidP="00007C0D">
      <w:pPr>
        <w:pStyle w:val="Bullet"/>
        <w:numPr>
          <w:ilvl w:val="0"/>
          <w:numId w:val="14"/>
        </w:numPr>
        <w:ind w:left="357" w:hanging="357"/>
      </w:pPr>
      <w:r>
        <w:t>provision for safe access to sampling ports while any emission tests are being undertaken.</w:t>
      </w:r>
    </w:p>
    <w:p w14:paraId="64702025" w14:textId="77777777" w:rsidR="000C2627" w:rsidRDefault="000C2627" w:rsidP="0090025D"/>
    <w:p w14:paraId="3C8E098D" w14:textId="77777777" w:rsidR="000C2627" w:rsidRDefault="000C2627" w:rsidP="0090025D">
      <w:r>
        <w:t xml:space="preserve">The </w:t>
      </w:r>
      <w:r w:rsidR="002D574D">
        <w:t xml:space="preserve">Regulations </w:t>
      </w:r>
      <w:r>
        <w:t>a</w:t>
      </w:r>
      <w:r w:rsidR="00C81F7B">
        <w:t>lso require that a landfill has</w:t>
      </w:r>
      <w:r>
        <w:t xml:space="preserve"> a backup flare that is available to operate when the principal flare is not operational due to malfunctio</w:t>
      </w:r>
      <w:r w:rsidR="00673C12">
        <w:t xml:space="preserve">n or maintenance requirements. </w:t>
      </w:r>
      <w:r>
        <w:t>The backup flare must have:</w:t>
      </w:r>
    </w:p>
    <w:p w14:paraId="30114575" w14:textId="77777777" w:rsidR="000C2627" w:rsidRDefault="000C2627" w:rsidP="00007C0D">
      <w:pPr>
        <w:pStyle w:val="Bullet"/>
        <w:numPr>
          <w:ilvl w:val="0"/>
          <w:numId w:val="14"/>
        </w:numPr>
        <w:ind w:left="357" w:hanging="357"/>
      </w:pPr>
      <w:r>
        <w:t>a flame arrestor and automatic back-flow protection</w:t>
      </w:r>
      <w:r w:rsidR="00673C12">
        <w:t xml:space="preserve"> device or an equivalent system</w:t>
      </w:r>
      <w:r>
        <w:t xml:space="preserve"> between the flare and the landfill to prevent flash-back and landfill fires</w:t>
      </w:r>
    </w:p>
    <w:p w14:paraId="21A26E2D" w14:textId="77777777" w:rsidR="000C2627" w:rsidRDefault="000C2627" w:rsidP="00007C0D">
      <w:pPr>
        <w:pStyle w:val="Bullet"/>
        <w:numPr>
          <w:ilvl w:val="0"/>
          <w:numId w:val="14"/>
        </w:numPr>
        <w:ind w:left="357" w:hanging="357"/>
      </w:pPr>
      <w:r>
        <w:t>a continuous automatic ignition system</w:t>
      </w:r>
    </w:p>
    <w:p w14:paraId="6F697190" w14:textId="77777777" w:rsidR="000C2627" w:rsidRDefault="000C2627" w:rsidP="00007C0D">
      <w:pPr>
        <w:pStyle w:val="Bullet"/>
        <w:numPr>
          <w:ilvl w:val="0"/>
          <w:numId w:val="14"/>
        </w:numPr>
        <w:ind w:left="357" w:hanging="357"/>
      </w:pPr>
      <w:r>
        <w:t>an automatic isolation system to ensure that there is no significant discharge of unburnt landfill gas from the flare in the event of flame loss.</w:t>
      </w:r>
    </w:p>
    <w:p w14:paraId="3B368A83" w14:textId="77777777" w:rsidR="000C2627" w:rsidRDefault="000C2627" w:rsidP="0090025D"/>
    <w:p w14:paraId="366C9E54" w14:textId="77777777" w:rsidR="000C2627" w:rsidRPr="005611C1" w:rsidRDefault="009F762C" w:rsidP="0090025D">
      <w:r>
        <w:t>Regulation</w:t>
      </w:r>
      <w:r w:rsidR="000C2627">
        <w:t xml:space="preserve"> 27</w:t>
      </w:r>
      <w:r w:rsidR="000C2627" w:rsidRPr="00732B32">
        <w:t>(1)</w:t>
      </w:r>
      <w:r w:rsidR="006429B4">
        <w:t>(a)(ii)</w:t>
      </w:r>
      <w:r w:rsidR="000C2627" w:rsidRPr="00732B32">
        <w:t xml:space="preserve"> allow</w:t>
      </w:r>
      <w:r>
        <w:t>s</w:t>
      </w:r>
      <w:r w:rsidR="000C2627" w:rsidRPr="00732B32">
        <w:t xml:space="preserve"> for differing</w:t>
      </w:r>
      <w:r w:rsidR="000C2627">
        <w:t xml:space="preserve"> technologies to be adopted if these alternatives can achieve at least the same effect as the systems outlined in the </w:t>
      </w:r>
      <w:r w:rsidR="002D574D">
        <w:t>Regulations</w:t>
      </w:r>
      <w:r w:rsidR="000C2627">
        <w:t>.</w:t>
      </w:r>
      <w:r w:rsidR="006429B4">
        <w:t xml:space="preserve"> Information </w:t>
      </w:r>
      <w:r w:rsidR="009564AE">
        <w:t>would</w:t>
      </w:r>
      <w:r w:rsidR="006429B4">
        <w:t xml:space="preserve"> need to be provided by the landfill operator to the regional council to demonstrate that an alternative system achieve</w:t>
      </w:r>
      <w:r w:rsidR="00D957A0">
        <w:t>s</w:t>
      </w:r>
      <w:r w:rsidR="006429B4">
        <w:t xml:space="preserve"> at least the same effect as that specified in Regulation 27(2).</w:t>
      </w:r>
    </w:p>
    <w:p w14:paraId="0002D516" w14:textId="77777777" w:rsidR="000C2627" w:rsidRDefault="00E71322" w:rsidP="0090025D">
      <w:pPr>
        <w:pStyle w:val="Heading3"/>
      </w:pPr>
      <w:bookmarkStart w:id="264" w:name="_Toc87954650"/>
      <w:bookmarkStart w:id="265" w:name="_Toc222291823"/>
      <w:bookmarkStart w:id="266" w:name="_Toc222292169"/>
      <w:bookmarkStart w:id="267" w:name="_Toc222292257"/>
      <w:bookmarkStart w:id="268" w:name="_Toc242861980"/>
      <w:r>
        <w:t>6</w:t>
      </w:r>
      <w:r w:rsidR="000C2627" w:rsidRPr="00AE519F">
        <w:t>.3.8</w:t>
      </w:r>
      <w:r w:rsidR="000C2627">
        <w:tab/>
        <w:t>Perimeter monitoring</w:t>
      </w:r>
      <w:bookmarkEnd w:id="264"/>
      <w:bookmarkEnd w:id="265"/>
      <w:bookmarkEnd w:id="266"/>
      <w:bookmarkEnd w:id="267"/>
      <w:bookmarkEnd w:id="268"/>
    </w:p>
    <w:p w14:paraId="07B554EF" w14:textId="77777777" w:rsidR="000C2627" w:rsidRDefault="000C2627" w:rsidP="0090025D">
      <w:r>
        <w:t>Landfill gas can migrate horizontally through the ground and discharge at a p</w:t>
      </w:r>
      <w:r w:rsidR="00673C12">
        <w:t xml:space="preserve">oint remote from the landfill. </w:t>
      </w:r>
      <w:r w:rsidR="009F762C">
        <w:t xml:space="preserve">This can cause health and safety (or odour issues) for neighbouring properties.   </w:t>
      </w:r>
      <w:r>
        <w:t xml:space="preserve">Perimeter monitoring probes are typically </w:t>
      </w:r>
      <w:r w:rsidR="00C81F7B">
        <w:t>used</w:t>
      </w:r>
      <w:r>
        <w:t xml:space="preserve"> around the edge of the landfill to monitor for gas movement away from the site.</w:t>
      </w:r>
    </w:p>
    <w:p w14:paraId="5288012F" w14:textId="77777777" w:rsidR="000C2627" w:rsidRDefault="000C2627" w:rsidP="0090025D"/>
    <w:p w14:paraId="46A23DC4" w14:textId="77777777" w:rsidR="000C2627" w:rsidRDefault="000C2627" w:rsidP="0090025D">
      <w:r>
        <w:t xml:space="preserve">Perimeter probe gas limits have historically been set at </w:t>
      </w:r>
      <w:r w:rsidR="00470027">
        <w:t>5%</w:t>
      </w:r>
      <w:r>
        <w:t xml:space="preserve"> methane (by volume in air), which corresponds to the lower expl</w:t>
      </w:r>
      <w:r w:rsidR="00673C12">
        <w:t xml:space="preserve">osive limit (LEL) for methane. </w:t>
      </w:r>
      <w:r>
        <w:t xml:space="preserve">However, there is an increasing trend in New Zealand and overseas to set the perimeter probe limits based on </w:t>
      </w:r>
      <w:r w:rsidRPr="00227A15">
        <w:t>neighbouring</w:t>
      </w:r>
      <w:r>
        <w:t xml:space="preserve"> land use activities and a limit figure of 1.25</w:t>
      </w:r>
      <w:r w:rsidR="00470027">
        <w:t>%</w:t>
      </w:r>
      <w:r>
        <w:t xml:space="preserve"> met</w:t>
      </w:r>
      <w:r w:rsidR="00470027">
        <w:t>hane (which is approximately 25%</w:t>
      </w:r>
      <w:r>
        <w:t xml:space="preserve"> of the LEL for methane).</w:t>
      </w:r>
    </w:p>
    <w:p w14:paraId="592852D5" w14:textId="77777777" w:rsidR="009F762C" w:rsidRDefault="009F762C" w:rsidP="0090025D"/>
    <w:p w14:paraId="7AFE8BEB" w14:textId="77777777" w:rsidR="000C2627" w:rsidRDefault="009564AE" w:rsidP="0090025D">
      <w:r>
        <w:t>The Regulations do not require or preclude the monitoring of landfill gas at the perimeter of a site because this is no necessary to control the effects of greenhouse gas emissions from the landfill.</w:t>
      </w:r>
      <w:r w:rsidR="00570350">
        <w:t xml:space="preserve"> Landfills can still be required by a regional council, through regional plan rules or resource consent</w:t>
      </w:r>
      <w:r w:rsidR="00C81F7B">
        <w:t xml:space="preserve"> conditions</w:t>
      </w:r>
      <w:r w:rsidR="00570350">
        <w:t>, to undertake perimeter monitoring for the prevention of odour</w:t>
      </w:r>
      <w:r w:rsidR="00C81F7B">
        <w:t xml:space="preserve"> from landfill gas</w:t>
      </w:r>
      <w:r w:rsidR="00570350">
        <w:t xml:space="preserve"> or health and safety effec</w:t>
      </w:r>
      <w:r w:rsidR="00673C12">
        <w:t>ts on neighbouring properties.</w:t>
      </w:r>
    </w:p>
    <w:p w14:paraId="124AAEB6" w14:textId="77777777" w:rsidR="00960E06" w:rsidRDefault="00960E06" w:rsidP="0090025D"/>
    <w:p w14:paraId="561D24CD" w14:textId="77777777" w:rsidR="000C2627" w:rsidRPr="003B4901" w:rsidRDefault="00E71322" w:rsidP="0090025D">
      <w:pPr>
        <w:pStyle w:val="Heading2"/>
      </w:pPr>
      <w:bookmarkStart w:id="269" w:name="_Toc78879348"/>
      <w:bookmarkStart w:id="270" w:name="_Toc87954651"/>
      <w:bookmarkStart w:id="271" w:name="_Toc222291824"/>
      <w:bookmarkStart w:id="272" w:name="_Toc222292170"/>
      <w:bookmarkStart w:id="273" w:name="_Toc222292258"/>
      <w:bookmarkStart w:id="274" w:name="_Toc242861981"/>
      <w:bookmarkStart w:id="275" w:name="_Toc300856635"/>
      <w:r>
        <w:t>6</w:t>
      </w:r>
      <w:r w:rsidR="000C2627" w:rsidRPr="00AE519F">
        <w:t>.4</w:t>
      </w:r>
      <w:r w:rsidR="000C2627" w:rsidRPr="003B4901">
        <w:tab/>
        <w:t xml:space="preserve">Exclusions from the </w:t>
      </w:r>
      <w:r w:rsidR="000C2627">
        <w:t xml:space="preserve">landfill gas </w:t>
      </w:r>
      <w:r w:rsidR="000C2627" w:rsidRPr="003B4901">
        <w:t>standard</w:t>
      </w:r>
      <w:bookmarkEnd w:id="269"/>
      <w:bookmarkEnd w:id="270"/>
      <w:bookmarkEnd w:id="271"/>
      <w:bookmarkEnd w:id="272"/>
      <w:bookmarkEnd w:id="273"/>
      <w:r w:rsidR="000C2627">
        <w:t>s</w:t>
      </w:r>
      <w:bookmarkEnd w:id="274"/>
      <w:bookmarkEnd w:id="275"/>
    </w:p>
    <w:p w14:paraId="3719BE84" w14:textId="77777777" w:rsidR="000C2627" w:rsidRPr="003B4901" w:rsidRDefault="00E71322" w:rsidP="0090025D">
      <w:pPr>
        <w:pStyle w:val="Heading3"/>
      </w:pPr>
      <w:bookmarkStart w:id="276" w:name="_Toc78879349"/>
      <w:bookmarkStart w:id="277" w:name="_Toc87954652"/>
      <w:bookmarkStart w:id="278" w:name="_Toc222291825"/>
      <w:bookmarkStart w:id="279" w:name="_Toc222292171"/>
      <w:bookmarkStart w:id="280" w:name="_Toc222292259"/>
      <w:bookmarkStart w:id="281" w:name="_Toc242861982"/>
      <w:r>
        <w:t>6</w:t>
      </w:r>
      <w:r w:rsidR="000C2627" w:rsidRPr="00AE519F">
        <w:t>.4.1</w:t>
      </w:r>
      <w:r w:rsidR="000C2627">
        <w:tab/>
        <w:t xml:space="preserve">Less than </w:t>
      </w:r>
      <w:r w:rsidR="004C7B6C">
        <w:t>5%</w:t>
      </w:r>
      <w:r w:rsidR="000C2627" w:rsidRPr="003B4901">
        <w:t xml:space="preserve"> </w:t>
      </w:r>
      <w:r w:rsidR="000C2627">
        <w:t xml:space="preserve">putrescible or biodegradable </w:t>
      </w:r>
      <w:r w:rsidR="000C2627" w:rsidRPr="003B4901">
        <w:t>matter</w:t>
      </w:r>
      <w:bookmarkEnd w:id="276"/>
      <w:bookmarkEnd w:id="277"/>
      <w:bookmarkEnd w:id="278"/>
      <w:bookmarkEnd w:id="279"/>
      <w:bookmarkEnd w:id="280"/>
      <w:bookmarkEnd w:id="281"/>
    </w:p>
    <w:p w14:paraId="71AE92F6" w14:textId="77777777" w:rsidR="000C2627" w:rsidRDefault="000C2627" w:rsidP="0090025D">
      <w:r>
        <w:t>There may be situations where a landfill exceeds the refuse quantity threshold of 1 million tonnes but through the effective diversion of putrescible or biodegradable matter wil</w:t>
      </w:r>
      <w:r w:rsidR="00673C12">
        <w:t>l generate low methane volumes.</w:t>
      </w:r>
      <w:r>
        <w:t xml:space="preserve"> In this case effective operation of a methane collection and destruction system may not be warranted or feasible.</w:t>
      </w:r>
    </w:p>
    <w:p w14:paraId="5148CC5F" w14:textId="77777777" w:rsidR="000C2627" w:rsidRDefault="000C2627" w:rsidP="0090025D"/>
    <w:p w14:paraId="70D52CA7" w14:textId="77777777" w:rsidR="000C2627" w:rsidRDefault="000C2627" w:rsidP="0090025D">
      <w:r>
        <w:t xml:space="preserve">To encourage the diversion of organic matter, the </w:t>
      </w:r>
      <w:r w:rsidR="00001F9F">
        <w:t>Regulations</w:t>
      </w:r>
      <w:r>
        <w:t xml:space="preserve"> provide an exemption to install</w:t>
      </w:r>
      <w:r w:rsidR="00570350">
        <w:t>ing and operating</w:t>
      </w:r>
      <w:r>
        <w:t xml:space="preserve"> a landfill gas collection system, if the site owner can demonstrate that the landfill contains, and is conti</w:t>
      </w:r>
      <w:r w:rsidR="004C7B6C">
        <w:t xml:space="preserve">nuing to accept, less than 5% </w:t>
      </w:r>
      <w:r>
        <w:t>(by weight) of matter that is putrescible or biodegradable.</w:t>
      </w:r>
    </w:p>
    <w:p w14:paraId="3D1F0232" w14:textId="77777777" w:rsidR="00C81F7B" w:rsidRDefault="00C81F7B" w:rsidP="0090025D"/>
    <w:p w14:paraId="69A417FF" w14:textId="77777777" w:rsidR="000C2627" w:rsidRPr="00C301FE" w:rsidRDefault="000C2627" w:rsidP="0090025D">
      <w:r>
        <w:t>The best way to assess putrescible or biodegradable matter content in a landfill is to collect data about the composition of waste deposited over th</w:t>
      </w:r>
      <w:r w:rsidR="00673C12">
        <w:t xml:space="preserve">e life of the site. </w:t>
      </w:r>
      <w:r w:rsidRPr="001B1F05">
        <w:t>The Solid Waste Analysis Protocol</w:t>
      </w:r>
      <w:r w:rsidRPr="00C301FE">
        <w:t xml:space="preserve"> (Ministry for the Environment, 2002</w:t>
      </w:r>
      <w:r w:rsidR="001B1F05">
        <w:t>b</w:t>
      </w:r>
      <w:r w:rsidRPr="00C301FE">
        <w:t>) provides a methodology for sorting waste into 12 primary categories including ‘putrescible’ (or organic) waste.</w:t>
      </w:r>
    </w:p>
    <w:p w14:paraId="573977B0" w14:textId="77777777" w:rsidR="000C2627" w:rsidRPr="00C301FE" w:rsidRDefault="000C2627" w:rsidP="0090025D"/>
    <w:p w14:paraId="52B183E9" w14:textId="77777777" w:rsidR="000C2627" w:rsidRPr="00C301FE" w:rsidRDefault="000C2627" w:rsidP="0090025D">
      <w:r w:rsidRPr="00C301FE">
        <w:t>A typical Solid Waste Analysis Protocol survey programme would include:</w:t>
      </w:r>
    </w:p>
    <w:p w14:paraId="7F1E6DD6" w14:textId="77777777" w:rsidR="000C2627" w:rsidRPr="00C301FE" w:rsidRDefault="000C2627" w:rsidP="00007C0D">
      <w:pPr>
        <w:pStyle w:val="Bullet"/>
        <w:numPr>
          <w:ilvl w:val="0"/>
          <w:numId w:val="14"/>
        </w:numPr>
        <w:ind w:left="357" w:hanging="357"/>
      </w:pPr>
      <w:r w:rsidRPr="00C301FE">
        <w:t>two years of quarterly surveys (to establish seasonal variations)</w:t>
      </w:r>
    </w:p>
    <w:p w14:paraId="4D68B609" w14:textId="77777777" w:rsidR="000C2627" w:rsidRPr="00C301FE" w:rsidRDefault="000C2627" w:rsidP="00007C0D">
      <w:pPr>
        <w:pStyle w:val="Bullet"/>
        <w:numPr>
          <w:ilvl w:val="0"/>
          <w:numId w:val="14"/>
        </w:numPr>
        <w:ind w:left="357" w:hanging="357"/>
      </w:pPr>
      <w:r w:rsidRPr="00C301FE">
        <w:t>an ongoing programme of annual surveys, with each season surveyed once per four-year cycle</w:t>
      </w:r>
    </w:p>
    <w:p w14:paraId="451C4485" w14:textId="77777777" w:rsidR="000C2627" w:rsidRPr="00C301FE" w:rsidRDefault="000C2627" w:rsidP="00007C0D">
      <w:pPr>
        <w:pStyle w:val="Bullet"/>
        <w:numPr>
          <w:ilvl w:val="0"/>
          <w:numId w:val="14"/>
        </w:numPr>
        <w:ind w:left="357" w:hanging="357"/>
      </w:pPr>
      <w:r w:rsidRPr="00C301FE">
        <w:t>individual surveys designed to determine putrescible waste quantity to ± 20</w:t>
      </w:r>
      <w:r w:rsidR="004C7B6C">
        <w:t>%</w:t>
      </w:r>
      <w:r w:rsidRPr="00C301FE">
        <w:t>.</w:t>
      </w:r>
    </w:p>
    <w:p w14:paraId="687D8691" w14:textId="77777777" w:rsidR="000C2627" w:rsidRPr="00C301FE" w:rsidRDefault="000C2627" w:rsidP="0090025D"/>
    <w:p w14:paraId="32A06A3A" w14:textId="77777777" w:rsidR="000C2627" w:rsidRPr="00C301FE" w:rsidRDefault="000C2627" w:rsidP="0090025D">
      <w:r w:rsidRPr="00C301FE">
        <w:t xml:space="preserve">For further information about developing, designing and interpreting surveys see the </w:t>
      </w:r>
      <w:r w:rsidRPr="00C301FE">
        <w:rPr>
          <w:i/>
        </w:rPr>
        <w:t xml:space="preserve">Solid </w:t>
      </w:r>
      <w:r w:rsidRPr="003512A8">
        <w:t>Waste Analysis Protocol</w:t>
      </w:r>
      <w:r w:rsidRPr="00C301FE">
        <w:t xml:space="preserve"> document and the survey design and analysis resources on the Ministry for the Environment website </w:t>
      </w:r>
      <w:r w:rsidR="003512A8">
        <w:t xml:space="preserve">at </w:t>
      </w:r>
      <w:hyperlink r:id="rId45" w:history="1">
        <w:r w:rsidRPr="00C301FE">
          <w:t>www.mfe.govt.nz</w:t>
        </w:r>
      </w:hyperlink>
      <w:r w:rsidRPr="00C301FE">
        <w:t xml:space="preserve">. Regional councils and the landfill consent holder </w:t>
      </w:r>
      <w:r w:rsidR="009564AE">
        <w:t>would</w:t>
      </w:r>
      <w:r w:rsidRPr="00C301FE">
        <w:t xml:space="preserve"> need to agree an acceptable monitoring programme.</w:t>
      </w:r>
    </w:p>
    <w:p w14:paraId="4F180F15" w14:textId="77777777" w:rsidR="000C2627" w:rsidRPr="00C301FE" w:rsidRDefault="000C2627" w:rsidP="0090025D"/>
    <w:p w14:paraId="69077490" w14:textId="77777777" w:rsidR="000C2627" w:rsidRDefault="000C2627" w:rsidP="0090025D">
      <w:r w:rsidRPr="00C301FE">
        <w:t>For further information on alternatives to landfill disposal for organic wastes</w:t>
      </w:r>
      <w:r w:rsidR="00C42416">
        <w:t>, see www.mfe.govt.nz.</w:t>
      </w:r>
    </w:p>
    <w:p w14:paraId="5E0FB3A5" w14:textId="77777777" w:rsidR="00F815AE" w:rsidRDefault="00F815AE" w:rsidP="0090025D">
      <w:pPr>
        <w:pStyle w:val="Heading3"/>
      </w:pPr>
      <w:r>
        <w:t>6.4.2</w:t>
      </w:r>
      <w:r>
        <w:tab/>
        <w:t xml:space="preserve">Is odour from landfill gas covered by the Regulations? </w:t>
      </w:r>
    </w:p>
    <w:p w14:paraId="1B6B9A09" w14:textId="77777777" w:rsidR="00692425" w:rsidRDefault="00C301FE" w:rsidP="0090025D">
      <w:r>
        <w:t>The Regulations controlling the collection and destruction of landfill gas have been promulgated to control greenho</w:t>
      </w:r>
      <w:r w:rsidR="00673C12">
        <w:t>use gas emissions at landfills.</w:t>
      </w:r>
      <w:r w:rsidR="00692425">
        <w:t xml:space="preserve"> They do not cover emissions of odour</w:t>
      </w:r>
      <w:r w:rsidR="009564AE">
        <w:t>,</w:t>
      </w:r>
      <w:r w:rsidR="00692425">
        <w:t xml:space="preserve"> the effects of odour nuisance or health and safety risk</w:t>
      </w:r>
      <w:r w:rsidR="009564AE">
        <w:t>s due to methane explosions</w:t>
      </w:r>
      <w:r w:rsidR="00692425">
        <w:t>.</w:t>
      </w:r>
      <w:r>
        <w:t xml:space="preserve"> </w:t>
      </w:r>
    </w:p>
    <w:p w14:paraId="0A00FDA0" w14:textId="77777777" w:rsidR="00692425" w:rsidRDefault="00692425" w:rsidP="0090025D"/>
    <w:p w14:paraId="630E98FF" w14:textId="77777777" w:rsidR="00692425" w:rsidRDefault="00692425" w:rsidP="0090025D">
      <w:r>
        <w:t xml:space="preserve">Regional councils may have regional rules and resource consents to control odour </w:t>
      </w:r>
      <w:r w:rsidR="003D5D22">
        <w:t>and/</w:t>
      </w:r>
      <w:r>
        <w:t>or methane emissions for health and safety</w:t>
      </w:r>
      <w:r w:rsidR="003D5D22">
        <w:t xml:space="preserve"> reasons</w:t>
      </w:r>
      <w:r w:rsidR="00673C12">
        <w:t>.</w:t>
      </w:r>
      <w:r>
        <w:t xml:space="preserve"> These rules or conditions are not managing greenhouse gas emissions or</w:t>
      </w:r>
      <w:r w:rsidR="003D5D22">
        <w:t xml:space="preserve"> their</w:t>
      </w:r>
      <w:r>
        <w:t xml:space="preserve"> effects and are therefore not covered by the Regulations or the Climate Change Amendment Act 2004.</w:t>
      </w:r>
    </w:p>
    <w:p w14:paraId="42105F7B" w14:textId="77777777" w:rsidR="00692425" w:rsidRDefault="00692425" w:rsidP="0090025D"/>
    <w:p w14:paraId="092BBA4B" w14:textId="77777777" w:rsidR="00692425" w:rsidRDefault="00692425" w:rsidP="0090025D">
      <w:r>
        <w:t>To avoid doubt, regional councils should indicate in their regional plans</w:t>
      </w:r>
      <w:r w:rsidR="009A6D0F">
        <w:t xml:space="preserve"> (and consent conditions)</w:t>
      </w:r>
      <w:r>
        <w:t xml:space="preserve"> what their rules relating to landfill gas emissions are for (eg, </w:t>
      </w:r>
      <w:r w:rsidR="003D5D22">
        <w:t xml:space="preserve">for controlling </w:t>
      </w:r>
      <w:r>
        <w:t>greenhouse gas emission</w:t>
      </w:r>
      <w:r w:rsidR="003D5D22">
        <w:t>s</w:t>
      </w:r>
      <w:r>
        <w:t>, odour or health and safety).</w:t>
      </w:r>
    </w:p>
    <w:p w14:paraId="6D968318" w14:textId="77777777" w:rsidR="00960E06" w:rsidRDefault="00960E06" w:rsidP="0090025D"/>
    <w:p w14:paraId="4230243C" w14:textId="77777777" w:rsidR="000C2627" w:rsidRPr="00A40AE0" w:rsidRDefault="00E71322" w:rsidP="0090025D">
      <w:pPr>
        <w:pStyle w:val="Heading2"/>
      </w:pPr>
      <w:bookmarkStart w:id="282" w:name="_Toc78879350"/>
      <w:bookmarkStart w:id="283" w:name="_Toc87954654"/>
      <w:bookmarkStart w:id="284" w:name="_Toc222291827"/>
      <w:bookmarkStart w:id="285" w:name="_Toc222292173"/>
      <w:bookmarkStart w:id="286" w:name="_Toc222292261"/>
      <w:bookmarkStart w:id="287" w:name="_Toc242861984"/>
      <w:bookmarkStart w:id="288" w:name="_Toc300856636"/>
      <w:r>
        <w:t>6</w:t>
      </w:r>
      <w:r w:rsidR="000C2627" w:rsidRPr="00AE519F">
        <w:t>.5</w:t>
      </w:r>
      <w:r w:rsidR="000C2627" w:rsidRPr="00A40AE0">
        <w:tab/>
        <w:t>Beneficial re-use of landfill gas</w:t>
      </w:r>
      <w:bookmarkEnd w:id="282"/>
      <w:bookmarkEnd w:id="283"/>
      <w:bookmarkEnd w:id="284"/>
      <w:bookmarkEnd w:id="285"/>
      <w:bookmarkEnd w:id="286"/>
      <w:bookmarkEnd w:id="287"/>
      <w:bookmarkEnd w:id="288"/>
    </w:p>
    <w:p w14:paraId="4BEAD6A8" w14:textId="77777777" w:rsidR="000C2627" w:rsidRDefault="000C2627" w:rsidP="0090025D">
      <w:r>
        <w:t xml:space="preserve">The </w:t>
      </w:r>
      <w:r w:rsidR="00001F9F">
        <w:t>Regulations</w:t>
      </w:r>
      <w:r>
        <w:t xml:space="preserve"> require the collection and destruction of landfill gas, however </w:t>
      </w:r>
      <w:r w:rsidR="00D957A0">
        <w:t xml:space="preserve">Regulation </w:t>
      </w:r>
      <w:r>
        <w:t>26(2)(b)(ii) specifies that it does not require colle</w:t>
      </w:r>
      <w:r w:rsidR="00673C12">
        <w:t>cted landfill gas to be flared.</w:t>
      </w:r>
      <w:r>
        <w:t xml:space="preserve"> Landfill owners may choose to harness the collected landfill gas for use as a fuel </w:t>
      </w:r>
      <w:r>
        <w:rPr>
          <w:b/>
        </w:rPr>
        <w:t>or</w:t>
      </w:r>
      <w:r>
        <w:t xml:space="preserve"> for electricity generation.  </w:t>
      </w:r>
    </w:p>
    <w:p w14:paraId="0B39C21A" w14:textId="77777777" w:rsidR="000C2627" w:rsidRDefault="000C2627" w:rsidP="0090025D"/>
    <w:p w14:paraId="41D81578" w14:textId="77777777" w:rsidR="000C2627" w:rsidRDefault="000C2627" w:rsidP="0090025D">
      <w:r>
        <w:t xml:space="preserve">Beneficial re-use options </w:t>
      </w:r>
      <w:r w:rsidRPr="00F7545B">
        <w:t>could</w:t>
      </w:r>
      <w:r>
        <w:t xml:space="preserve"> therefore, include:</w:t>
      </w:r>
    </w:p>
    <w:p w14:paraId="19BC7503" w14:textId="77777777" w:rsidR="000C2627" w:rsidRDefault="000C2627" w:rsidP="00007C0D">
      <w:pPr>
        <w:pStyle w:val="Bullet"/>
        <w:numPr>
          <w:ilvl w:val="0"/>
          <w:numId w:val="14"/>
        </w:numPr>
        <w:ind w:left="357" w:hanging="357"/>
      </w:pPr>
      <w:r>
        <w:t>electricity generation</w:t>
      </w:r>
    </w:p>
    <w:p w14:paraId="6DE1B473" w14:textId="77777777" w:rsidR="000C2627" w:rsidRDefault="000C2627" w:rsidP="00007C0D">
      <w:pPr>
        <w:pStyle w:val="Bullet"/>
        <w:numPr>
          <w:ilvl w:val="0"/>
          <w:numId w:val="14"/>
        </w:numPr>
        <w:ind w:left="357" w:hanging="357"/>
      </w:pPr>
      <w:r>
        <w:t>direct use of the gas, such as in boilers, kilns, heating or off-gas destruction</w:t>
      </w:r>
    </w:p>
    <w:p w14:paraId="06D4A11B" w14:textId="77777777" w:rsidR="000C2627" w:rsidRDefault="000C2627" w:rsidP="00007C0D">
      <w:pPr>
        <w:pStyle w:val="Bullet"/>
        <w:numPr>
          <w:ilvl w:val="0"/>
          <w:numId w:val="14"/>
        </w:numPr>
        <w:ind w:left="357" w:hanging="357"/>
      </w:pPr>
      <w:r>
        <w:t>low pressure gas supply (as fuel) to a dedicated user</w:t>
      </w:r>
    </w:p>
    <w:p w14:paraId="26355011" w14:textId="77777777" w:rsidR="000C2627" w:rsidRDefault="000C2627" w:rsidP="00007C0D">
      <w:pPr>
        <w:pStyle w:val="Bullet"/>
        <w:numPr>
          <w:ilvl w:val="0"/>
          <w:numId w:val="14"/>
        </w:numPr>
        <w:ind w:left="357" w:hanging="357"/>
      </w:pPr>
      <w:r>
        <w:t>compressed natural gas.</w:t>
      </w:r>
    </w:p>
    <w:p w14:paraId="664D6C0C" w14:textId="77777777" w:rsidR="000C2627" w:rsidRDefault="000C2627" w:rsidP="0090025D"/>
    <w:p w14:paraId="4336FA53" w14:textId="77777777" w:rsidR="000C2627" w:rsidRDefault="000C2627" w:rsidP="0090025D">
      <w:r>
        <w:t>The most common use of landfill gas (used in more than 80</w:t>
      </w:r>
      <w:r w:rsidR="004C7B6C">
        <w:t>%</w:t>
      </w:r>
      <w:r>
        <w:t xml:space="preserve"> or more of gas utilisation schemes) is in</w:t>
      </w:r>
      <w:r w:rsidR="00673C12">
        <w:t xml:space="preserve"> the production of electricity.</w:t>
      </w:r>
      <w:r>
        <w:t xml:space="preserve"> Approximately </w:t>
      </w:r>
      <w:r w:rsidRPr="00AE519F">
        <w:t>600 cu</w:t>
      </w:r>
      <w:r>
        <w:t>bic</w:t>
      </w:r>
      <w:r w:rsidRPr="00AE519F">
        <w:t xml:space="preserve"> m</w:t>
      </w:r>
      <w:r>
        <w:t>etres</w:t>
      </w:r>
      <w:r w:rsidRPr="00AE519F">
        <w:t xml:space="preserve"> per hour</w:t>
      </w:r>
      <w:r w:rsidR="004C7B6C">
        <w:t xml:space="preserve"> of landfill gas at 55% </w:t>
      </w:r>
      <w:r>
        <w:t>methane will s</w:t>
      </w:r>
      <w:r w:rsidR="00673C12">
        <w:t xml:space="preserve">upport a 1 MW electric scheme. </w:t>
      </w:r>
      <w:r>
        <w:t xml:space="preserve">However, the life of a scheme is highly site-specific and detailed site-specific gas and commercial assessments </w:t>
      </w:r>
      <w:r w:rsidR="009564AE">
        <w:t>are required to size</w:t>
      </w:r>
      <w:r w:rsidR="00673C12">
        <w:t xml:space="preserve"> a gas utilisation option.</w:t>
      </w:r>
      <w:r>
        <w:t xml:space="preserve"> The economics of a ‘gas-to-electric power’ scheme will also be </w:t>
      </w:r>
      <w:r w:rsidR="0009663C">
        <w:t>dependent</w:t>
      </w:r>
      <w:r>
        <w:t xml:space="preserve"> on the proximity of the landfill to the nearest power grid connection point.</w:t>
      </w:r>
    </w:p>
    <w:p w14:paraId="2F2E268F" w14:textId="77777777" w:rsidR="000C2627" w:rsidRDefault="000C2627" w:rsidP="0090025D"/>
    <w:p w14:paraId="1889FEB7" w14:textId="77777777" w:rsidR="000C2627" w:rsidRDefault="000C2627" w:rsidP="0090025D">
      <w:r>
        <w:t>Direct use of landfill gas as a fuel for heating is considerably more efficient than converting the gas to electricity where approximately 60 to 70</w:t>
      </w:r>
      <w:r w:rsidR="004C7B6C">
        <w:t>%</w:t>
      </w:r>
      <w:r>
        <w:t xml:space="preserve"> of its energy value is lost.</w:t>
      </w:r>
    </w:p>
    <w:p w14:paraId="00FD5FE4" w14:textId="77777777" w:rsidR="000C2627" w:rsidRDefault="000C2627" w:rsidP="0090025D"/>
    <w:p w14:paraId="13546427" w14:textId="77777777" w:rsidR="000C2627" w:rsidRDefault="000C2627" w:rsidP="0090025D">
      <w:r>
        <w:t>Direct use as a fuel in brick kilns, boilers, production of steam or in co-generation plants (being facilities that produce electricity and usable heat) are the next most common gr</w:t>
      </w:r>
      <w:r w:rsidR="00673C12">
        <w:t>oup of gas utilisation options.</w:t>
      </w:r>
      <w:r>
        <w:t xml:space="preserve"> Landfill gas has a unique composition and a dedicated landfill gas customer who is specifically set up to use the gas 24 hours a day, 365 days a year is preferable.  Gas generation rates, quantities and q</w:t>
      </w:r>
      <w:r w:rsidR="00673C12">
        <w:t xml:space="preserve">uality vary from site to site. </w:t>
      </w:r>
      <w:r>
        <w:t>The gas usually requires pre-t</w:t>
      </w:r>
      <w:r w:rsidR="008D57FE">
        <w:t>reatment before burning/use and</w:t>
      </w:r>
      <w:r>
        <w:t xml:space="preserve"> a gas transmission system</w:t>
      </w:r>
      <w:r w:rsidR="008D57FE">
        <w:t xml:space="preserve"> which can affect the economic viability of the system</w:t>
      </w:r>
      <w:r>
        <w:t>.</w:t>
      </w:r>
    </w:p>
    <w:p w14:paraId="2792FA19" w14:textId="77777777" w:rsidR="000C2627" w:rsidRDefault="000C2627" w:rsidP="0090025D"/>
    <w:p w14:paraId="4C914C76" w14:textId="77777777" w:rsidR="000C2627" w:rsidRDefault="000C2627" w:rsidP="0090025D">
      <w:r>
        <w:t>Compressing the gas for use in vehicles or for use by a dedicated gas user away fro</w:t>
      </w:r>
      <w:r w:rsidR="00673C12">
        <w:t xml:space="preserve">m the site has been practised. </w:t>
      </w:r>
      <w:r>
        <w:t>A higher level of gas treatment is required for this option over other gas utilisation options.</w:t>
      </w:r>
    </w:p>
    <w:p w14:paraId="7D2F35F9" w14:textId="77777777" w:rsidR="00960E06" w:rsidRDefault="00960E06" w:rsidP="0090025D"/>
    <w:p w14:paraId="17369795" w14:textId="77777777" w:rsidR="000C2627" w:rsidRPr="000A61B9" w:rsidRDefault="00E71322" w:rsidP="0090025D">
      <w:pPr>
        <w:pStyle w:val="Heading2"/>
      </w:pPr>
      <w:bookmarkStart w:id="289" w:name="_Toc78879357"/>
      <w:bookmarkStart w:id="290" w:name="_Toc87954655"/>
      <w:bookmarkStart w:id="291" w:name="_Toc222291828"/>
      <w:bookmarkStart w:id="292" w:name="_Toc222292174"/>
      <w:bookmarkStart w:id="293" w:name="_Toc222292262"/>
      <w:bookmarkStart w:id="294" w:name="_Toc242861985"/>
      <w:bookmarkStart w:id="295" w:name="_Toc300856637"/>
      <w:r>
        <w:t>6</w:t>
      </w:r>
      <w:r w:rsidR="000C2627" w:rsidRPr="00AE519F">
        <w:t>.6</w:t>
      </w:r>
      <w:r w:rsidR="000C2627" w:rsidRPr="000A61B9">
        <w:tab/>
        <w:t>Designing a surface methane monitoring programme</w:t>
      </w:r>
      <w:bookmarkEnd w:id="289"/>
      <w:bookmarkEnd w:id="290"/>
      <w:bookmarkEnd w:id="291"/>
      <w:bookmarkEnd w:id="292"/>
      <w:bookmarkEnd w:id="293"/>
      <w:bookmarkEnd w:id="294"/>
      <w:bookmarkEnd w:id="295"/>
    </w:p>
    <w:p w14:paraId="2461E800" w14:textId="77777777" w:rsidR="000C2627" w:rsidRDefault="000C2627" w:rsidP="0090025D">
      <w:r>
        <w:t>There are a number of different surface</w:t>
      </w:r>
      <w:r w:rsidR="00007C0D">
        <w:t xml:space="preserve"> emission procedures worldwide.</w:t>
      </w:r>
      <w:r>
        <w:t xml:space="preserve"> </w:t>
      </w:r>
      <w:r w:rsidR="00007C0D">
        <w:t>T</w:t>
      </w:r>
      <w:r>
        <w:t>he surveys are commonly termed Instantaneous Sur</w:t>
      </w:r>
      <w:r w:rsidR="00007C0D">
        <w:t xml:space="preserve">face Monitoring (ISM) surveys. </w:t>
      </w:r>
      <w:r>
        <w:t>The survey uses methane as an indicator for landfill gas and volatile organic emissions from the landfill surface.</w:t>
      </w:r>
    </w:p>
    <w:p w14:paraId="5B0E1CAB" w14:textId="77777777" w:rsidR="000C2627" w:rsidRDefault="000C2627" w:rsidP="0090025D"/>
    <w:p w14:paraId="476EAFB3" w14:textId="77777777" w:rsidR="000C2627" w:rsidRDefault="000C2627" w:rsidP="0090025D">
      <w:r>
        <w:t xml:space="preserve">ISM surveys are conducted on both final and intermediate capping but are </w:t>
      </w:r>
      <w:r w:rsidRPr="00383987">
        <w:rPr>
          <w:b/>
        </w:rPr>
        <w:t>not</w:t>
      </w:r>
      <w:r>
        <w:t xml:space="preserve"> conducted on open refuse faces due to the danger to site personnel and the variable nature of the ground.</w:t>
      </w:r>
      <w:r w:rsidR="00D957A0">
        <w:t xml:space="preserve"> </w:t>
      </w:r>
      <w:r>
        <w:t>ISM surveys are also not typically conducted on daily cover.</w:t>
      </w:r>
      <w:r w:rsidR="00D957A0">
        <w:t xml:space="preserve"> </w:t>
      </w:r>
      <w:r>
        <w:t>Monitoring on intermediate capping is typically done only if the intermediate capping is to be in place for more than a few weeks.</w:t>
      </w:r>
    </w:p>
    <w:p w14:paraId="7C574F39" w14:textId="77777777" w:rsidR="000C2627" w:rsidRDefault="000C2627" w:rsidP="0090025D"/>
    <w:p w14:paraId="3C873ECF" w14:textId="77777777" w:rsidR="000C2627" w:rsidRDefault="000C2627" w:rsidP="0090025D">
      <w:r>
        <w:t>The common factors to all ISM surveys are:</w:t>
      </w:r>
    </w:p>
    <w:p w14:paraId="2B8163D7" w14:textId="77777777" w:rsidR="000C2627" w:rsidRDefault="000C2627" w:rsidP="00007C0D">
      <w:pPr>
        <w:pStyle w:val="Bullet"/>
        <w:numPr>
          <w:ilvl w:val="0"/>
          <w:numId w:val="14"/>
        </w:numPr>
        <w:ind w:left="357" w:hanging="357"/>
      </w:pPr>
      <w:r>
        <w:t>a suitable instrument has to be used that is capable of measuring to parts per million (ppm) of methane</w:t>
      </w:r>
    </w:p>
    <w:p w14:paraId="1DE00460" w14:textId="77777777" w:rsidR="000C2627" w:rsidRDefault="000C2627" w:rsidP="00007C0D">
      <w:pPr>
        <w:pStyle w:val="Bullet"/>
        <w:numPr>
          <w:ilvl w:val="0"/>
          <w:numId w:val="14"/>
        </w:numPr>
        <w:ind w:left="357" w:hanging="357"/>
      </w:pPr>
      <w:r>
        <w:t>the instrument is hand carried, is intrinsically safe and is suitably calibrated</w:t>
      </w:r>
    </w:p>
    <w:p w14:paraId="3614A57A" w14:textId="77777777" w:rsidR="000C2627" w:rsidRDefault="000C2627" w:rsidP="00007C0D">
      <w:pPr>
        <w:pStyle w:val="Bullet"/>
        <w:numPr>
          <w:ilvl w:val="0"/>
          <w:numId w:val="14"/>
        </w:numPr>
        <w:ind w:left="357" w:hanging="357"/>
      </w:pPr>
      <w:r>
        <w:t>the walkpaths on the landfill are set before the survey</w:t>
      </w:r>
    </w:p>
    <w:p w14:paraId="511D018D" w14:textId="77777777" w:rsidR="000C2627" w:rsidRDefault="000C2627" w:rsidP="00007C0D">
      <w:pPr>
        <w:pStyle w:val="Bullet"/>
        <w:numPr>
          <w:ilvl w:val="0"/>
          <w:numId w:val="14"/>
        </w:numPr>
        <w:ind w:left="357" w:hanging="357"/>
      </w:pPr>
      <w:r>
        <w:t>the weather conditions have to be within certain parameters to ensure representative results can be obtained and that the instrument is not damaged</w:t>
      </w:r>
    </w:p>
    <w:p w14:paraId="60D15BF5" w14:textId="77777777" w:rsidR="000C2627" w:rsidRDefault="000C2627" w:rsidP="00007C0D">
      <w:pPr>
        <w:pStyle w:val="Bullet"/>
        <w:numPr>
          <w:ilvl w:val="0"/>
          <w:numId w:val="14"/>
        </w:numPr>
        <w:ind w:left="357" w:hanging="357"/>
      </w:pPr>
      <w:r>
        <w:t>where a surface emission is detected the ISM survey deviates from the walkpath to determine the extent of the area</w:t>
      </w:r>
      <w:r w:rsidR="00F55614">
        <w:t xml:space="preserve"> of effect</w:t>
      </w:r>
    </w:p>
    <w:p w14:paraId="5AC1A8C2" w14:textId="77777777" w:rsidR="000C2627" w:rsidRDefault="000C2627" w:rsidP="00007C0D">
      <w:pPr>
        <w:pStyle w:val="Bullet"/>
        <w:numPr>
          <w:ilvl w:val="0"/>
          <w:numId w:val="14"/>
        </w:numPr>
        <w:ind w:left="357" w:hanging="357"/>
      </w:pPr>
      <w:r>
        <w:t>all details of the survey are recorded on a plan and tabulated to include an explanation (where possible) of why an e</w:t>
      </w:r>
      <w:r w:rsidR="00F55614">
        <w:t>levated level</w:t>
      </w:r>
      <w:r>
        <w:t xml:space="preserve"> occurred.</w:t>
      </w:r>
    </w:p>
    <w:p w14:paraId="527403C0" w14:textId="77777777" w:rsidR="000C2627" w:rsidRDefault="000C2627" w:rsidP="0090025D"/>
    <w:p w14:paraId="47C0BE75" w14:textId="77777777" w:rsidR="000C2627" w:rsidRDefault="000C2627" w:rsidP="0090025D">
      <w:r>
        <w:t>Recommended procedures for undertaking an ISM survey are available from the</w:t>
      </w:r>
      <w:r w:rsidR="00F003D7">
        <w:t xml:space="preserve"> Ministry for the Environment. </w:t>
      </w:r>
      <w:r>
        <w:t xml:space="preserve">Note that the details of an ISM are not part of the </w:t>
      </w:r>
      <w:r w:rsidR="00001F9F">
        <w:t>Regulations</w:t>
      </w:r>
      <w:r>
        <w:t>, but are available as guidance on how to design a system.</w:t>
      </w:r>
    </w:p>
    <w:p w14:paraId="485762F3" w14:textId="77777777" w:rsidR="00F003D7" w:rsidRDefault="00F003D7" w:rsidP="0090025D"/>
    <w:p w14:paraId="5B7BD2F3" w14:textId="77777777" w:rsidR="000C2627" w:rsidRPr="003B4901" w:rsidRDefault="00E71322" w:rsidP="0090025D">
      <w:pPr>
        <w:pStyle w:val="Heading2"/>
      </w:pPr>
      <w:bookmarkStart w:id="296" w:name="_Toc76443452"/>
      <w:bookmarkStart w:id="297" w:name="_Toc78879352"/>
      <w:bookmarkStart w:id="298" w:name="_Toc87954656"/>
      <w:bookmarkStart w:id="299" w:name="_Toc222291829"/>
      <w:bookmarkStart w:id="300" w:name="_Toc222292175"/>
      <w:bookmarkStart w:id="301" w:name="_Toc222292263"/>
      <w:bookmarkStart w:id="302" w:name="_Toc242861986"/>
      <w:bookmarkStart w:id="303" w:name="_Toc300856638"/>
      <w:r>
        <w:t>6</w:t>
      </w:r>
      <w:r w:rsidR="000C2627" w:rsidRPr="008257DA">
        <w:t>.7</w:t>
      </w:r>
      <w:r w:rsidR="000C2627" w:rsidRPr="003B4901">
        <w:tab/>
        <w:t xml:space="preserve">How do the </w:t>
      </w:r>
      <w:r w:rsidR="000C2627">
        <w:t xml:space="preserve">landfill gas </w:t>
      </w:r>
      <w:r w:rsidR="000C2627" w:rsidRPr="003B4901">
        <w:t>standard</w:t>
      </w:r>
      <w:r w:rsidR="000C2627">
        <w:t>s</w:t>
      </w:r>
      <w:r w:rsidR="000C2627" w:rsidRPr="003B4901">
        <w:t xml:space="preserve"> take effect?</w:t>
      </w:r>
      <w:bookmarkEnd w:id="296"/>
      <w:bookmarkEnd w:id="297"/>
      <w:bookmarkEnd w:id="298"/>
      <w:bookmarkEnd w:id="299"/>
      <w:bookmarkEnd w:id="300"/>
      <w:bookmarkEnd w:id="301"/>
      <w:bookmarkEnd w:id="302"/>
      <w:bookmarkEnd w:id="303"/>
    </w:p>
    <w:p w14:paraId="3858A9D7" w14:textId="77777777" w:rsidR="000C2627" w:rsidRDefault="00E71322" w:rsidP="0090025D">
      <w:pPr>
        <w:pStyle w:val="Heading3"/>
      </w:pPr>
      <w:bookmarkStart w:id="304" w:name="_Toc78879353"/>
      <w:bookmarkStart w:id="305" w:name="_Toc87954657"/>
      <w:bookmarkStart w:id="306" w:name="_Toc222291830"/>
      <w:bookmarkStart w:id="307" w:name="_Toc222292176"/>
      <w:bookmarkStart w:id="308" w:name="_Toc222292264"/>
      <w:bookmarkStart w:id="309" w:name="_Toc242861987"/>
      <w:r>
        <w:t>6</w:t>
      </w:r>
      <w:r w:rsidR="000C2627" w:rsidRPr="008257DA">
        <w:t>.7.1</w:t>
      </w:r>
      <w:r w:rsidR="000C2627">
        <w:tab/>
        <w:t>Who does this affect?</w:t>
      </w:r>
      <w:bookmarkEnd w:id="304"/>
      <w:bookmarkEnd w:id="305"/>
      <w:bookmarkEnd w:id="306"/>
      <w:bookmarkEnd w:id="307"/>
      <w:bookmarkEnd w:id="308"/>
      <w:bookmarkEnd w:id="309"/>
    </w:p>
    <w:p w14:paraId="3C7876B8" w14:textId="77777777" w:rsidR="000C2627" w:rsidRDefault="000C2627" w:rsidP="0090025D">
      <w:r>
        <w:t xml:space="preserve">The </w:t>
      </w:r>
      <w:r w:rsidR="00001F9F">
        <w:t>Regulations</w:t>
      </w:r>
      <w:r>
        <w:t xml:space="preserve"> place requirements on consent holders of operating landfills that have a total design capacity of 1 million tonnes or greater.</w:t>
      </w:r>
    </w:p>
    <w:p w14:paraId="746F53F9" w14:textId="77777777" w:rsidR="000C2627" w:rsidRDefault="000C2627" w:rsidP="0090025D"/>
    <w:p w14:paraId="6DF55D35" w14:textId="77777777" w:rsidR="00B11525" w:rsidRPr="00B11525" w:rsidRDefault="000C2627" w:rsidP="0090025D">
      <w:r>
        <w:t>R</w:t>
      </w:r>
      <w:r w:rsidRPr="00B11525">
        <w:t xml:space="preserve">egional councils are responsible for </w:t>
      </w:r>
      <w:r w:rsidR="003A115E" w:rsidRPr="00B11525">
        <w:t xml:space="preserve">ensuring </w:t>
      </w:r>
      <w:r w:rsidRPr="00B11525">
        <w:t>compliance wi</w:t>
      </w:r>
      <w:r w:rsidR="00673C12">
        <w:t xml:space="preserve">th the landfill gas standards. </w:t>
      </w:r>
      <w:r w:rsidR="003A115E" w:rsidRPr="00B11525">
        <w:t>In addition, it is likely that conditions will be attached to resource consent for such an operation</w:t>
      </w:r>
      <w:r w:rsidR="00F6456C" w:rsidRPr="00B11525">
        <w:t xml:space="preserve"> – see below</w:t>
      </w:r>
      <w:r w:rsidR="003A115E" w:rsidRPr="00B11525">
        <w:t>.</w:t>
      </w:r>
      <w:r w:rsidR="00F6456C" w:rsidRPr="00B11525">
        <w:t xml:space="preserve"> Therefore, the regional council </w:t>
      </w:r>
      <w:r w:rsidR="00B11525" w:rsidRPr="00B11525">
        <w:t>could take enforcement action in accordance with the enforcement provisions of the RMA.</w:t>
      </w:r>
    </w:p>
    <w:p w14:paraId="7905ADDD" w14:textId="77777777" w:rsidR="00B11525" w:rsidRPr="00B11525" w:rsidRDefault="00B11525" w:rsidP="0090025D">
      <w:r w:rsidRPr="00B11525">
        <w:t>In addition to this, section 44A (7-8) of the RMA requires that:</w:t>
      </w:r>
    </w:p>
    <w:p w14:paraId="69EC01FA" w14:textId="77777777" w:rsidR="00B11525" w:rsidRDefault="00B11525" w:rsidP="0090025D">
      <w:pPr>
        <w:rPr>
          <w:highlight w:val="yellow"/>
        </w:rPr>
      </w:pPr>
    </w:p>
    <w:p w14:paraId="1E14B60E" w14:textId="77777777" w:rsidR="00B11525" w:rsidRPr="0043372F" w:rsidRDefault="00B11525" w:rsidP="0043372F">
      <w:pPr>
        <w:pStyle w:val="Quote"/>
        <w:rPr>
          <w:i/>
        </w:rPr>
      </w:pPr>
      <w:r w:rsidRPr="0043372F">
        <w:rPr>
          <w:i/>
        </w:rPr>
        <w:t>(7)</w:t>
      </w:r>
      <w:r w:rsidRPr="0043372F">
        <w:rPr>
          <w:i/>
        </w:rPr>
        <w:tab/>
        <w:t xml:space="preserve">Every local authority and consent authority must observe national environmental </w:t>
      </w:r>
      <w:r w:rsidR="0043372F" w:rsidRPr="0043372F">
        <w:rPr>
          <w:i/>
        </w:rPr>
        <w:tab/>
      </w:r>
      <w:r w:rsidR="0043372F" w:rsidRPr="0043372F">
        <w:rPr>
          <w:i/>
        </w:rPr>
        <w:tab/>
      </w:r>
      <w:r w:rsidRPr="0043372F">
        <w:rPr>
          <w:i/>
        </w:rPr>
        <w:t>standards.</w:t>
      </w:r>
    </w:p>
    <w:p w14:paraId="1B98EF96" w14:textId="77777777" w:rsidR="00B11525" w:rsidRPr="0043372F" w:rsidRDefault="00B11525" w:rsidP="0043372F">
      <w:pPr>
        <w:pStyle w:val="Quote"/>
        <w:rPr>
          <w:i/>
        </w:rPr>
      </w:pPr>
      <w:r w:rsidRPr="0043372F">
        <w:rPr>
          <w:i/>
        </w:rPr>
        <w:t>(8)</w:t>
      </w:r>
      <w:r w:rsidRPr="0043372F">
        <w:rPr>
          <w:i/>
        </w:rPr>
        <w:tab/>
        <w:t xml:space="preserve">Every local authority and consent authority must enforce the observance of </w:t>
      </w:r>
      <w:r w:rsidR="00412363">
        <w:rPr>
          <w:i/>
        </w:rPr>
        <w:tab/>
      </w:r>
      <w:r w:rsidR="00412363">
        <w:rPr>
          <w:i/>
        </w:rPr>
        <w:tab/>
      </w:r>
      <w:r w:rsidR="00412363">
        <w:rPr>
          <w:i/>
        </w:rPr>
        <w:tab/>
      </w:r>
      <w:r w:rsidRPr="0043372F">
        <w:rPr>
          <w:i/>
        </w:rPr>
        <w:t xml:space="preserve">national environmental standards to the extent to which their powers enable them </w:t>
      </w:r>
      <w:r w:rsidR="00412363">
        <w:rPr>
          <w:i/>
        </w:rPr>
        <w:tab/>
      </w:r>
      <w:r w:rsidR="00412363">
        <w:rPr>
          <w:i/>
        </w:rPr>
        <w:tab/>
      </w:r>
      <w:r w:rsidRPr="0043372F">
        <w:rPr>
          <w:i/>
        </w:rPr>
        <w:t>to do so.</w:t>
      </w:r>
    </w:p>
    <w:p w14:paraId="552BFF52" w14:textId="77777777" w:rsidR="00B11525" w:rsidRPr="008A1AB7" w:rsidRDefault="00B11525" w:rsidP="0090025D"/>
    <w:p w14:paraId="13EEBE9D" w14:textId="77777777" w:rsidR="00B11525" w:rsidRDefault="00B11525" w:rsidP="0090025D">
      <w:r w:rsidRPr="008A1AB7">
        <w:t>There</w:t>
      </w:r>
      <w:r w:rsidR="003D5D22">
        <w:t xml:space="preserve"> is</w:t>
      </w:r>
      <w:r w:rsidRPr="008A1AB7">
        <w:t xml:space="preserve"> an obligation on regional councils to enforce </w:t>
      </w:r>
      <w:r>
        <w:t>compliance with the landfill gas requirements in the Regulations</w:t>
      </w:r>
      <w:r w:rsidRPr="008A1AB7">
        <w:t>.</w:t>
      </w:r>
    </w:p>
    <w:p w14:paraId="49134DFF" w14:textId="77777777" w:rsidR="000C2627" w:rsidRDefault="00E71322" w:rsidP="0090025D">
      <w:pPr>
        <w:pStyle w:val="Heading3"/>
      </w:pPr>
      <w:bookmarkStart w:id="310" w:name="_Toc78879354"/>
      <w:bookmarkStart w:id="311" w:name="_Toc87954658"/>
      <w:bookmarkStart w:id="312" w:name="_Toc222291831"/>
      <w:bookmarkStart w:id="313" w:name="_Toc222292177"/>
      <w:bookmarkStart w:id="314" w:name="_Toc222292265"/>
      <w:bookmarkStart w:id="315" w:name="_Toc242861988"/>
      <w:r>
        <w:t>6</w:t>
      </w:r>
      <w:r w:rsidR="000C2627" w:rsidRPr="008257DA">
        <w:t>.7.2</w:t>
      </w:r>
      <w:r w:rsidR="000C2627">
        <w:tab/>
        <w:t>What is the impact on existing resource consents?</w:t>
      </w:r>
      <w:bookmarkEnd w:id="310"/>
      <w:bookmarkEnd w:id="311"/>
      <w:bookmarkEnd w:id="312"/>
      <w:bookmarkEnd w:id="313"/>
      <w:bookmarkEnd w:id="314"/>
      <w:bookmarkEnd w:id="315"/>
    </w:p>
    <w:p w14:paraId="04A41BFD" w14:textId="77777777" w:rsidR="000C2627" w:rsidRDefault="000C2627" w:rsidP="0090025D">
      <w:r w:rsidRPr="007D7435">
        <w:t xml:space="preserve">The </w:t>
      </w:r>
      <w:r w:rsidR="00001F9F">
        <w:t>Regulation</w:t>
      </w:r>
      <w:r w:rsidR="00001F9F" w:rsidRPr="007D7435">
        <w:t>s</w:t>
      </w:r>
      <w:r w:rsidRPr="007D7435">
        <w:t xml:space="preserve"> do not </w:t>
      </w:r>
      <w:r>
        <w:t xml:space="preserve">automatically </w:t>
      </w:r>
      <w:r w:rsidRPr="007D7435">
        <w:t>apply to consents that have commenced before 8 October 2004</w:t>
      </w:r>
      <w:r w:rsidR="00BF5FFA">
        <w:t xml:space="preserve"> (section 43B(4) of the RMA)</w:t>
      </w:r>
      <w:r w:rsidR="00673C12">
        <w:t>.</w:t>
      </w:r>
      <w:r>
        <w:t xml:space="preserve"> </w:t>
      </w:r>
      <w:r w:rsidRPr="007D7435">
        <w:t>The introductio</w:t>
      </w:r>
      <w:r>
        <w:t xml:space="preserve">n of the </w:t>
      </w:r>
      <w:r w:rsidR="00001F9F">
        <w:t>Regulations</w:t>
      </w:r>
      <w:r w:rsidR="003D5D22">
        <w:t xml:space="preserve"> allows</w:t>
      </w:r>
      <w:r>
        <w:t xml:space="preserve"> regional c</w:t>
      </w:r>
      <w:r w:rsidRPr="007D7435">
        <w:t xml:space="preserve">ouncils to review existing consents </w:t>
      </w:r>
      <w:r w:rsidR="00BF5FFA">
        <w:t xml:space="preserve">to </w:t>
      </w:r>
      <w:r w:rsidR="003D5D22">
        <w:t xml:space="preserve">make them </w:t>
      </w:r>
      <w:r w:rsidR="00BF5FFA">
        <w:t xml:space="preserve">become </w:t>
      </w:r>
      <w:r w:rsidR="003D5D22">
        <w:t>‘</w:t>
      </w:r>
      <w:r w:rsidR="00BF5FFA">
        <w:t>as stringent</w:t>
      </w:r>
      <w:r w:rsidR="003D5D22">
        <w:t>’</w:t>
      </w:r>
      <w:r w:rsidR="00BF5FFA">
        <w:t xml:space="preserve"> as the </w:t>
      </w:r>
      <w:r w:rsidR="00BE3D61">
        <w:t>Regulation</w:t>
      </w:r>
      <w:r w:rsidR="00BF5FFA">
        <w:t xml:space="preserve">s </w:t>
      </w:r>
      <w:r w:rsidR="003D5D22">
        <w:t>– see s</w:t>
      </w:r>
      <w:r w:rsidRPr="007D7435">
        <w:t>e</w:t>
      </w:r>
      <w:r w:rsidR="00060071">
        <w:t>ction</w:t>
      </w:r>
      <w:r w:rsidR="00BF5FFA">
        <w:t>s 43B(6) and</w:t>
      </w:r>
      <w:r w:rsidR="00060071">
        <w:t xml:space="preserve"> 128(1)(b</w:t>
      </w:r>
      <w:r>
        <w:t>a) of the RMA.</w:t>
      </w:r>
    </w:p>
    <w:p w14:paraId="26D25F0D" w14:textId="77777777" w:rsidR="000C2627" w:rsidRPr="008A71A2" w:rsidRDefault="000C2627" w:rsidP="0090025D"/>
    <w:p w14:paraId="6F953AA7" w14:textId="77777777" w:rsidR="000C2627" w:rsidRPr="008A71A2" w:rsidRDefault="000C2627" w:rsidP="0090025D">
      <w:r>
        <w:t>Landfills with greater than 5</w:t>
      </w:r>
      <w:r w:rsidR="004C7B6C">
        <w:t>%</w:t>
      </w:r>
      <w:r>
        <w:t xml:space="preserve"> putrescible or biodegradable </w:t>
      </w:r>
      <w:r w:rsidRPr="008A71A2">
        <w:t>matter</w:t>
      </w:r>
      <w:r>
        <w:t xml:space="preserve"> (by weight)</w:t>
      </w:r>
      <w:r w:rsidRPr="008A71A2">
        <w:t xml:space="preserve"> that are over </w:t>
      </w:r>
      <w:r w:rsidR="00673C12">
        <w:br/>
      </w:r>
      <w:r w:rsidRPr="008A71A2">
        <w:t>1 million tonnes in design capacity</w:t>
      </w:r>
      <w:r>
        <w:t>,</w:t>
      </w:r>
      <w:r w:rsidRPr="008A71A2">
        <w:t xml:space="preserve"> </w:t>
      </w:r>
      <w:r>
        <w:t xml:space="preserve">but which do not operate a landfill gas collection and destruction system, </w:t>
      </w:r>
      <w:r w:rsidRPr="008A71A2">
        <w:t>ha</w:t>
      </w:r>
      <w:r>
        <w:t>d</w:t>
      </w:r>
      <w:r w:rsidRPr="008A71A2">
        <w:t xml:space="preserve"> until 8 October 2007 to</w:t>
      </w:r>
      <w:r>
        <w:t xml:space="preserve"> install and commence operation of a system.</w:t>
      </w:r>
    </w:p>
    <w:p w14:paraId="4AF81D11" w14:textId="77777777" w:rsidR="000C2627" w:rsidRDefault="00E71322" w:rsidP="0090025D">
      <w:pPr>
        <w:pStyle w:val="Heading3"/>
      </w:pPr>
      <w:bookmarkStart w:id="316" w:name="_Toc87954659"/>
      <w:bookmarkStart w:id="317" w:name="_Toc222291832"/>
      <w:bookmarkStart w:id="318" w:name="_Toc222292178"/>
      <w:bookmarkStart w:id="319" w:name="_Toc222292266"/>
      <w:bookmarkStart w:id="320" w:name="_Toc242861989"/>
      <w:bookmarkStart w:id="321" w:name="{2A0C8}"/>
      <w:r>
        <w:t>6.7.3</w:t>
      </w:r>
      <w:r>
        <w:tab/>
      </w:r>
      <w:r w:rsidR="000C2627">
        <w:t>What is the impact on new resource consent applications?</w:t>
      </w:r>
      <w:bookmarkEnd w:id="316"/>
      <w:bookmarkEnd w:id="317"/>
      <w:bookmarkEnd w:id="318"/>
      <w:bookmarkEnd w:id="319"/>
      <w:bookmarkEnd w:id="320"/>
    </w:p>
    <w:p w14:paraId="2B7FED85" w14:textId="77777777" w:rsidR="000C2627" w:rsidRPr="007440EF" w:rsidRDefault="000C2627" w:rsidP="0090025D">
      <w:r w:rsidRPr="007440EF">
        <w:t xml:space="preserve">Regional councils will be required to </w:t>
      </w:r>
      <w:r w:rsidR="003D5D22">
        <w:t xml:space="preserve">impose </w:t>
      </w:r>
      <w:r w:rsidRPr="007440EF">
        <w:t>consent conditions requiring the installation of a landfill gas collection and destruction system on any new resource consents granted for landfills with a pro</w:t>
      </w:r>
      <w:r>
        <w:t xml:space="preserve">jected total capacity of over 1 </w:t>
      </w:r>
      <w:r w:rsidRPr="007440EF">
        <w:t>million tonnes, unless the applicant can demonstrate that th</w:t>
      </w:r>
      <w:r>
        <w:t xml:space="preserve">e landfill contains less than </w:t>
      </w:r>
      <w:r w:rsidR="004C7B6C">
        <w:t xml:space="preserve">5% </w:t>
      </w:r>
      <w:r>
        <w:t xml:space="preserve">(by weight) of putrescible or biodegradable </w:t>
      </w:r>
      <w:r w:rsidRPr="007440EF">
        <w:t>matter.</w:t>
      </w:r>
    </w:p>
    <w:p w14:paraId="65C7C0B6" w14:textId="77777777" w:rsidR="00785DB3" w:rsidRDefault="00785DB3" w:rsidP="0090025D"/>
    <w:p w14:paraId="3B38E534" w14:textId="77777777" w:rsidR="00692425" w:rsidRDefault="00785DB3" w:rsidP="0090025D">
      <w:r>
        <w:t>The Climate Change</w:t>
      </w:r>
      <w:r w:rsidR="00692425">
        <w:t xml:space="preserve"> </w:t>
      </w:r>
      <w:r>
        <w:t>Amendment Act 2004 has resulted in the introduction of sections 104E and 104F</w:t>
      </w:r>
      <w:r w:rsidR="00692425">
        <w:t xml:space="preserve"> of the RMA (given in section 6.2).</w:t>
      </w:r>
      <w:bookmarkEnd w:id="321"/>
      <w:r w:rsidR="000C2627">
        <w:t xml:space="preserve"> </w:t>
      </w:r>
    </w:p>
    <w:p w14:paraId="10BDC2A0" w14:textId="77777777" w:rsidR="00692425" w:rsidRDefault="00692425" w:rsidP="0090025D"/>
    <w:p w14:paraId="5AE03995" w14:textId="77777777" w:rsidR="008D57FE" w:rsidRDefault="00692425" w:rsidP="0090025D">
      <w:r>
        <w:t xml:space="preserve">The result of these amendments </w:t>
      </w:r>
      <w:r w:rsidR="003D5D22">
        <w:t>is</w:t>
      </w:r>
      <w:r>
        <w:t xml:space="preserve"> that when </w:t>
      </w:r>
      <w:r w:rsidR="000C2627">
        <w:t xml:space="preserve">deciding on resource consent applications for new landfills, regional councils are not able to impose conditions to control greenhouse gas discharges that vary from those specified in the </w:t>
      </w:r>
      <w:r w:rsidR="00001F9F">
        <w:t>Regulations</w:t>
      </w:r>
      <w:r w:rsidR="000C2627">
        <w:t>.</w:t>
      </w:r>
      <w:r w:rsidR="00060071">
        <w:t xml:space="preserve"> </w:t>
      </w:r>
      <w:r w:rsidR="003110BE">
        <w:t xml:space="preserve">This differs from how other parts of the Regulation are treated.  </w:t>
      </w:r>
    </w:p>
    <w:p w14:paraId="670DF194" w14:textId="77777777" w:rsidR="008D57FE" w:rsidRDefault="008D57FE" w:rsidP="0090025D"/>
    <w:p w14:paraId="1CF99C8D" w14:textId="77777777" w:rsidR="000C2627" w:rsidRDefault="00060071" w:rsidP="0090025D">
      <w:r>
        <w:t xml:space="preserve">Regional councils may </w:t>
      </w:r>
      <w:r w:rsidR="008D57FE">
        <w:t>still</w:t>
      </w:r>
      <w:r>
        <w:t xml:space="preserve"> impose conditions </w:t>
      </w:r>
      <w:r w:rsidR="008D57FE">
        <w:t>for the purposes of</w:t>
      </w:r>
      <w:r>
        <w:t xml:space="preserve"> control</w:t>
      </w:r>
      <w:r w:rsidR="008D57FE">
        <w:t>ling</w:t>
      </w:r>
      <w:r>
        <w:t xml:space="preserve"> odour </w:t>
      </w:r>
      <w:r w:rsidR="008D57FE">
        <w:t>and/</w:t>
      </w:r>
      <w:r>
        <w:t>or methane emissions for health and safety</w:t>
      </w:r>
      <w:r w:rsidR="003D5D22">
        <w:t xml:space="preserve"> reasons</w:t>
      </w:r>
      <w:r>
        <w:t xml:space="preserve">. </w:t>
      </w:r>
    </w:p>
    <w:p w14:paraId="2EF78246" w14:textId="77777777" w:rsidR="000C2627" w:rsidRDefault="00E71322" w:rsidP="0090025D">
      <w:pPr>
        <w:pStyle w:val="Heading3"/>
      </w:pPr>
      <w:bookmarkStart w:id="322" w:name="_Toc78879355"/>
      <w:bookmarkStart w:id="323" w:name="_Toc87954660"/>
      <w:bookmarkStart w:id="324" w:name="_Toc222291833"/>
      <w:bookmarkStart w:id="325" w:name="_Toc222292179"/>
      <w:bookmarkStart w:id="326" w:name="_Toc222292267"/>
      <w:bookmarkStart w:id="327" w:name="_Toc242861990"/>
      <w:r>
        <w:t>6</w:t>
      </w:r>
      <w:r w:rsidR="000C2627" w:rsidRPr="008257DA">
        <w:t>.7.4</w:t>
      </w:r>
      <w:r w:rsidR="000C2627">
        <w:tab/>
        <w:t>What is the impact on regional plans?</w:t>
      </w:r>
      <w:bookmarkEnd w:id="322"/>
      <w:bookmarkEnd w:id="323"/>
      <w:bookmarkEnd w:id="324"/>
      <w:bookmarkEnd w:id="325"/>
      <w:bookmarkEnd w:id="326"/>
      <w:bookmarkEnd w:id="327"/>
    </w:p>
    <w:p w14:paraId="684D81FB" w14:textId="77777777" w:rsidR="00785DB3" w:rsidRDefault="00785DB3" w:rsidP="0090025D">
      <w:bookmarkStart w:id="328" w:name="_Toc76443455"/>
      <w:r>
        <w:t xml:space="preserve">The Climate Change Amendment Act 2004 </w:t>
      </w:r>
      <w:r w:rsidR="003D5D22">
        <w:t>introduced</w:t>
      </w:r>
      <w:r>
        <w:t xml:space="preserve"> sections 70A and 70B</w:t>
      </w:r>
      <w:r w:rsidR="003D5D22">
        <w:t xml:space="preserve"> to</w:t>
      </w:r>
      <w:r w:rsidR="003110BE">
        <w:t xml:space="preserve"> the RMA</w:t>
      </w:r>
      <w:r w:rsidR="00692425">
        <w:t xml:space="preserve"> (given in section </w:t>
      </w:r>
      <w:r w:rsidR="00692425" w:rsidRPr="00C42416">
        <w:t>6.2</w:t>
      </w:r>
      <w:r w:rsidR="00692425">
        <w:t>).</w:t>
      </w:r>
    </w:p>
    <w:p w14:paraId="00807020" w14:textId="77777777" w:rsidR="00692425" w:rsidRDefault="00692425" w:rsidP="0090025D"/>
    <w:p w14:paraId="5A5A2B5A" w14:textId="77777777" w:rsidR="003110BE" w:rsidRDefault="00BF5FFA" w:rsidP="0090025D">
      <w:r>
        <w:t>These sections of the RMA mean that regional rules when considered within the context of the Regulations are applied differently for the control of greenhouse gas emissions from landfill gas in comparison to other parts of the Regulation. That is, regional rules cannot be more restrictive (</w:t>
      </w:r>
      <w:r w:rsidR="003110BE">
        <w:t xml:space="preserve">as allowed for by </w:t>
      </w:r>
      <w:r>
        <w:t>Regulation 28</w:t>
      </w:r>
      <w:r w:rsidR="003110BE">
        <w:t>) when applied to greenhouse g</w:t>
      </w:r>
      <w:r w:rsidR="00673C12">
        <w:t>as emissions from landfill gas.</w:t>
      </w:r>
      <w:r w:rsidR="003110BE">
        <w:t xml:space="preserve"> Regional councils must therefore amend any regional rules relating to greenhouse gas emissions from landfill gas as soon as practicable (section </w:t>
      </w:r>
      <w:r w:rsidR="00B01AC8">
        <w:t>44A of the RMA)</w:t>
      </w:r>
      <w:r w:rsidR="003110BE">
        <w:t>.</w:t>
      </w:r>
    </w:p>
    <w:p w14:paraId="503E1095" w14:textId="77777777" w:rsidR="00BF5FFA" w:rsidRDefault="003110BE" w:rsidP="0090025D">
      <w:r>
        <w:t xml:space="preserve">Regional councils may </w:t>
      </w:r>
      <w:r w:rsidR="008D57FE">
        <w:t xml:space="preserve">still </w:t>
      </w:r>
      <w:r>
        <w:t>however</w:t>
      </w:r>
      <w:r w:rsidR="00C81F7B">
        <w:t>,</w:t>
      </w:r>
      <w:r>
        <w:t xml:space="preserve"> have regional rules </w:t>
      </w:r>
      <w:r w:rsidR="008D57FE">
        <w:t>for the purposes of</w:t>
      </w:r>
      <w:r>
        <w:t xml:space="preserve"> control</w:t>
      </w:r>
      <w:r w:rsidR="008D57FE">
        <w:t xml:space="preserve">ling </w:t>
      </w:r>
      <w:r>
        <w:t xml:space="preserve">odour </w:t>
      </w:r>
      <w:r w:rsidR="008D57FE">
        <w:t>and/</w:t>
      </w:r>
      <w:r>
        <w:t>or methane emissions for health and safety</w:t>
      </w:r>
      <w:r w:rsidR="003D5D22">
        <w:t xml:space="preserve"> reasons</w:t>
      </w:r>
      <w:r>
        <w:t>.</w:t>
      </w:r>
      <w:r w:rsidR="00B01AC8">
        <w:t xml:space="preserve"> To avoid doubt, regional councils should indicate in their regional plans what their rules relating to </w:t>
      </w:r>
      <w:r w:rsidR="00A5264D">
        <w:t>landfill gas emissions are for (eg, greenhouse gas emission, odour or health and safety</w:t>
      </w:r>
      <w:r w:rsidR="003D5D22">
        <w:t xml:space="preserve"> reasons</w:t>
      </w:r>
      <w:r w:rsidR="00A5264D">
        <w:t>).</w:t>
      </w:r>
    </w:p>
    <w:p w14:paraId="780F1737" w14:textId="77777777" w:rsidR="00F003D7" w:rsidRDefault="00F003D7" w:rsidP="0090025D"/>
    <w:p w14:paraId="75FA992E" w14:textId="77777777" w:rsidR="004B0B50" w:rsidRPr="00731020" w:rsidRDefault="004B0B50" w:rsidP="0090025D">
      <w:pPr>
        <w:pStyle w:val="Heading2"/>
      </w:pPr>
      <w:bookmarkStart w:id="329" w:name="_Toc300856639"/>
      <w:r>
        <w:t>6.8</w:t>
      </w:r>
      <w:r>
        <w:tab/>
        <w:t>Enforcement</w:t>
      </w:r>
      <w:bookmarkEnd w:id="329"/>
    </w:p>
    <w:p w14:paraId="29D371D3" w14:textId="77777777" w:rsidR="004B0B50" w:rsidRDefault="004B0B50" w:rsidP="0090025D">
      <w:r w:rsidRPr="00234369">
        <w:t xml:space="preserve">Any person who discharges </w:t>
      </w:r>
      <w:r>
        <w:t xml:space="preserve">landfill gas that is not in compliance with the requirements of Regulations 25 to 27 </w:t>
      </w:r>
      <w:r w:rsidRPr="00234369">
        <w:t>could be subject to enforcement action from the regional council in accordance with the enforcement provisions of the RMA</w:t>
      </w:r>
      <w:r w:rsidR="00FF1B4A">
        <w:t>.</w:t>
      </w:r>
      <w:r>
        <w:t xml:space="preserve"> These provisions are discussed in more detail in section </w:t>
      </w:r>
      <w:r w:rsidRPr="00C42416">
        <w:t>2.4.</w:t>
      </w:r>
    </w:p>
    <w:p w14:paraId="2FC265B9" w14:textId="77777777" w:rsidR="004B0B50" w:rsidRDefault="004B0B50" w:rsidP="0090025D"/>
    <w:p w14:paraId="4FC53B47" w14:textId="77777777" w:rsidR="004B0B50" w:rsidRPr="008A1AB7" w:rsidRDefault="004B0B50" w:rsidP="0090025D">
      <w:pPr>
        <w:rPr>
          <w:sz w:val="20"/>
        </w:rPr>
      </w:pPr>
      <w:r w:rsidRPr="008A1AB7">
        <w:t>In addition to this, section 44A(8) of the RMA now requires</w:t>
      </w:r>
      <w:r>
        <w:t xml:space="preserve"> that</w:t>
      </w:r>
      <w:r w:rsidRPr="008A1AB7">
        <w:t xml:space="preserve"> </w:t>
      </w:r>
      <w:r w:rsidRPr="00C42416">
        <w:t>‘</w:t>
      </w:r>
      <w:r w:rsidRPr="00F003D7">
        <w:rPr>
          <w:i/>
        </w:rPr>
        <w:t>every local authority and consent authority must enforce the observance of national environmental standards to the extent to which their powers enable them to do so</w:t>
      </w:r>
      <w:r w:rsidRPr="00C42416">
        <w:t>’.</w:t>
      </w:r>
    </w:p>
    <w:p w14:paraId="5C800129" w14:textId="77777777" w:rsidR="004B0B50" w:rsidRPr="008A1AB7" w:rsidRDefault="004B0B50" w:rsidP="0090025D"/>
    <w:p w14:paraId="35B97117" w14:textId="77777777" w:rsidR="004B0B50" w:rsidRDefault="004B0B50" w:rsidP="0090025D">
      <w:r w:rsidRPr="008A1AB7">
        <w:t xml:space="preserve">There is therefore, an obligation on regional councils to enforce </w:t>
      </w:r>
      <w:r>
        <w:t xml:space="preserve">the landfill gas standards </w:t>
      </w:r>
      <w:r w:rsidRPr="008A1AB7">
        <w:t xml:space="preserve">and the </w:t>
      </w:r>
      <w:r w:rsidR="00BE3D61">
        <w:t>Regulation</w:t>
      </w:r>
      <w:r>
        <w:t>s</w:t>
      </w:r>
      <w:r w:rsidRPr="008A1AB7">
        <w:t>.</w:t>
      </w:r>
    </w:p>
    <w:p w14:paraId="2634481D" w14:textId="77777777" w:rsidR="00F003D7" w:rsidRDefault="00F003D7" w:rsidP="0090025D"/>
    <w:p w14:paraId="3EBF4253" w14:textId="77777777" w:rsidR="000C2627" w:rsidRPr="000A61B9" w:rsidRDefault="00E71322" w:rsidP="0090025D">
      <w:pPr>
        <w:pStyle w:val="Heading2"/>
      </w:pPr>
      <w:bookmarkStart w:id="330" w:name="_Toc78879359"/>
      <w:bookmarkStart w:id="331" w:name="_Toc87954661"/>
      <w:bookmarkStart w:id="332" w:name="_Toc222291834"/>
      <w:bookmarkStart w:id="333" w:name="_Toc222292180"/>
      <w:bookmarkStart w:id="334" w:name="_Toc222292268"/>
      <w:bookmarkStart w:id="335" w:name="_Toc242861991"/>
      <w:bookmarkStart w:id="336" w:name="_Toc300856640"/>
      <w:bookmarkEnd w:id="328"/>
      <w:r>
        <w:t>6</w:t>
      </w:r>
      <w:r w:rsidR="000C2627" w:rsidRPr="008257DA">
        <w:t>.</w:t>
      </w:r>
      <w:r w:rsidR="004B0B50">
        <w:t>9</w:t>
      </w:r>
      <w:r w:rsidR="000C2627">
        <w:tab/>
      </w:r>
      <w:r w:rsidR="000C2627" w:rsidRPr="000A61B9">
        <w:t>Reporting requirements</w:t>
      </w:r>
      <w:bookmarkEnd w:id="330"/>
      <w:bookmarkEnd w:id="331"/>
      <w:bookmarkEnd w:id="332"/>
      <w:bookmarkEnd w:id="333"/>
      <w:bookmarkEnd w:id="334"/>
      <w:bookmarkEnd w:id="335"/>
      <w:bookmarkEnd w:id="336"/>
    </w:p>
    <w:p w14:paraId="4A60300F" w14:textId="77777777" w:rsidR="000C2627" w:rsidRDefault="000C2627" w:rsidP="0090025D">
      <w:r>
        <w:t>The standards do not require the reporting of landfill gas monitoring information to the Ministry for the Environment.</w:t>
      </w:r>
    </w:p>
    <w:p w14:paraId="67209B58" w14:textId="77777777" w:rsidR="006507FD" w:rsidRDefault="006507FD" w:rsidP="0090025D"/>
    <w:p w14:paraId="68F46E63" w14:textId="77777777" w:rsidR="006507FD" w:rsidRDefault="006507FD" w:rsidP="0090025D">
      <w:r>
        <w:t>The Minister for the Environment may, under section 27 of the RMA, request information on the implementation of the Regulations from region</w:t>
      </w:r>
      <w:r w:rsidR="00AE6CE7">
        <w:t xml:space="preserve">al councils at any time. </w:t>
      </w:r>
      <w:r>
        <w:t>Councils have 20 working days to respond.</w:t>
      </w:r>
    </w:p>
    <w:p w14:paraId="043BA9A1" w14:textId="77777777" w:rsidR="006507FD" w:rsidRDefault="006507FD" w:rsidP="0090025D">
      <w:pPr>
        <w:sectPr w:rsidR="006507FD">
          <w:pgSz w:w="11907" w:h="16840" w:code="9"/>
          <w:pgMar w:top="1701" w:right="1418" w:bottom="1701" w:left="1418" w:header="567" w:footer="567" w:gutter="567"/>
          <w:cols w:space="720"/>
        </w:sectPr>
      </w:pPr>
    </w:p>
    <w:p w14:paraId="7FE73AE9" w14:textId="77777777" w:rsidR="00794448" w:rsidRPr="005267D4" w:rsidRDefault="00794448" w:rsidP="0090025D">
      <w:pPr>
        <w:pStyle w:val="Heading1"/>
      </w:pPr>
      <w:bookmarkStart w:id="337" w:name="_Toc214704940"/>
      <w:bookmarkStart w:id="338" w:name="_Toc300856641"/>
      <w:bookmarkStart w:id="339" w:name="_Toc174765997"/>
      <w:r w:rsidRPr="005267D4">
        <w:t>Glossary</w:t>
      </w:r>
      <w:bookmarkEnd w:id="337"/>
      <w:bookmarkEnd w:id="338"/>
    </w:p>
    <w:p w14:paraId="64CBEA0A" w14:textId="77777777" w:rsidR="00DA5D6D" w:rsidRPr="002453F7" w:rsidRDefault="00DA5D6D" w:rsidP="00986681">
      <w:pPr>
        <w:ind w:left="2775" w:hanging="2775"/>
        <w:rPr>
          <w:sz w:val="20"/>
        </w:rPr>
      </w:pPr>
      <w:r w:rsidRPr="002453F7">
        <w:rPr>
          <w:b/>
          <w:sz w:val="20"/>
        </w:rPr>
        <w:t>12-month period</w:t>
      </w:r>
      <w:r w:rsidRPr="002453F7">
        <w:rPr>
          <w:b/>
          <w:sz w:val="20"/>
        </w:rPr>
        <w:tab/>
      </w:r>
      <w:r w:rsidRPr="002453F7">
        <w:rPr>
          <w:sz w:val="20"/>
        </w:rPr>
        <w:t xml:space="preserve">a rolling consecutive 12 month period that does not necessarily relate to a calendar year </w:t>
      </w:r>
    </w:p>
    <w:p w14:paraId="7DDE62F6" w14:textId="77777777" w:rsidR="00DA5D6D" w:rsidRPr="002453F7" w:rsidRDefault="00DA5D6D" w:rsidP="0090025D">
      <w:pPr>
        <w:pStyle w:val="Glossary"/>
        <w:rPr>
          <w:sz w:val="20"/>
        </w:rPr>
      </w:pPr>
    </w:p>
    <w:p w14:paraId="578775B2" w14:textId="77777777" w:rsidR="007019E8" w:rsidRPr="002453F7" w:rsidRDefault="00C714CE" w:rsidP="0090025D">
      <w:pPr>
        <w:pStyle w:val="Glossary"/>
        <w:rPr>
          <w:b/>
          <w:sz w:val="20"/>
        </w:rPr>
      </w:pPr>
      <w:r w:rsidRPr="002453F7">
        <w:rPr>
          <w:b/>
          <w:sz w:val="20"/>
        </w:rPr>
        <w:t>acute</w:t>
      </w:r>
      <w:r w:rsidR="007019E8" w:rsidRPr="002453F7">
        <w:rPr>
          <w:b/>
          <w:sz w:val="20"/>
        </w:rPr>
        <w:tab/>
      </w:r>
      <w:r w:rsidR="00986681">
        <w:rPr>
          <w:sz w:val="20"/>
        </w:rPr>
        <w:t>short-</w:t>
      </w:r>
      <w:r w:rsidR="007019E8" w:rsidRPr="002453F7">
        <w:rPr>
          <w:sz w:val="20"/>
        </w:rPr>
        <w:t>term exposure, eg, 1-hour</w:t>
      </w:r>
    </w:p>
    <w:p w14:paraId="02BB1119" w14:textId="77777777" w:rsidR="007019E8" w:rsidRPr="002453F7" w:rsidRDefault="007019E8" w:rsidP="0090025D">
      <w:pPr>
        <w:pStyle w:val="Glossary"/>
        <w:rPr>
          <w:sz w:val="20"/>
        </w:rPr>
      </w:pPr>
    </w:p>
    <w:p w14:paraId="5D8BA0FB" w14:textId="77777777" w:rsidR="007019E8" w:rsidRPr="002453F7" w:rsidRDefault="00C714CE" w:rsidP="0090025D">
      <w:pPr>
        <w:pStyle w:val="Glossary"/>
        <w:rPr>
          <w:sz w:val="20"/>
        </w:rPr>
      </w:pPr>
      <w:r w:rsidRPr="002453F7">
        <w:rPr>
          <w:b/>
          <w:sz w:val="20"/>
        </w:rPr>
        <w:t>airshed</w:t>
      </w:r>
      <w:r w:rsidR="007019E8" w:rsidRPr="002453F7">
        <w:rPr>
          <w:b/>
          <w:sz w:val="20"/>
        </w:rPr>
        <w:tab/>
      </w:r>
      <w:r w:rsidR="009B3A00" w:rsidRPr="002453F7">
        <w:rPr>
          <w:sz w:val="20"/>
        </w:rPr>
        <w:t xml:space="preserve">an </w:t>
      </w:r>
      <w:r w:rsidR="007019E8" w:rsidRPr="002453F7">
        <w:rPr>
          <w:sz w:val="20"/>
        </w:rPr>
        <w:t>area designated by a regional council for the purposes of managing air quality and gazetted by the Minister</w:t>
      </w:r>
    </w:p>
    <w:p w14:paraId="50ABA02A" w14:textId="77777777" w:rsidR="007019E8" w:rsidRPr="002453F7" w:rsidRDefault="007019E8" w:rsidP="0090025D">
      <w:pPr>
        <w:pStyle w:val="Glossary"/>
        <w:rPr>
          <w:sz w:val="20"/>
        </w:rPr>
      </w:pPr>
    </w:p>
    <w:p w14:paraId="632C5A13" w14:textId="77777777" w:rsidR="007019E8" w:rsidRPr="002453F7" w:rsidRDefault="00C714CE" w:rsidP="0090025D">
      <w:pPr>
        <w:pStyle w:val="Glossary"/>
        <w:rPr>
          <w:sz w:val="20"/>
        </w:rPr>
      </w:pPr>
      <w:r w:rsidRPr="002453F7">
        <w:rPr>
          <w:b/>
          <w:sz w:val="20"/>
        </w:rPr>
        <w:t xml:space="preserve">ambient </w:t>
      </w:r>
      <w:r w:rsidR="002D2E23" w:rsidRPr="002453F7">
        <w:rPr>
          <w:b/>
          <w:sz w:val="20"/>
        </w:rPr>
        <w:t>pollutant</w:t>
      </w:r>
      <w:r w:rsidR="007019E8" w:rsidRPr="002453F7">
        <w:rPr>
          <w:b/>
          <w:sz w:val="20"/>
        </w:rPr>
        <w:tab/>
      </w:r>
      <w:r w:rsidR="002D2E23" w:rsidRPr="002453F7">
        <w:rPr>
          <w:sz w:val="20"/>
        </w:rPr>
        <w:t>a pollutant in the air outside particularly used in reference to CO, NO</w:t>
      </w:r>
      <w:r w:rsidR="002D2E23" w:rsidRPr="002453F7">
        <w:rPr>
          <w:sz w:val="20"/>
          <w:vertAlign w:val="subscript"/>
        </w:rPr>
        <w:t>2</w:t>
      </w:r>
      <w:r w:rsidR="002D2E23" w:rsidRPr="002453F7">
        <w:rPr>
          <w:sz w:val="20"/>
        </w:rPr>
        <w:t>, O</w:t>
      </w:r>
      <w:r w:rsidR="002D2E23" w:rsidRPr="002453F7">
        <w:rPr>
          <w:sz w:val="20"/>
          <w:vertAlign w:val="subscript"/>
        </w:rPr>
        <w:t>3</w:t>
      </w:r>
      <w:r w:rsidR="002D2E23" w:rsidRPr="002453F7">
        <w:rPr>
          <w:sz w:val="20"/>
        </w:rPr>
        <w:t>, SO</w:t>
      </w:r>
      <w:r w:rsidR="002D2E23" w:rsidRPr="002453F7">
        <w:rPr>
          <w:sz w:val="20"/>
          <w:vertAlign w:val="subscript"/>
        </w:rPr>
        <w:t>2</w:t>
      </w:r>
      <w:r w:rsidR="002D2E23" w:rsidRPr="002453F7">
        <w:rPr>
          <w:sz w:val="20"/>
        </w:rPr>
        <w:t xml:space="preserve"> and PM</w:t>
      </w:r>
    </w:p>
    <w:p w14:paraId="37887D8B" w14:textId="77777777" w:rsidR="00904545" w:rsidRPr="002453F7" w:rsidRDefault="00904545" w:rsidP="0090025D">
      <w:pPr>
        <w:pStyle w:val="Glossary"/>
        <w:rPr>
          <w:sz w:val="20"/>
        </w:rPr>
      </w:pPr>
    </w:p>
    <w:p w14:paraId="0A4513E4" w14:textId="77777777" w:rsidR="002F258D" w:rsidRPr="002453F7" w:rsidRDefault="002F258D" w:rsidP="0090025D">
      <w:pPr>
        <w:pStyle w:val="Glossary"/>
        <w:rPr>
          <w:b/>
          <w:sz w:val="20"/>
        </w:rPr>
      </w:pPr>
      <w:r w:rsidRPr="002453F7">
        <w:rPr>
          <w:b/>
          <w:sz w:val="20"/>
        </w:rPr>
        <w:t>ARC</w:t>
      </w:r>
      <w:r w:rsidRPr="002453F7">
        <w:rPr>
          <w:b/>
          <w:sz w:val="20"/>
        </w:rPr>
        <w:tab/>
      </w:r>
      <w:r w:rsidRPr="002453F7">
        <w:rPr>
          <w:sz w:val="20"/>
        </w:rPr>
        <w:t>the previous Auckland Regional Council now part of Auckland Council</w:t>
      </w:r>
    </w:p>
    <w:p w14:paraId="1718D5DE" w14:textId="77777777" w:rsidR="002F258D" w:rsidRPr="002453F7" w:rsidRDefault="002F258D" w:rsidP="0090025D">
      <w:pPr>
        <w:pStyle w:val="Glossary"/>
        <w:rPr>
          <w:sz w:val="20"/>
        </w:rPr>
      </w:pPr>
    </w:p>
    <w:p w14:paraId="2ED1566E" w14:textId="77777777" w:rsidR="007019E8" w:rsidRPr="002453F7" w:rsidRDefault="00C714CE" w:rsidP="0090025D">
      <w:pPr>
        <w:pStyle w:val="Glossary"/>
        <w:rPr>
          <w:sz w:val="20"/>
        </w:rPr>
      </w:pPr>
      <w:r w:rsidRPr="002453F7">
        <w:rPr>
          <w:b/>
          <w:sz w:val="20"/>
        </w:rPr>
        <w:t>breach</w:t>
      </w:r>
      <w:r w:rsidR="007019E8" w:rsidRPr="002453F7">
        <w:rPr>
          <w:b/>
          <w:sz w:val="20"/>
        </w:rPr>
        <w:tab/>
      </w:r>
      <w:r w:rsidR="00DA5D6D" w:rsidRPr="002453F7">
        <w:rPr>
          <w:sz w:val="20"/>
        </w:rPr>
        <w:t>first exceedance of an ambient standard above the number of permissible exceedances in any 12-month period</w:t>
      </w:r>
    </w:p>
    <w:p w14:paraId="2FED76F4" w14:textId="77777777" w:rsidR="007019E8" w:rsidRPr="002453F7" w:rsidRDefault="007019E8" w:rsidP="0090025D">
      <w:pPr>
        <w:pStyle w:val="Glossary"/>
        <w:rPr>
          <w:sz w:val="20"/>
        </w:rPr>
      </w:pPr>
    </w:p>
    <w:p w14:paraId="43F942EF" w14:textId="77777777" w:rsidR="007019E8" w:rsidRPr="002453F7" w:rsidRDefault="00C714CE" w:rsidP="0090025D">
      <w:pPr>
        <w:pStyle w:val="Glossary"/>
        <w:rPr>
          <w:sz w:val="20"/>
        </w:rPr>
      </w:pPr>
      <w:r w:rsidRPr="002453F7">
        <w:rPr>
          <w:b/>
          <w:sz w:val="20"/>
        </w:rPr>
        <w:t xml:space="preserve">breaching </w:t>
      </w:r>
      <w:r w:rsidR="007019E8" w:rsidRPr="002453F7">
        <w:rPr>
          <w:b/>
          <w:sz w:val="20"/>
        </w:rPr>
        <w:t>airshed</w:t>
      </w:r>
      <w:r w:rsidR="007019E8" w:rsidRPr="002453F7">
        <w:rPr>
          <w:b/>
          <w:sz w:val="20"/>
        </w:rPr>
        <w:tab/>
      </w:r>
      <w:r w:rsidR="0024434A" w:rsidRPr="002453F7">
        <w:rPr>
          <w:sz w:val="20"/>
        </w:rPr>
        <w:t>a</w:t>
      </w:r>
      <w:r w:rsidR="007019E8" w:rsidRPr="002453F7">
        <w:rPr>
          <w:sz w:val="20"/>
        </w:rPr>
        <w:t>n airshed that has recorded a breach of any ambi</w:t>
      </w:r>
      <w:r w:rsidR="0024434A" w:rsidRPr="002453F7">
        <w:rPr>
          <w:sz w:val="20"/>
        </w:rPr>
        <w:t>ent standard in the Regulations</w:t>
      </w:r>
      <w:r w:rsidR="007019E8" w:rsidRPr="002453F7">
        <w:rPr>
          <w:sz w:val="20"/>
        </w:rPr>
        <w:t xml:space="preserve"> </w:t>
      </w:r>
    </w:p>
    <w:p w14:paraId="4C89B1ED" w14:textId="77777777" w:rsidR="007019E8" w:rsidRPr="002453F7" w:rsidRDefault="007019E8" w:rsidP="0090025D">
      <w:pPr>
        <w:pStyle w:val="Glossary"/>
        <w:rPr>
          <w:sz w:val="20"/>
        </w:rPr>
      </w:pPr>
    </w:p>
    <w:p w14:paraId="597BA88A" w14:textId="77777777" w:rsidR="007019E8" w:rsidRPr="002453F7" w:rsidRDefault="00C714CE" w:rsidP="0090025D">
      <w:pPr>
        <w:pStyle w:val="Glossary"/>
        <w:rPr>
          <w:b/>
          <w:sz w:val="20"/>
        </w:rPr>
      </w:pPr>
      <w:r w:rsidRPr="002453F7">
        <w:rPr>
          <w:b/>
          <w:sz w:val="20"/>
        </w:rPr>
        <w:t>chronic</w:t>
      </w:r>
      <w:r w:rsidR="007019E8" w:rsidRPr="002453F7">
        <w:rPr>
          <w:b/>
          <w:sz w:val="20"/>
        </w:rPr>
        <w:tab/>
      </w:r>
      <w:r w:rsidR="007019E8" w:rsidRPr="002453F7">
        <w:rPr>
          <w:sz w:val="20"/>
        </w:rPr>
        <w:t>long term exposure, eg, annual</w:t>
      </w:r>
    </w:p>
    <w:p w14:paraId="77FD8EFF" w14:textId="77777777" w:rsidR="007019E8" w:rsidRPr="002453F7" w:rsidRDefault="007019E8" w:rsidP="0090025D">
      <w:pPr>
        <w:pStyle w:val="Glossary"/>
        <w:rPr>
          <w:sz w:val="20"/>
        </w:rPr>
      </w:pPr>
    </w:p>
    <w:p w14:paraId="5563B6CF" w14:textId="77777777" w:rsidR="007019E8" w:rsidRPr="002453F7" w:rsidRDefault="007019E8" w:rsidP="0090025D">
      <w:pPr>
        <w:pStyle w:val="Glossary"/>
        <w:rPr>
          <w:b/>
          <w:sz w:val="20"/>
        </w:rPr>
      </w:pPr>
      <w:r w:rsidRPr="002453F7">
        <w:rPr>
          <w:b/>
          <w:sz w:val="20"/>
        </w:rPr>
        <w:t>Climate Change Amendment Act</w:t>
      </w:r>
      <w:r w:rsidR="00C714CE" w:rsidRPr="002453F7">
        <w:rPr>
          <w:b/>
          <w:sz w:val="20"/>
        </w:rPr>
        <w:tab/>
      </w:r>
      <w:r w:rsidRPr="002453F7">
        <w:rPr>
          <w:sz w:val="20"/>
        </w:rPr>
        <w:t>Resource Management (Energy and Climate Change) Amendment Act 2004</w:t>
      </w:r>
    </w:p>
    <w:p w14:paraId="6D690BDF" w14:textId="77777777" w:rsidR="007019E8" w:rsidRPr="002453F7" w:rsidRDefault="007019E8" w:rsidP="0090025D">
      <w:pPr>
        <w:pStyle w:val="Glossary"/>
        <w:rPr>
          <w:sz w:val="20"/>
        </w:rPr>
      </w:pPr>
    </w:p>
    <w:p w14:paraId="71F960B2" w14:textId="77777777" w:rsidR="007019E8" w:rsidRPr="002453F7" w:rsidRDefault="007019E8" w:rsidP="0090025D">
      <w:pPr>
        <w:pStyle w:val="Glossary"/>
        <w:rPr>
          <w:sz w:val="20"/>
        </w:rPr>
      </w:pPr>
      <w:r w:rsidRPr="002453F7">
        <w:rPr>
          <w:b/>
          <w:sz w:val="20"/>
        </w:rPr>
        <w:t>CO</w:t>
      </w:r>
      <w:r w:rsidRPr="002453F7">
        <w:rPr>
          <w:b/>
          <w:sz w:val="20"/>
        </w:rPr>
        <w:tab/>
      </w:r>
      <w:r w:rsidRPr="002453F7">
        <w:rPr>
          <w:sz w:val="20"/>
        </w:rPr>
        <w:t>carbon monoxide</w:t>
      </w:r>
    </w:p>
    <w:p w14:paraId="06FF8215" w14:textId="77777777" w:rsidR="007019E8" w:rsidRPr="002453F7" w:rsidRDefault="007019E8" w:rsidP="0090025D">
      <w:pPr>
        <w:pStyle w:val="Glossary"/>
        <w:rPr>
          <w:sz w:val="20"/>
        </w:rPr>
      </w:pPr>
    </w:p>
    <w:p w14:paraId="132E0505" w14:textId="77777777" w:rsidR="00DA5D6D" w:rsidRPr="002453F7" w:rsidRDefault="00DA5D6D" w:rsidP="0090025D">
      <w:pPr>
        <w:pStyle w:val="Glossary"/>
        <w:rPr>
          <w:sz w:val="20"/>
        </w:rPr>
      </w:pPr>
      <w:r w:rsidRPr="002453F7">
        <w:rPr>
          <w:b/>
          <w:sz w:val="20"/>
        </w:rPr>
        <w:t>coal burning heater</w:t>
      </w:r>
      <w:r w:rsidRPr="002453F7">
        <w:rPr>
          <w:sz w:val="20"/>
        </w:rPr>
        <w:tab/>
        <w:t>a domestic fire designed primarily for burning coal</w:t>
      </w:r>
    </w:p>
    <w:p w14:paraId="67835CCB" w14:textId="77777777" w:rsidR="00DA5D6D" w:rsidRPr="002453F7" w:rsidRDefault="00DA5D6D" w:rsidP="0090025D">
      <w:pPr>
        <w:pStyle w:val="Glossary"/>
        <w:rPr>
          <w:sz w:val="20"/>
        </w:rPr>
      </w:pPr>
    </w:p>
    <w:p w14:paraId="358BB8A1" w14:textId="77777777" w:rsidR="007019E8" w:rsidRPr="002453F7" w:rsidRDefault="009B3A00" w:rsidP="0090025D">
      <w:pPr>
        <w:pStyle w:val="Glossary"/>
        <w:rPr>
          <w:sz w:val="20"/>
        </w:rPr>
      </w:pPr>
      <w:r w:rsidRPr="002453F7">
        <w:rPr>
          <w:b/>
          <w:sz w:val="20"/>
        </w:rPr>
        <w:t xml:space="preserve">compliance </w:t>
      </w:r>
      <w:r w:rsidR="007019E8" w:rsidRPr="002453F7">
        <w:rPr>
          <w:b/>
          <w:sz w:val="20"/>
        </w:rPr>
        <w:tab/>
      </w:r>
      <w:r w:rsidR="008C21E1" w:rsidRPr="002453F7">
        <w:rPr>
          <w:sz w:val="20"/>
        </w:rPr>
        <w:t xml:space="preserve">a </w:t>
      </w:r>
      <w:r w:rsidR="007019E8" w:rsidRPr="002453F7">
        <w:rPr>
          <w:sz w:val="20"/>
        </w:rPr>
        <w:t xml:space="preserve">range of activities usually carried out by agencies with </w:t>
      </w:r>
      <w:r w:rsidRPr="002453F7">
        <w:rPr>
          <w:sz w:val="20"/>
        </w:rPr>
        <w:t xml:space="preserve">regulatory </w:t>
      </w:r>
      <w:r w:rsidR="007019E8" w:rsidRPr="002453F7">
        <w:rPr>
          <w:sz w:val="20"/>
        </w:rPr>
        <w:t>functions to ensure people and other organisations adhere to rules and regulations for the public good</w:t>
      </w:r>
    </w:p>
    <w:p w14:paraId="4C36CD02" w14:textId="77777777" w:rsidR="007019E8" w:rsidRPr="002453F7" w:rsidRDefault="007019E8" w:rsidP="0090025D">
      <w:pPr>
        <w:pStyle w:val="Glossary"/>
        <w:rPr>
          <w:sz w:val="20"/>
        </w:rPr>
      </w:pPr>
    </w:p>
    <w:p w14:paraId="6D639B5E" w14:textId="77777777" w:rsidR="007019E8" w:rsidRPr="002453F7" w:rsidRDefault="009B3A00" w:rsidP="0090025D">
      <w:pPr>
        <w:pStyle w:val="Glossary"/>
        <w:rPr>
          <w:b/>
          <w:sz w:val="20"/>
        </w:rPr>
      </w:pPr>
      <w:r w:rsidRPr="002453F7">
        <w:rPr>
          <w:b/>
          <w:sz w:val="20"/>
        </w:rPr>
        <w:t xml:space="preserve">cooking </w:t>
      </w:r>
      <w:r w:rsidR="007019E8" w:rsidRPr="002453F7">
        <w:rPr>
          <w:b/>
          <w:sz w:val="20"/>
        </w:rPr>
        <w:t>stove</w:t>
      </w:r>
      <w:r w:rsidR="007019E8" w:rsidRPr="002453F7">
        <w:rPr>
          <w:b/>
          <w:sz w:val="20"/>
        </w:rPr>
        <w:tab/>
      </w:r>
      <w:r w:rsidRPr="002453F7">
        <w:rPr>
          <w:sz w:val="20"/>
        </w:rPr>
        <w:t>a stove heated by any fuel used primarily for cooking</w:t>
      </w:r>
    </w:p>
    <w:p w14:paraId="214C5698" w14:textId="77777777" w:rsidR="007019E8" w:rsidRPr="002453F7" w:rsidRDefault="007019E8" w:rsidP="0090025D">
      <w:pPr>
        <w:pStyle w:val="Glossary"/>
        <w:rPr>
          <w:sz w:val="20"/>
        </w:rPr>
      </w:pPr>
    </w:p>
    <w:p w14:paraId="08A2B8FF" w14:textId="77777777" w:rsidR="007019E8" w:rsidRPr="002453F7" w:rsidRDefault="009B3A00" w:rsidP="0090025D">
      <w:pPr>
        <w:pStyle w:val="Glossary"/>
        <w:rPr>
          <w:b/>
          <w:sz w:val="20"/>
        </w:rPr>
      </w:pPr>
      <w:r w:rsidRPr="002453F7">
        <w:rPr>
          <w:b/>
          <w:sz w:val="20"/>
        </w:rPr>
        <w:t xml:space="preserve">domestic </w:t>
      </w:r>
      <w:r w:rsidR="007019E8" w:rsidRPr="002453F7">
        <w:rPr>
          <w:b/>
          <w:sz w:val="20"/>
        </w:rPr>
        <w:t>fire</w:t>
      </w:r>
      <w:r w:rsidR="007019E8" w:rsidRPr="002453F7">
        <w:rPr>
          <w:b/>
          <w:sz w:val="20"/>
        </w:rPr>
        <w:tab/>
      </w:r>
      <w:r w:rsidR="00DA5D6D" w:rsidRPr="002453F7">
        <w:rPr>
          <w:sz w:val="20"/>
        </w:rPr>
        <w:t>a combustion</w:t>
      </w:r>
      <w:r w:rsidR="007019E8" w:rsidRPr="002453F7">
        <w:rPr>
          <w:sz w:val="20"/>
        </w:rPr>
        <w:t xml:space="preserve"> appliance </w:t>
      </w:r>
      <w:r w:rsidR="00DA5D6D" w:rsidRPr="002453F7">
        <w:rPr>
          <w:sz w:val="20"/>
        </w:rPr>
        <w:t xml:space="preserve">used for heating space, or water, or for cooking which has a chimney and </w:t>
      </w:r>
      <w:r w:rsidR="007019E8" w:rsidRPr="002453F7">
        <w:rPr>
          <w:sz w:val="20"/>
        </w:rPr>
        <w:t xml:space="preserve">which is intended primarily </w:t>
      </w:r>
      <w:r w:rsidR="00DA5D6D" w:rsidRPr="002453F7">
        <w:rPr>
          <w:sz w:val="20"/>
        </w:rPr>
        <w:t>for use in</w:t>
      </w:r>
      <w:r w:rsidR="007019E8" w:rsidRPr="002453F7">
        <w:rPr>
          <w:sz w:val="20"/>
        </w:rPr>
        <w:t xml:space="preserve"> a residential dwelling</w:t>
      </w:r>
      <w:r w:rsidR="00DA5D6D" w:rsidRPr="002453F7">
        <w:rPr>
          <w:sz w:val="20"/>
        </w:rPr>
        <w:t xml:space="preserve"> house</w:t>
      </w:r>
    </w:p>
    <w:p w14:paraId="659FD5D1" w14:textId="77777777" w:rsidR="007019E8" w:rsidRPr="002453F7" w:rsidRDefault="007019E8" w:rsidP="0090025D">
      <w:pPr>
        <w:pStyle w:val="Glossary"/>
        <w:rPr>
          <w:sz w:val="20"/>
        </w:rPr>
      </w:pPr>
    </w:p>
    <w:p w14:paraId="3FDAA232" w14:textId="77777777" w:rsidR="007019E8" w:rsidRPr="002453F7" w:rsidRDefault="009B3A00" w:rsidP="0090025D">
      <w:pPr>
        <w:pStyle w:val="Glossary"/>
        <w:rPr>
          <w:sz w:val="20"/>
        </w:rPr>
      </w:pPr>
      <w:r w:rsidRPr="002453F7">
        <w:rPr>
          <w:b/>
          <w:sz w:val="20"/>
        </w:rPr>
        <w:t xml:space="preserve">dwelling </w:t>
      </w:r>
      <w:r w:rsidR="007019E8" w:rsidRPr="002453F7">
        <w:rPr>
          <w:b/>
          <w:sz w:val="20"/>
        </w:rPr>
        <w:t>house</w:t>
      </w:r>
      <w:r w:rsidR="007019E8" w:rsidRPr="002453F7">
        <w:rPr>
          <w:b/>
          <w:sz w:val="20"/>
        </w:rPr>
        <w:tab/>
      </w:r>
      <w:r w:rsidR="00DA5D6D" w:rsidRPr="002453F7">
        <w:rPr>
          <w:sz w:val="20"/>
        </w:rPr>
        <w:t xml:space="preserve">any </w:t>
      </w:r>
      <w:r w:rsidR="007019E8" w:rsidRPr="002453F7">
        <w:rPr>
          <w:sz w:val="20"/>
        </w:rPr>
        <w:t>building, whether permanent or temporary, that is occupied, in whole or in part, as residence and includes any structure or outdoor living area that is accessory to, and used wholly or principally for the purposes of, the residence; but does not include the land upon which the residence is sited as defined in the RMA</w:t>
      </w:r>
    </w:p>
    <w:p w14:paraId="418D27E3" w14:textId="77777777" w:rsidR="007019E8" w:rsidRPr="002453F7" w:rsidRDefault="007019E8" w:rsidP="0090025D">
      <w:pPr>
        <w:pStyle w:val="Glossary"/>
        <w:rPr>
          <w:sz w:val="20"/>
        </w:rPr>
      </w:pPr>
    </w:p>
    <w:p w14:paraId="5F40137E" w14:textId="77777777" w:rsidR="007019E8" w:rsidRPr="002453F7" w:rsidRDefault="007019E8" w:rsidP="0090025D">
      <w:pPr>
        <w:pStyle w:val="Glossary"/>
        <w:rPr>
          <w:sz w:val="20"/>
        </w:rPr>
      </w:pPr>
      <w:r w:rsidRPr="002453F7">
        <w:rPr>
          <w:b/>
          <w:sz w:val="20"/>
        </w:rPr>
        <w:t>EECA</w:t>
      </w:r>
      <w:r w:rsidRPr="002453F7">
        <w:rPr>
          <w:b/>
          <w:sz w:val="20"/>
        </w:rPr>
        <w:tab/>
      </w:r>
      <w:r w:rsidRPr="002453F7">
        <w:rPr>
          <w:sz w:val="20"/>
        </w:rPr>
        <w:t>Energy Efficiency and Conservation Authority</w:t>
      </w:r>
    </w:p>
    <w:p w14:paraId="3838B56C" w14:textId="77777777" w:rsidR="007019E8" w:rsidRPr="002453F7" w:rsidRDefault="007019E8" w:rsidP="0090025D">
      <w:pPr>
        <w:pStyle w:val="Glossary"/>
        <w:rPr>
          <w:sz w:val="20"/>
        </w:rPr>
      </w:pPr>
    </w:p>
    <w:p w14:paraId="7294B23E" w14:textId="77777777" w:rsidR="007019E8" w:rsidRPr="002453F7" w:rsidRDefault="009B3A00" w:rsidP="0090025D">
      <w:pPr>
        <w:pStyle w:val="Glossary"/>
        <w:rPr>
          <w:sz w:val="20"/>
        </w:rPr>
      </w:pPr>
      <w:r w:rsidRPr="002453F7">
        <w:rPr>
          <w:b/>
          <w:sz w:val="20"/>
        </w:rPr>
        <w:t>exceedance</w:t>
      </w:r>
      <w:r w:rsidR="007019E8" w:rsidRPr="002453F7">
        <w:rPr>
          <w:b/>
          <w:sz w:val="20"/>
        </w:rPr>
        <w:tab/>
      </w:r>
      <w:r w:rsidR="007B47EB" w:rsidRPr="002453F7">
        <w:rPr>
          <w:sz w:val="20"/>
        </w:rPr>
        <w:t xml:space="preserve">an </w:t>
      </w:r>
      <w:r w:rsidR="007019E8" w:rsidRPr="002453F7">
        <w:rPr>
          <w:sz w:val="20"/>
        </w:rPr>
        <w:t>instance where a contaminant exceeds its threshold concentration (defined in Schedule 1 of the Regulations) in an airshed</w:t>
      </w:r>
    </w:p>
    <w:p w14:paraId="4D86F5B3" w14:textId="77777777" w:rsidR="007019E8" w:rsidRPr="002453F7" w:rsidRDefault="007019E8" w:rsidP="0090025D">
      <w:pPr>
        <w:pStyle w:val="Glossary"/>
        <w:rPr>
          <w:sz w:val="20"/>
        </w:rPr>
      </w:pPr>
    </w:p>
    <w:p w14:paraId="4D8CB38F" w14:textId="77777777" w:rsidR="007019E8" w:rsidRPr="002453F7" w:rsidRDefault="007019E8" w:rsidP="0090025D">
      <w:pPr>
        <w:pStyle w:val="Glossary"/>
        <w:rPr>
          <w:sz w:val="20"/>
        </w:rPr>
      </w:pPr>
      <w:r w:rsidRPr="002453F7">
        <w:rPr>
          <w:b/>
          <w:sz w:val="20"/>
        </w:rPr>
        <w:t>GPG</w:t>
      </w:r>
      <w:r w:rsidRPr="002453F7">
        <w:rPr>
          <w:sz w:val="20"/>
        </w:rPr>
        <w:tab/>
      </w:r>
      <w:r w:rsidR="009B3A00" w:rsidRPr="002453F7">
        <w:rPr>
          <w:sz w:val="20"/>
        </w:rPr>
        <w:t xml:space="preserve">good </w:t>
      </w:r>
      <w:r w:rsidRPr="002453F7">
        <w:rPr>
          <w:sz w:val="20"/>
        </w:rPr>
        <w:t>practice guide</w:t>
      </w:r>
    </w:p>
    <w:p w14:paraId="29D1657E" w14:textId="77777777" w:rsidR="007019E8" w:rsidRPr="002453F7" w:rsidRDefault="007019E8" w:rsidP="0090025D">
      <w:pPr>
        <w:pStyle w:val="Glossary"/>
        <w:rPr>
          <w:sz w:val="20"/>
        </w:rPr>
      </w:pPr>
    </w:p>
    <w:p w14:paraId="612F65DE" w14:textId="77777777" w:rsidR="007019E8" w:rsidRPr="002453F7" w:rsidRDefault="0057463A" w:rsidP="0090025D">
      <w:pPr>
        <w:pStyle w:val="Glossary"/>
        <w:rPr>
          <w:sz w:val="20"/>
        </w:rPr>
      </w:pPr>
      <w:r w:rsidRPr="002453F7">
        <w:rPr>
          <w:b/>
          <w:sz w:val="20"/>
        </w:rPr>
        <w:t>hazardous air pollutant (</w:t>
      </w:r>
      <w:r w:rsidR="007019E8" w:rsidRPr="002453F7">
        <w:rPr>
          <w:b/>
          <w:sz w:val="20"/>
        </w:rPr>
        <w:t>HAP</w:t>
      </w:r>
      <w:r w:rsidRPr="002453F7">
        <w:rPr>
          <w:b/>
          <w:sz w:val="20"/>
        </w:rPr>
        <w:t>)</w:t>
      </w:r>
      <w:r w:rsidR="007019E8" w:rsidRPr="002453F7">
        <w:rPr>
          <w:sz w:val="20"/>
        </w:rPr>
        <w:tab/>
      </w:r>
      <w:r w:rsidRPr="002453F7">
        <w:rPr>
          <w:sz w:val="20"/>
        </w:rPr>
        <w:t>any substance known or suspected to cause a significant adverse effect on human health or the environment due to its toxicity, persistence in the environment, tendency to bio-accumulate, or any combination of these things</w:t>
      </w:r>
    </w:p>
    <w:p w14:paraId="7263E058" w14:textId="77777777" w:rsidR="007019E8" w:rsidRPr="002453F7" w:rsidRDefault="007019E8" w:rsidP="0090025D">
      <w:pPr>
        <w:pStyle w:val="Glossary"/>
        <w:rPr>
          <w:sz w:val="20"/>
        </w:rPr>
      </w:pPr>
    </w:p>
    <w:p w14:paraId="7CA282FB" w14:textId="77777777" w:rsidR="007019E8" w:rsidRPr="002453F7" w:rsidRDefault="007019E8" w:rsidP="0090025D">
      <w:pPr>
        <w:pStyle w:val="Glossary"/>
        <w:rPr>
          <w:b/>
          <w:sz w:val="20"/>
        </w:rPr>
      </w:pPr>
      <w:r w:rsidRPr="002453F7">
        <w:rPr>
          <w:b/>
          <w:sz w:val="20"/>
        </w:rPr>
        <w:t>HAPINZ</w:t>
      </w:r>
      <w:r w:rsidRPr="002453F7">
        <w:rPr>
          <w:b/>
          <w:sz w:val="20"/>
        </w:rPr>
        <w:tab/>
      </w:r>
      <w:r w:rsidRPr="002453F7">
        <w:rPr>
          <w:sz w:val="20"/>
        </w:rPr>
        <w:t>Health and Air Pollution in New Zealand study</w:t>
      </w:r>
    </w:p>
    <w:p w14:paraId="0187D07F" w14:textId="77777777" w:rsidR="007019E8" w:rsidRPr="002453F7" w:rsidRDefault="007019E8" w:rsidP="0090025D">
      <w:pPr>
        <w:pStyle w:val="Glossary"/>
        <w:rPr>
          <w:sz w:val="20"/>
        </w:rPr>
      </w:pPr>
    </w:p>
    <w:p w14:paraId="52564E9C" w14:textId="77777777" w:rsidR="007019E8" w:rsidRPr="002453F7" w:rsidRDefault="007019E8" w:rsidP="0090025D">
      <w:pPr>
        <w:pStyle w:val="Glossary"/>
        <w:rPr>
          <w:sz w:val="20"/>
        </w:rPr>
      </w:pPr>
      <w:r w:rsidRPr="002453F7">
        <w:rPr>
          <w:b/>
          <w:sz w:val="20"/>
        </w:rPr>
        <w:t>kg</w:t>
      </w:r>
      <w:r w:rsidRPr="002453F7">
        <w:rPr>
          <w:b/>
          <w:sz w:val="20"/>
        </w:rPr>
        <w:tab/>
      </w:r>
      <w:r w:rsidRPr="002453F7">
        <w:rPr>
          <w:sz w:val="20"/>
        </w:rPr>
        <w:t>kilogram</w:t>
      </w:r>
    </w:p>
    <w:p w14:paraId="54129289" w14:textId="77777777" w:rsidR="003174D3" w:rsidRPr="002453F7" w:rsidRDefault="003174D3" w:rsidP="0090025D">
      <w:pPr>
        <w:pStyle w:val="Glossary"/>
        <w:rPr>
          <w:sz w:val="20"/>
        </w:rPr>
      </w:pPr>
    </w:p>
    <w:p w14:paraId="678C6B3B" w14:textId="77777777" w:rsidR="003174D3" w:rsidRPr="002453F7" w:rsidRDefault="003174D3" w:rsidP="0090025D">
      <w:pPr>
        <w:pStyle w:val="Glossary"/>
        <w:rPr>
          <w:sz w:val="20"/>
        </w:rPr>
      </w:pPr>
      <w:r w:rsidRPr="002453F7">
        <w:rPr>
          <w:b/>
          <w:sz w:val="20"/>
        </w:rPr>
        <w:t>kaitiaki</w:t>
      </w:r>
      <w:r w:rsidRPr="002453F7">
        <w:rPr>
          <w:sz w:val="20"/>
        </w:rPr>
        <w:tab/>
        <w:t>the Māori concept of guardianship, for the sky, the sea, and the land. A kaitiaki is a guardian, and the process and practices of protecting and looking after the environment are referred to as kaitiakitanga.</w:t>
      </w:r>
    </w:p>
    <w:p w14:paraId="10FAB1FE" w14:textId="77777777" w:rsidR="007019E8" w:rsidRPr="002453F7" w:rsidRDefault="007019E8" w:rsidP="0090025D">
      <w:pPr>
        <w:pStyle w:val="Glossary"/>
        <w:rPr>
          <w:sz w:val="20"/>
        </w:rPr>
      </w:pPr>
    </w:p>
    <w:p w14:paraId="7C8B24E7" w14:textId="77777777" w:rsidR="007019E8" w:rsidRPr="002453F7" w:rsidRDefault="007019E8" w:rsidP="0090025D">
      <w:pPr>
        <w:pStyle w:val="Glossary"/>
        <w:rPr>
          <w:b/>
          <w:sz w:val="20"/>
        </w:rPr>
      </w:pPr>
      <w:r w:rsidRPr="002453F7">
        <w:rPr>
          <w:b/>
          <w:sz w:val="20"/>
        </w:rPr>
        <w:t>LGA</w:t>
      </w:r>
      <w:r w:rsidRPr="002453F7">
        <w:rPr>
          <w:b/>
          <w:sz w:val="20"/>
        </w:rPr>
        <w:tab/>
      </w:r>
      <w:r w:rsidRPr="002453F7">
        <w:rPr>
          <w:sz w:val="20"/>
        </w:rPr>
        <w:t>Local Government Act 2002</w:t>
      </w:r>
    </w:p>
    <w:p w14:paraId="0113A4A3" w14:textId="77777777" w:rsidR="007019E8" w:rsidRPr="002453F7" w:rsidRDefault="007019E8" w:rsidP="0090025D">
      <w:pPr>
        <w:pStyle w:val="Glossary"/>
        <w:rPr>
          <w:sz w:val="20"/>
        </w:rPr>
      </w:pPr>
    </w:p>
    <w:p w14:paraId="699FB849" w14:textId="77777777" w:rsidR="007B47EB" w:rsidRPr="002453F7" w:rsidRDefault="007B47EB" w:rsidP="0090025D">
      <w:pPr>
        <w:pStyle w:val="Glossary"/>
        <w:rPr>
          <w:sz w:val="20"/>
        </w:rPr>
      </w:pPr>
      <w:r w:rsidRPr="002453F7">
        <w:rPr>
          <w:b/>
          <w:sz w:val="20"/>
        </w:rPr>
        <w:t>LINZ</w:t>
      </w:r>
      <w:r w:rsidRPr="002453F7">
        <w:rPr>
          <w:sz w:val="20"/>
        </w:rPr>
        <w:tab/>
        <w:t>Land Information New Zealand</w:t>
      </w:r>
    </w:p>
    <w:p w14:paraId="2F6DB5C4" w14:textId="77777777" w:rsidR="007B47EB" w:rsidRPr="002453F7" w:rsidRDefault="007B47EB" w:rsidP="0090025D">
      <w:pPr>
        <w:pStyle w:val="Glossary"/>
        <w:rPr>
          <w:sz w:val="20"/>
        </w:rPr>
      </w:pPr>
    </w:p>
    <w:p w14:paraId="1EE2FF11" w14:textId="77777777" w:rsidR="007019E8" w:rsidRPr="002453F7" w:rsidRDefault="007019E8" w:rsidP="0090025D">
      <w:pPr>
        <w:pStyle w:val="Glossary"/>
        <w:rPr>
          <w:sz w:val="20"/>
        </w:rPr>
      </w:pPr>
      <w:r w:rsidRPr="002453F7">
        <w:rPr>
          <w:b/>
          <w:sz w:val="20"/>
        </w:rPr>
        <w:t>MfE</w:t>
      </w:r>
      <w:r w:rsidRPr="002453F7">
        <w:rPr>
          <w:b/>
          <w:sz w:val="20"/>
        </w:rPr>
        <w:tab/>
      </w:r>
      <w:r w:rsidRPr="002453F7">
        <w:rPr>
          <w:sz w:val="20"/>
        </w:rPr>
        <w:t>Ministry for the Environment</w:t>
      </w:r>
    </w:p>
    <w:p w14:paraId="055FE102" w14:textId="77777777" w:rsidR="007019E8" w:rsidRPr="002453F7" w:rsidRDefault="007019E8" w:rsidP="0090025D">
      <w:pPr>
        <w:pStyle w:val="Glossary"/>
        <w:rPr>
          <w:sz w:val="20"/>
        </w:rPr>
      </w:pPr>
    </w:p>
    <w:p w14:paraId="4A47B52F" w14:textId="77777777" w:rsidR="007019E8" w:rsidRPr="002453F7" w:rsidRDefault="007019E8" w:rsidP="0090025D">
      <w:pPr>
        <w:pStyle w:val="Glossary"/>
        <w:rPr>
          <w:sz w:val="20"/>
        </w:rPr>
      </w:pPr>
      <w:r w:rsidRPr="002453F7">
        <w:rPr>
          <w:b/>
          <w:sz w:val="20"/>
        </w:rPr>
        <w:t>mg</w:t>
      </w:r>
      <w:r w:rsidRPr="002453F7">
        <w:rPr>
          <w:b/>
          <w:sz w:val="20"/>
        </w:rPr>
        <w:tab/>
      </w:r>
      <w:r w:rsidRPr="002453F7">
        <w:rPr>
          <w:sz w:val="20"/>
        </w:rPr>
        <w:t>milligram, one thousandth of a gram</w:t>
      </w:r>
    </w:p>
    <w:p w14:paraId="3BFEB367" w14:textId="77777777" w:rsidR="007019E8" w:rsidRPr="002453F7" w:rsidRDefault="007019E8" w:rsidP="0090025D">
      <w:pPr>
        <w:pStyle w:val="Glossary"/>
        <w:rPr>
          <w:sz w:val="20"/>
        </w:rPr>
      </w:pPr>
    </w:p>
    <w:p w14:paraId="35353C67" w14:textId="77777777" w:rsidR="007019E8" w:rsidRPr="002453F7" w:rsidRDefault="007019E8" w:rsidP="0090025D">
      <w:pPr>
        <w:pStyle w:val="Glossary"/>
        <w:rPr>
          <w:sz w:val="20"/>
        </w:rPr>
      </w:pPr>
      <w:r w:rsidRPr="002453F7">
        <w:rPr>
          <w:b/>
          <w:sz w:val="20"/>
        </w:rPr>
        <w:t>mg/m</w:t>
      </w:r>
      <w:r w:rsidRPr="002453F7">
        <w:rPr>
          <w:b/>
          <w:sz w:val="20"/>
          <w:vertAlign w:val="superscript"/>
        </w:rPr>
        <w:t>3</w:t>
      </w:r>
      <w:r w:rsidRPr="002453F7">
        <w:rPr>
          <w:sz w:val="20"/>
        </w:rPr>
        <w:tab/>
        <w:t>milligram per cubic metre, a unit of concentration</w:t>
      </w:r>
    </w:p>
    <w:p w14:paraId="565B07EB" w14:textId="77777777" w:rsidR="00851FE6" w:rsidRPr="002453F7" w:rsidRDefault="00851FE6" w:rsidP="0090025D">
      <w:pPr>
        <w:pStyle w:val="Glossary"/>
        <w:rPr>
          <w:sz w:val="20"/>
        </w:rPr>
      </w:pPr>
    </w:p>
    <w:p w14:paraId="7D4BADAA" w14:textId="77777777" w:rsidR="00851FE6" w:rsidRPr="002453F7" w:rsidRDefault="00851FE6" w:rsidP="0090025D">
      <w:pPr>
        <w:pStyle w:val="Glossary"/>
        <w:rPr>
          <w:sz w:val="20"/>
        </w:rPr>
      </w:pPr>
      <w:r w:rsidRPr="002453F7">
        <w:rPr>
          <w:b/>
          <w:sz w:val="20"/>
        </w:rPr>
        <w:t>µg</w:t>
      </w:r>
      <w:r w:rsidRPr="002453F7">
        <w:rPr>
          <w:b/>
          <w:sz w:val="20"/>
        </w:rPr>
        <w:tab/>
      </w:r>
      <w:r w:rsidRPr="002453F7">
        <w:rPr>
          <w:sz w:val="20"/>
        </w:rPr>
        <w:t>microgram, one millionth of a gram</w:t>
      </w:r>
    </w:p>
    <w:p w14:paraId="5B525728" w14:textId="77777777" w:rsidR="00851FE6" w:rsidRPr="002453F7" w:rsidRDefault="00851FE6" w:rsidP="0090025D">
      <w:pPr>
        <w:pStyle w:val="Glossary"/>
        <w:rPr>
          <w:sz w:val="20"/>
        </w:rPr>
      </w:pPr>
    </w:p>
    <w:p w14:paraId="00E671E0" w14:textId="77777777" w:rsidR="00851FE6" w:rsidRPr="002453F7" w:rsidRDefault="00851FE6" w:rsidP="0090025D">
      <w:pPr>
        <w:pStyle w:val="Glossary"/>
        <w:rPr>
          <w:sz w:val="20"/>
        </w:rPr>
      </w:pPr>
      <w:r w:rsidRPr="002453F7">
        <w:rPr>
          <w:b/>
          <w:sz w:val="20"/>
        </w:rPr>
        <w:t>µg/m</w:t>
      </w:r>
      <w:r w:rsidRPr="002453F7">
        <w:rPr>
          <w:b/>
          <w:sz w:val="20"/>
          <w:vertAlign w:val="superscript"/>
        </w:rPr>
        <w:t>3</w:t>
      </w:r>
      <w:r w:rsidRPr="002453F7">
        <w:rPr>
          <w:sz w:val="20"/>
        </w:rPr>
        <w:tab/>
        <w:t>microgram per cubic metre, a unit of concentration</w:t>
      </w:r>
    </w:p>
    <w:p w14:paraId="23AB57C6" w14:textId="77777777" w:rsidR="00851FE6" w:rsidRPr="002453F7" w:rsidRDefault="00851FE6" w:rsidP="0090025D">
      <w:pPr>
        <w:pStyle w:val="Glossary"/>
        <w:rPr>
          <w:sz w:val="20"/>
        </w:rPr>
      </w:pPr>
    </w:p>
    <w:p w14:paraId="7F52FFA6" w14:textId="77777777" w:rsidR="00851FE6" w:rsidRPr="002453F7" w:rsidRDefault="00851FE6" w:rsidP="0090025D">
      <w:pPr>
        <w:pStyle w:val="Glossary"/>
        <w:rPr>
          <w:sz w:val="20"/>
        </w:rPr>
      </w:pPr>
      <w:r w:rsidRPr="002453F7">
        <w:rPr>
          <w:b/>
          <w:sz w:val="20"/>
        </w:rPr>
        <w:t>µm</w:t>
      </w:r>
      <w:r w:rsidRPr="002453F7">
        <w:rPr>
          <w:sz w:val="20"/>
        </w:rPr>
        <w:tab/>
        <w:t>micrometre, one millionth of a metre</w:t>
      </w:r>
    </w:p>
    <w:p w14:paraId="2E267BE7" w14:textId="77777777" w:rsidR="007019E8" w:rsidRPr="002453F7" w:rsidRDefault="007019E8" w:rsidP="0090025D">
      <w:pPr>
        <w:pStyle w:val="Glossary"/>
        <w:rPr>
          <w:sz w:val="20"/>
        </w:rPr>
      </w:pPr>
    </w:p>
    <w:p w14:paraId="156C2111" w14:textId="77777777" w:rsidR="007019E8" w:rsidRPr="002453F7" w:rsidRDefault="007019E8" w:rsidP="0090025D">
      <w:pPr>
        <w:pStyle w:val="Glossary"/>
        <w:rPr>
          <w:sz w:val="20"/>
        </w:rPr>
      </w:pPr>
      <w:r w:rsidRPr="002453F7">
        <w:rPr>
          <w:b/>
          <w:sz w:val="20"/>
        </w:rPr>
        <w:t>Minister</w:t>
      </w:r>
      <w:r w:rsidRPr="002453F7">
        <w:rPr>
          <w:b/>
          <w:sz w:val="20"/>
        </w:rPr>
        <w:tab/>
      </w:r>
      <w:r w:rsidRPr="002453F7">
        <w:rPr>
          <w:sz w:val="20"/>
        </w:rPr>
        <w:t>Minister for the Environment</w:t>
      </w:r>
    </w:p>
    <w:p w14:paraId="703D3BF9" w14:textId="77777777" w:rsidR="007019E8" w:rsidRPr="002453F7" w:rsidRDefault="007019E8" w:rsidP="0090025D">
      <w:pPr>
        <w:pStyle w:val="Glossary"/>
        <w:rPr>
          <w:sz w:val="20"/>
        </w:rPr>
      </w:pPr>
    </w:p>
    <w:p w14:paraId="7832C580" w14:textId="77777777" w:rsidR="009B3A00" w:rsidRPr="002453F7" w:rsidRDefault="009B3A00" w:rsidP="0090025D">
      <w:pPr>
        <w:pStyle w:val="Glossary"/>
        <w:rPr>
          <w:sz w:val="20"/>
        </w:rPr>
      </w:pPr>
      <w:r w:rsidRPr="002453F7">
        <w:rPr>
          <w:b/>
          <w:sz w:val="20"/>
        </w:rPr>
        <w:t>Ministry</w:t>
      </w:r>
      <w:r w:rsidRPr="002453F7">
        <w:rPr>
          <w:sz w:val="20"/>
        </w:rPr>
        <w:tab/>
        <w:t>Ministry for the Environment</w:t>
      </w:r>
    </w:p>
    <w:p w14:paraId="4ECFBE0E" w14:textId="77777777" w:rsidR="009B3A00" w:rsidRPr="002453F7" w:rsidRDefault="009B3A00" w:rsidP="0090025D">
      <w:pPr>
        <w:pStyle w:val="Glossary"/>
        <w:rPr>
          <w:sz w:val="20"/>
        </w:rPr>
      </w:pPr>
    </w:p>
    <w:p w14:paraId="12BAF0FC" w14:textId="77777777" w:rsidR="007019E8" w:rsidRPr="002453F7" w:rsidRDefault="009B3A00" w:rsidP="0090025D">
      <w:pPr>
        <w:pStyle w:val="Glossary"/>
        <w:rPr>
          <w:sz w:val="20"/>
        </w:rPr>
      </w:pPr>
      <w:r w:rsidRPr="002453F7">
        <w:rPr>
          <w:b/>
          <w:sz w:val="20"/>
        </w:rPr>
        <w:t xml:space="preserve">morbidity </w:t>
      </w:r>
      <w:r w:rsidR="007019E8" w:rsidRPr="002453F7">
        <w:rPr>
          <w:b/>
          <w:sz w:val="20"/>
        </w:rPr>
        <w:t>effects</w:t>
      </w:r>
      <w:r w:rsidR="007019E8" w:rsidRPr="002453F7">
        <w:rPr>
          <w:sz w:val="20"/>
        </w:rPr>
        <w:tab/>
      </w:r>
      <w:r w:rsidR="007B47EB" w:rsidRPr="002453F7">
        <w:rPr>
          <w:sz w:val="20"/>
        </w:rPr>
        <w:t xml:space="preserve">adverse </w:t>
      </w:r>
      <w:r w:rsidR="007019E8" w:rsidRPr="002453F7">
        <w:rPr>
          <w:sz w:val="20"/>
        </w:rPr>
        <w:t>health effects which result in increased illness, suffering and general unwellness</w:t>
      </w:r>
    </w:p>
    <w:p w14:paraId="28BBBB7B" w14:textId="77777777" w:rsidR="007019E8" w:rsidRPr="002453F7" w:rsidRDefault="007019E8" w:rsidP="0090025D">
      <w:pPr>
        <w:pStyle w:val="Glossary"/>
        <w:rPr>
          <w:sz w:val="20"/>
        </w:rPr>
      </w:pPr>
    </w:p>
    <w:p w14:paraId="45141F8C" w14:textId="77777777" w:rsidR="007019E8" w:rsidRPr="002453F7" w:rsidRDefault="009B3A00" w:rsidP="0090025D">
      <w:pPr>
        <w:pStyle w:val="Glossary"/>
        <w:rPr>
          <w:sz w:val="20"/>
        </w:rPr>
      </w:pPr>
      <w:r w:rsidRPr="002453F7">
        <w:rPr>
          <w:b/>
          <w:sz w:val="20"/>
        </w:rPr>
        <w:t xml:space="preserve">mortality </w:t>
      </w:r>
      <w:r w:rsidR="007019E8" w:rsidRPr="002453F7">
        <w:rPr>
          <w:b/>
          <w:sz w:val="20"/>
        </w:rPr>
        <w:t>effects</w:t>
      </w:r>
      <w:r w:rsidR="007019E8" w:rsidRPr="002453F7">
        <w:rPr>
          <w:sz w:val="20"/>
        </w:rPr>
        <w:tab/>
      </w:r>
      <w:r w:rsidR="007B47EB" w:rsidRPr="002453F7">
        <w:rPr>
          <w:sz w:val="20"/>
        </w:rPr>
        <w:t xml:space="preserve">adverse </w:t>
      </w:r>
      <w:r w:rsidR="007019E8" w:rsidRPr="002453F7">
        <w:rPr>
          <w:sz w:val="20"/>
        </w:rPr>
        <w:t>health effects which result in death</w:t>
      </w:r>
    </w:p>
    <w:p w14:paraId="300B0ABD" w14:textId="77777777" w:rsidR="007019E8" w:rsidRPr="002453F7" w:rsidRDefault="007019E8" w:rsidP="0090025D">
      <w:pPr>
        <w:pStyle w:val="Glossary"/>
        <w:rPr>
          <w:sz w:val="20"/>
        </w:rPr>
      </w:pPr>
    </w:p>
    <w:p w14:paraId="32A7B613" w14:textId="77777777" w:rsidR="007019E8" w:rsidRPr="002453F7" w:rsidRDefault="007019E8" w:rsidP="0090025D">
      <w:pPr>
        <w:pStyle w:val="Glossary"/>
        <w:rPr>
          <w:sz w:val="20"/>
        </w:rPr>
      </w:pPr>
      <w:r w:rsidRPr="002453F7">
        <w:rPr>
          <w:b/>
          <w:sz w:val="20"/>
        </w:rPr>
        <w:t>MoT</w:t>
      </w:r>
      <w:r w:rsidRPr="002453F7">
        <w:rPr>
          <w:b/>
          <w:sz w:val="20"/>
        </w:rPr>
        <w:tab/>
      </w:r>
      <w:r w:rsidRPr="002453F7">
        <w:rPr>
          <w:sz w:val="20"/>
        </w:rPr>
        <w:t>Ministry of Transport</w:t>
      </w:r>
    </w:p>
    <w:p w14:paraId="6700C054" w14:textId="77777777" w:rsidR="007019E8" w:rsidRPr="002453F7" w:rsidRDefault="007019E8" w:rsidP="0090025D">
      <w:pPr>
        <w:pStyle w:val="Glossary"/>
        <w:rPr>
          <w:sz w:val="20"/>
        </w:rPr>
      </w:pPr>
    </w:p>
    <w:p w14:paraId="22DF5705" w14:textId="77777777" w:rsidR="007019E8" w:rsidRPr="002453F7" w:rsidRDefault="002F258D" w:rsidP="0090025D">
      <w:pPr>
        <w:pStyle w:val="Glossary"/>
        <w:rPr>
          <w:b/>
          <w:sz w:val="20"/>
        </w:rPr>
      </w:pPr>
      <w:r w:rsidRPr="002453F7">
        <w:rPr>
          <w:b/>
          <w:sz w:val="20"/>
        </w:rPr>
        <w:t>multi</w:t>
      </w:r>
      <w:r w:rsidR="007019E8" w:rsidRPr="002453F7">
        <w:rPr>
          <w:b/>
          <w:sz w:val="20"/>
        </w:rPr>
        <w:t>-fuel burner</w:t>
      </w:r>
      <w:r w:rsidR="007019E8" w:rsidRPr="002453F7">
        <w:rPr>
          <w:b/>
          <w:sz w:val="20"/>
        </w:rPr>
        <w:tab/>
      </w:r>
      <w:r w:rsidRPr="002453F7">
        <w:rPr>
          <w:sz w:val="20"/>
        </w:rPr>
        <w:t xml:space="preserve">similar to a woodburner but is designed to burn both wood and/or coal and has over fuel and under fuel combustion air supply with separate controls, a grate in the base of the firebox and an ash pan </w:t>
      </w:r>
    </w:p>
    <w:p w14:paraId="6D1A21FF" w14:textId="77777777" w:rsidR="007019E8" w:rsidRPr="002453F7" w:rsidRDefault="007019E8" w:rsidP="0090025D">
      <w:pPr>
        <w:pStyle w:val="Glossary"/>
        <w:rPr>
          <w:sz w:val="20"/>
        </w:rPr>
      </w:pPr>
    </w:p>
    <w:p w14:paraId="1E9722E8" w14:textId="77777777" w:rsidR="00C81F7B" w:rsidRPr="002453F7" w:rsidRDefault="00C81F7B" w:rsidP="0090025D">
      <w:pPr>
        <w:pStyle w:val="Glossary"/>
        <w:rPr>
          <w:b/>
          <w:sz w:val="20"/>
        </w:rPr>
      </w:pPr>
      <w:r w:rsidRPr="002453F7">
        <w:rPr>
          <w:b/>
          <w:sz w:val="20"/>
        </w:rPr>
        <w:t>MW</w:t>
      </w:r>
      <w:r w:rsidRPr="002453F7">
        <w:rPr>
          <w:sz w:val="20"/>
        </w:rPr>
        <w:tab/>
        <w:t>megawatt</w:t>
      </w:r>
    </w:p>
    <w:p w14:paraId="2722EE15" w14:textId="77777777" w:rsidR="007019E8" w:rsidRPr="002453F7" w:rsidRDefault="007019E8" w:rsidP="0090025D">
      <w:pPr>
        <w:pStyle w:val="Glossary"/>
        <w:rPr>
          <w:sz w:val="20"/>
        </w:rPr>
      </w:pPr>
    </w:p>
    <w:p w14:paraId="02146044" w14:textId="77777777" w:rsidR="007019E8" w:rsidRPr="002453F7" w:rsidRDefault="007019E8" w:rsidP="0090025D">
      <w:pPr>
        <w:pStyle w:val="Glossary"/>
        <w:rPr>
          <w:sz w:val="20"/>
        </w:rPr>
      </w:pPr>
      <w:r w:rsidRPr="002453F7">
        <w:rPr>
          <w:b/>
          <w:i/>
          <w:sz w:val="20"/>
        </w:rPr>
        <w:t>New Zealand Gazette</w:t>
      </w:r>
      <w:r w:rsidRPr="002453F7">
        <w:rPr>
          <w:b/>
          <w:sz w:val="20"/>
        </w:rPr>
        <w:tab/>
      </w:r>
      <w:r w:rsidRPr="002453F7">
        <w:rPr>
          <w:sz w:val="20"/>
        </w:rPr>
        <w:t>The official newspaper of the Government of New Zealand, produced by the Department of Internal Affairs</w:t>
      </w:r>
    </w:p>
    <w:p w14:paraId="62BDD2DD" w14:textId="77777777" w:rsidR="007019E8" w:rsidRPr="002453F7" w:rsidRDefault="007019E8" w:rsidP="0090025D">
      <w:pPr>
        <w:pStyle w:val="Glossary"/>
        <w:rPr>
          <w:sz w:val="20"/>
        </w:rPr>
      </w:pPr>
    </w:p>
    <w:p w14:paraId="274F510A" w14:textId="77777777" w:rsidR="007019E8" w:rsidRPr="002453F7" w:rsidRDefault="007019E8" w:rsidP="0090025D">
      <w:pPr>
        <w:pStyle w:val="Glossary"/>
        <w:rPr>
          <w:b/>
          <w:sz w:val="20"/>
        </w:rPr>
      </w:pPr>
      <w:r w:rsidRPr="002453F7">
        <w:rPr>
          <w:b/>
          <w:sz w:val="20"/>
        </w:rPr>
        <w:t>NO</w:t>
      </w:r>
      <w:r w:rsidRPr="002453F7">
        <w:rPr>
          <w:b/>
          <w:sz w:val="20"/>
        </w:rPr>
        <w:tab/>
      </w:r>
      <w:r w:rsidRPr="002453F7">
        <w:rPr>
          <w:sz w:val="20"/>
        </w:rPr>
        <w:t>nitric oxide</w:t>
      </w:r>
    </w:p>
    <w:p w14:paraId="28E4B491" w14:textId="77777777" w:rsidR="007019E8" w:rsidRPr="002453F7" w:rsidRDefault="007019E8" w:rsidP="0090025D">
      <w:pPr>
        <w:pStyle w:val="Glossary"/>
        <w:rPr>
          <w:sz w:val="20"/>
        </w:rPr>
      </w:pPr>
    </w:p>
    <w:p w14:paraId="68EFE089" w14:textId="77777777" w:rsidR="007019E8" w:rsidRPr="002453F7" w:rsidRDefault="007019E8" w:rsidP="0090025D">
      <w:pPr>
        <w:pStyle w:val="Glossary"/>
        <w:rPr>
          <w:b/>
          <w:sz w:val="20"/>
        </w:rPr>
      </w:pPr>
      <w:r w:rsidRPr="002453F7">
        <w:rPr>
          <w:b/>
          <w:sz w:val="20"/>
        </w:rPr>
        <w:t>NO</w:t>
      </w:r>
      <w:r w:rsidRPr="002453F7">
        <w:rPr>
          <w:b/>
          <w:sz w:val="20"/>
          <w:vertAlign w:val="subscript"/>
        </w:rPr>
        <w:t>2</w:t>
      </w:r>
      <w:r w:rsidRPr="002453F7">
        <w:rPr>
          <w:b/>
          <w:sz w:val="20"/>
        </w:rPr>
        <w:tab/>
      </w:r>
      <w:r w:rsidRPr="002453F7">
        <w:rPr>
          <w:sz w:val="20"/>
        </w:rPr>
        <w:t>nitrogen dioxide</w:t>
      </w:r>
    </w:p>
    <w:p w14:paraId="5585DB02" w14:textId="77777777" w:rsidR="007019E8" w:rsidRPr="002453F7" w:rsidRDefault="007019E8" w:rsidP="0090025D">
      <w:pPr>
        <w:pStyle w:val="Glossary"/>
        <w:rPr>
          <w:sz w:val="20"/>
        </w:rPr>
      </w:pPr>
    </w:p>
    <w:p w14:paraId="0B2FC381" w14:textId="77777777" w:rsidR="007019E8" w:rsidRPr="002453F7" w:rsidRDefault="007019E8" w:rsidP="0090025D">
      <w:pPr>
        <w:pStyle w:val="Glossary"/>
        <w:rPr>
          <w:sz w:val="20"/>
        </w:rPr>
      </w:pPr>
      <w:r w:rsidRPr="002453F7">
        <w:rPr>
          <w:b/>
          <w:sz w:val="20"/>
        </w:rPr>
        <w:t>NO</w:t>
      </w:r>
      <w:r w:rsidRPr="002453F7">
        <w:rPr>
          <w:b/>
          <w:sz w:val="20"/>
          <w:vertAlign w:val="subscript"/>
        </w:rPr>
        <w:t>X</w:t>
      </w:r>
      <w:r w:rsidRPr="002453F7">
        <w:rPr>
          <w:b/>
          <w:sz w:val="20"/>
        </w:rPr>
        <w:tab/>
      </w:r>
      <w:r w:rsidRPr="002453F7">
        <w:rPr>
          <w:sz w:val="20"/>
        </w:rPr>
        <w:t>oxides of nitrogen (which include NO and NO</w:t>
      </w:r>
      <w:r w:rsidRPr="002453F7">
        <w:rPr>
          <w:sz w:val="20"/>
          <w:vertAlign w:val="subscript"/>
        </w:rPr>
        <w:t>2</w:t>
      </w:r>
      <w:r w:rsidRPr="002453F7">
        <w:rPr>
          <w:sz w:val="20"/>
        </w:rPr>
        <w:t xml:space="preserve"> but there are others)</w:t>
      </w:r>
    </w:p>
    <w:p w14:paraId="426BF54B" w14:textId="77777777" w:rsidR="007019E8" w:rsidRPr="002453F7" w:rsidRDefault="007019E8" w:rsidP="0090025D">
      <w:pPr>
        <w:pStyle w:val="Glossary"/>
        <w:rPr>
          <w:sz w:val="20"/>
        </w:rPr>
      </w:pPr>
    </w:p>
    <w:p w14:paraId="42AE1863" w14:textId="77777777" w:rsidR="007019E8" w:rsidRPr="002453F7" w:rsidRDefault="007019E8" w:rsidP="0090025D">
      <w:pPr>
        <w:pStyle w:val="Glossary"/>
        <w:rPr>
          <w:b/>
          <w:sz w:val="20"/>
        </w:rPr>
      </w:pPr>
      <w:r w:rsidRPr="002453F7">
        <w:rPr>
          <w:b/>
          <w:sz w:val="20"/>
        </w:rPr>
        <w:t>O</w:t>
      </w:r>
      <w:r w:rsidRPr="002453F7">
        <w:rPr>
          <w:b/>
          <w:sz w:val="20"/>
          <w:vertAlign w:val="subscript"/>
        </w:rPr>
        <w:t>3</w:t>
      </w:r>
      <w:r w:rsidRPr="002453F7">
        <w:rPr>
          <w:b/>
          <w:sz w:val="20"/>
        </w:rPr>
        <w:tab/>
      </w:r>
      <w:r w:rsidRPr="002453F7">
        <w:rPr>
          <w:sz w:val="20"/>
        </w:rPr>
        <w:t>ozone</w:t>
      </w:r>
    </w:p>
    <w:p w14:paraId="2BEA5526" w14:textId="77777777" w:rsidR="007019E8" w:rsidRPr="002453F7" w:rsidRDefault="007019E8" w:rsidP="0090025D">
      <w:pPr>
        <w:pStyle w:val="Glossary"/>
        <w:rPr>
          <w:sz w:val="20"/>
        </w:rPr>
      </w:pPr>
    </w:p>
    <w:p w14:paraId="57D15BB5" w14:textId="77777777" w:rsidR="00851FE6" w:rsidRPr="002453F7" w:rsidRDefault="009B3A00" w:rsidP="0090025D">
      <w:pPr>
        <w:rPr>
          <w:sz w:val="20"/>
        </w:rPr>
      </w:pPr>
      <w:r w:rsidRPr="002453F7">
        <w:rPr>
          <w:b/>
          <w:sz w:val="20"/>
        </w:rPr>
        <w:t>open fire</w:t>
      </w:r>
      <w:r w:rsidR="00557BD1">
        <w:rPr>
          <w:b/>
          <w:sz w:val="20"/>
        </w:rPr>
        <w:tab/>
      </w:r>
      <w:r w:rsidR="00557BD1">
        <w:rPr>
          <w:b/>
          <w:sz w:val="20"/>
        </w:rPr>
        <w:tab/>
      </w:r>
      <w:r w:rsidR="00557BD1">
        <w:rPr>
          <w:b/>
          <w:sz w:val="20"/>
        </w:rPr>
        <w:tab/>
      </w:r>
      <w:r w:rsidR="00557BD1">
        <w:rPr>
          <w:b/>
          <w:sz w:val="20"/>
        </w:rPr>
        <w:tab/>
      </w:r>
      <w:r w:rsidR="00557BD1">
        <w:rPr>
          <w:b/>
          <w:sz w:val="20"/>
        </w:rPr>
        <w:tab/>
      </w:r>
      <w:r w:rsidRPr="002453F7">
        <w:rPr>
          <w:sz w:val="20"/>
        </w:rPr>
        <w:tab/>
      </w:r>
      <w:r w:rsidR="00851FE6" w:rsidRPr="002453F7">
        <w:rPr>
          <w:sz w:val="20"/>
        </w:rPr>
        <w:t xml:space="preserve">a fire where the combustion chamber is not totally enclosed including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851FE6" w:rsidRPr="002453F7">
        <w:rPr>
          <w:sz w:val="20"/>
        </w:rPr>
        <w:t xml:space="preserve">combustion chambers that are partially closed (eg, have a door) and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851FE6" w:rsidRPr="002453F7">
        <w:rPr>
          <w:sz w:val="20"/>
        </w:rPr>
        <w:t xml:space="preserve">those that have limited control of the primary or secondary air supply.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851FE6" w:rsidRPr="002453F7">
        <w:rPr>
          <w:sz w:val="20"/>
        </w:rPr>
        <w:t xml:space="preserve">Open fires are common in older houses where they are built into the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851FE6" w:rsidRPr="002453F7">
        <w:rPr>
          <w:sz w:val="20"/>
        </w:rPr>
        <w:t xml:space="preserve">house. Some examples of open fires are fireplaces, including brick or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851FE6" w:rsidRPr="002453F7">
        <w:rPr>
          <w:sz w:val="20"/>
        </w:rPr>
        <w:t xml:space="preserve">masonry, </w:t>
      </w:r>
      <w:r w:rsidR="00557BD1">
        <w:rPr>
          <w:sz w:val="20"/>
        </w:rPr>
        <w:tab/>
      </w:r>
      <w:r w:rsidR="00851FE6" w:rsidRPr="002453F7">
        <w:rPr>
          <w:sz w:val="20"/>
        </w:rPr>
        <w:t>visors, open hearths and ‘Jetmaster’ fireplaces.</w:t>
      </w:r>
    </w:p>
    <w:p w14:paraId="15B824D8" w14:textId="77777777" w:rsidR="00851FE6" w:rsidRPr="002453F7" w:rsidRDefault="00851FE6" w:rsidP="0090025D">
      <w:pPr>
        <w:pStyle w:val="Glossary"/>
        <w:rPr>
          <w:sz w:val="20"/>
        </w:rPr>
      </w:pPr>
    </w:p>
    <w:p w14:paraId="546A3022" w14:textId="77777777" w:rsidR="009B3A00" w:rsidRPr="002453F7" w:rsidRDefault="00DA5D6D" w:rsidP="0090025D">
      <w:pPr>
        <w:pStyle w:val="Glossary"/>
        <w:rPr>
          <w:sz w:val="20"/>
        </w:rPr>
      </w:pPr>
      <w:r w:rsidRPr="002453F7">
        <w:rPr>
          <w:b/>
          <w:sz w:val="20"/>
        </w:rPr>
        <w:t>PAH</w:t>
      </w:r>
      <w:r w:rsidRPr="002453F7">
        <w:rPr>
          <w:sz w:val="20"/>
        </w:rPr>
        <w:tab/>
        <w:t>polycyclic aromatic hydrocarbon</w:t>
      </w:r>
    </w:p>
    <w:p w14:paraId="08C57500" w14:textId="77777777" w:rsidR="00DA5D6D" w:rsidRPr="002453F7" w:rsidRDefault="00DA5D6D" w:rsidP="0090025D">
      <w:pPr>
        <w:pStyle w:val="Glossary"/>
        <w:rPr>
          <w:sz w:val="20"/>
        </w:rPr>
      </w:pPr>
    </w:p>
    <w:p w14:paraId="1A264304" w14:textId="77777777" w:rsidR="007019E8" w:rsidRPr="002453F7" w:rsidRDefault="007B47EB" w:rsidP="0090025D">
      <w:pPr>
        <w:pStyle w:val="Glossary"/>
        <w:rPr>
          <w:b/>
          <w:sz w:val="20"/>
        </w:rPr>
      </w:pPr>
      <w:r w:rsidRPr="002453F7">
        <w:rPr>
          <w:b/>
          <w:sz w:val="20"/>
        </w:rPr>
        <w:t xml:space="preserve">pellet </w:t>
      </w:r>
      <w:r w:rsidR="007019E8" w:rsidRPr="002453F7">
        <w:rPr>
          <w:b/>
          <w:sz w:val="20"/>
        </w:rPr>
        <w:t>burner</w:t>
      </w:r>
      <w:r w:rsidR="007019E8" w:rsidRPr="002453F7">
        <w:rPr>
          <w:b/>
          <w:sz w:val="20"/>
        </w:rPr>
        <w:tab/>
      </w:r>
      <w:r w:rsidRPr="002453F7">
        <w:rPr>
          <w:sz w:val="20"/>
        </w:rPr>
        <w:t>a woodburner with metal firebox and a door on the front, the wood is in the form of small pellets that is fed continuously into the fire</w:t>
      </w:r>
    </w:p>
    <w:p w14:paraId="48E5A4E7" w14:textId="77777777" w:rsidR="007019E8" w:rsidRPr="002453F7" w:rsidRDefault="007019E8" w:rsidP="0090025D">
      <w:pPr>
        <w:pStyle w:val="Glossary"/>
        <w:rPr>
          <w:sz w:val="20"/>
        </w:rPr>
      </w:pPr>
    </w:p>
    <w:p w14:paraId="2CF41174" w14:textId="77777777" w:rsidR="007B47EB" w:rsidRPr="002453F7" w:rsidRDefault="007B47EB" w:rsidP="0090025D">
      <w:pPr>
        <w:pStyle w:val="Glossary"/>
        <w:rPr>
          <w:sz w:val="20"/>
        </w:rPr>
      </w:pPr>
      <w:r w:rsidRPr="002453F7">
        <w:rPr>
          <w:b/>
          <w:sz w:val="20"/>
        </w:rPr>
        <w:t>permissible</w:t>
      </w:r>
      <w:r w:rsidRPr="002453F7">
        <w:rPr>
          <w:sz w:val="20"/>
        </w:rPr>
        <w:t xml:space="preserve"> </w:t>
      </w:r>
      <w:r w:rsidRPr="002453F7">
        <w:rPr>
          <w:b/>
          <w:sz w:val="20"/>
        </w:rPr>
        <w:t>exceedance</w:t>
      </w:r>
      <w:r w:rsidRPr="002453F7">
        <w:rPr>
          <w:sz w:val="20"/>
        </w:rPr>
        <w:t xml:space="preserve"> </w:t>
      </w:r>
      <w:r w:rsidRPr="002453F7">
        <w:rPr>
          <w:sz w:val="20"/>
        </w:rPr>
        <w:tab/>
        <w:t>any monitoring result that is above the ambient standard concentration limit but is within the number of exceedances allowed in Schedule 1</w:t>
      </w:r>
    </w:p>
    <w:p w14:paraId="2A4E5952" w14:textId="77777777" w:rsidR="007B47EB" w:rsidRPr="002453F7" w:rsidRDefault="007B47EB" w:rsidP="0090025D">
      <w:pPr>
        <w:pStyle w:val="Glossary"/>
        <w:rPr>
          <w:sz w:val="20"/>
        </w:rPr>
      </w:pPr>
    </w:p>
    <w:p w14:paraId="1AC571E3" w14:textId="77777777" w:rsidR="007019E8" w:rsidRPr="002453F7" w:rsidRDefault="007019E8" w:rsidP="0090025D">
      <w:pPr>
        <w:pStyle w:val="Glossary"/>
        <w:rPr>
          <w:sz w:val="20"/>
        </w:rPr>
      </w:pPr>
      <w:r w:rsidRPr="002453F7">
        <w:rPr>
          <w:b/>
          <w:sz w:val="20"/>
        </w:rPr>
        <w:t>PM</w:t>
      </w:r>
      <w:r w:rsidRPr="002453F7">
        <w:rPr>
          <w:b/>
          <w:sz w:val="20"/>
        </w:rPr>
        <w:tab/>
      </w:r>
      <w:r w:rsidRPr="002453F7">
        <w:rPr>
          <w:sz w:val="20"/>
        </w:rPr>
        <w:t>particulate matter</w:t>
      </w:r>
    </w:p>
    <w:p w14:paraId="23AED5CD" w14:textId="77777777" w:rsidR="007019E8" w:rsidRPr="002453F7" w:rsidRDefault="007019E8" w:rsidP="0090025D">
      <w:pPr>
        <w:pStyle w:val="Glossary"/>
        <w:rPr>
          <w:sz w:val="20"/>
        </w:rPr>
      </w:pPr>
    </w:p>
    <w:p w14:paraId="054CE621" w14:textId="77777777" w:rsidR="002F258D" w:rsidRPr="002453F7" w:rsidRDefault="002F258D" w:rsidP="0090025D">
      <w:pPr>
        <w:pStyle w:val="Glossary"/>
        <w:rPr>
          <w:sz w:val="20"/>
        </w:rPr>
      </w:pPr>
      <w:r w:rsidRPr="002453F7">
        <w:rPr>
          <w:b/>
          <w:sz w:val="20"/>
        </w:rPr>
        <w:t>PM</w:t>
      </w:r>
      <w:r w:rsidRPr="002453F7">
        <w:rPr>
          <w:b/>
          <w:sz w:val="20"/>
          <w:vertAlign w:val="subscript"/>
        </w:rPr>
        <w:t>&lt;0.1</w:t>
      </w:r>
      <w:r w:rsidRPr="002453F7">
        <w:rPr>
          <w:b/>
          <w:sz w:val="20"/>
        </w:rPr>
        <w:tab/>
      </w:r>
      <w:r w:rsidRPr="002453F7">
        <w:rPr>
          <w:sz w:val="20"/>
        </w:rPr>
        <w:t>particulate matter</w:t>
      </w:r>
      <w:r w:rsidRPr="002453F7">
        <w:rPr>
          <w:b/>
          <w:sz w:val="20"/>
        </w:rPr>
        <w:t xml:space="preserve"> </w:t>
      </w:r>
      <w:r w:rsidRPr="002453F7">
        <w:rPr>
          <w:sz w:val="20"/>
        </w:rPr>
        <w:t>less than 0.1 µm in diameter, that may enter the bloodstream, sometimes referred to as ‘ultrafine’ particulate matter</w:t>
      </w:r>
    </w:p>
    <w:p w14:paraId="72252C7E" w14:textId="77777777" w:rsidR="002F258D" w:rsidRPr="002453F7" w:rsidRDefault="002F258D" w:rsidP="0090025D">
      <w:pPr>
        <w:pStyle w:val="Glossary"/>
        <w:rPr>
          <w:sz w:val="20"/>
        </w:rPr>
      </w:pPr>
    </w:p>
    <w:p w14:paraId="1728D9EF" w14:textId="77777777" w:rsidR="007019E8" w:rsidRPr="002453F7" w:rsidRDefault="007019E8" w:rsidP="0090025D">
      <w:pPr>
        <w:pStyle w:val="Glossary"/>
        <w:rPr>
          <w:sz w:val="20"/>
        </w:rPr>
      </w:pPr>
      <w:r w:rsidRPr="002453F7">
        <w:rPr>
          <w:b/>
          <w:sz w:val="20"/>
        </w:rPr>
        <w:t>PM</w:t>
      </w:r>
      <w:r w:rsidRPr="002453F7">
        <w:rPr>
          <w:b/>
          <w:sz w:val="20"/>
          <w:vertAlign w:val="subscript"/>
        </w:rPr>
        <w:t>2.5</w:t>
      </w:r>
      <w:r w:rsidRPr="002453F7">
        <w:rPr>
          <w:b/>
          <w:sz w:val="20"/>
        </w:rPr>
        <w:tab/>
      </w:r>
      <w:r w:rsidR="002F258D" w:rsidRPr="002453F7">
        <w:rPr>
          <w:sz w:val="20"/>
        </w:rPr>
        <w:t xml:space="preserve">particulate </w:t>
      </w:r>
      <w:r w:rsidRPr="002453F7">
        <w:rPr>
          <w:sz w:val="20"/>
        </w:rPr>
        <w:t>matter</w:t>
      </w:r>
      <w:r w:rsidRPr="002453F7">
        <w:rPr>
          <w:b/>
          <w:sz w:val="20"/>
        </w:rPr>
        <w:t xml:space="preserve"> </w:t>
      </w:r>
      <w:r w:rsidRPr="002453F7">
        <w:rPr>
          <w:sz w:val="20"/>
        </w:rPr>
        <w:t>less than 2.5 µm in diam</w:t>
      </w:r>
      <w:r w:rsidR="002F258D" w:rsidRPr="002453F7">
        <w:rPr>
          <w:sz w:val="20"/>
        </w:rPr>
        <w:t>eter, that deposits in the very small airways deep in the lung, sometimes referred to as ‘</w:t>
      </w:r>
      <w:r w:rsidRPr="002453F7">
        <w:rPr>
          <w:sz w:val="20"/>
        </w:rPr>
        <w:t>fine</w:t>
      </w:r>
      <w:r w:rsidR="002F258D" w:rsidRPr="002453F7">
        <w:rPr>
          <w:sz w:val="20"/>
        </w:rPr>
        <w:t>’</w:t>
      </w:r>
      <w:r w:rsidRPr="002453F7">
        <w:rPr>
          <w:sz w:val="20"/>
        </w:rPr>
        <w:t xml:space="preserve"> particulate matter</w:t>
      </w:r>
    </w:p>
    <w:p w14:paraId="153D588E" w14:textId="77777777" w:rsidR="002F258D" w:rsidRPr="002453F7" w:rsidRDefault="002F258D" w:rsidP="0090025D">
      <w:pPr>
        <w:pStyle w:val="Glossary"/>
        <w:rPr>
          <w:sz w:val="20"/>
        </w:rPr>
      </w:pPr>
    </w:p>
    <w:p w14:paraId="6D7AF1EF" w14:textId="77777777" w:rsidR="007019E8" w:rsidRPr="002453F7" w:rsidRDefault="002F258D" w:rsidP="0090025D">
      <w:pPr>
        <w:pStyle w:val="Glossary"/>
        <w:rPr>
          <w:sz w:val="20"/>
        </w:rPr>
      </w:pPr>
      <w:r w:rsidRPr="002453F7">
        <w:rPr>
          <w:b/>
          <w:sz w:val="20"/>
        </w:rPr>
        <w:t>PM</w:t>
      </w:r>
      <w:r w:rsidRPr="002453F7">
        <w:rPr>
          <w:b/>
          <w:sz w:val="20"/>
          <w:vertAlign w:val="subscript"/>
        </w:rPr>
        <w:t>2.5-10</w:t>
      </w:r>
      <w:r w:rsidRPr="002453F7">
        <w:rPr>
          <w:sz w:val="20"/>
        </w:rPr>
        <w:tab/>
        <w:t>particulate matter between 2.5 µm and 10 µm in diameter that deposits in the upper airways, sometimes referred to as ‘coarse’ particulate matter</w:t>
      </w:r>
    </w:p>
    <w:p w14:paraId="20A0606D" w14:textId="77777777" w:rsidR="002F258D" w:rsidRPr="002453F7" w:rsidRDefault="002F258D" w:rsidP="0090025D">
      <w:pPr>
        <w:pStyle w:val="Glossary"/>
        <w:rPr>
          <w:sz w:val="20"/>
        </w:rPr>
      </w:pPr>
    </w:p>
    <w:p w14:paraId="43A00027" w14:textId="77777777" w:rsidR="007019E8" w:rsidRPr="002453F7" w:rsidRDefault="007019E8" w:rsidP="0090025D">
      <w:pPr>
        <w:pStyle w:val="Glossary"/>
        <w:rPr>
          <w:sz w:val="20"/>
        </w:rPr>
      </w:pPr>
      <w:r w:rsidRPr="002453F7">
        <w:rPr>
          <w:b/>
          <w:sz w:val="20"/>
        </w:rPr>
        <w:t>PM</w:t>
      </w:r>
      <w:r w:rsidRPr="002453F7">
        <w:rPr>
          <w:b/>
          <w:sz w:val="20"/>
          <w:vertAlign w:val="subscript"/>
        </w:rPr>
        <w:t>10</w:t>
      </w:r>
      <w:r w:rsidRPr="002453F7">
        <w:rPr>
          <w:b/>
          <w:sz w:val="20"/>
        </w:rPr>
        <w:tab/>
      </w:r>
      <w:r w:rsidR="002F258D" w:rsidRPr="002453F7">
        <w:rPr>
          <w:sz w:val="20"/>
        </w:rPr>
        <w:t xml:space="preserve">particulate </w:t>
      </w:r>
      <w:r w:rsidRPr="002453F7">
        <w:rPr>
          <w:sz w:val="20"/>
        </w:rPr>
        <w:t>matter</w:t>
      </w:r>
      <w:r w:rsidRPr="002453F7">
        <w:rPr>
          <w:b/>
          <w:sz w:val="20"/>
        </w:rPr>
        <w:t xml:space="preserve"> </w:t>
      </w:r>
      <w:r w:rsidRPr="002453F7">
        <w:rPr>
          <w:sz w:val="20"/>
        </w:rPr>
        <w:t>less than 10 µm in diameter</w:t>
      </w:r>
    </w:p>
    <w:p w14:paraId="6C32A7BD" w14:textId="77777777" w:rsidR="007019E8" w:rsidRPr="002453F7" w:rsidRDefault="007019E8" w:rsidP="0090025D">
      <w:pPr>
        <w:pStyle w:val="Glossary"/>
        <w:rPr>
          <w:sz w:val="20"/>
        </w:rPr>
      </w:pPr>
    </w:p>
    <w:p w14:paraId="6E59FA1D" w14:textId="77777777" w:rsidR="007019E8" w:rsidRPr="002453F7" w:rsidRDefault="009B3A00" w:rsidP="0090025D">
      <w:pPr>
        <w:pStyle w:val="Glossary"/>
        <w:rPr>
          <w:sz w:val="20"/>
        </w:rPr>
      </w:pPr>
      <w:r w:rsidRPr="002453F7">
        <w:rPr>
          <w:b/>
          <w:sz w:val="20"/>
        </w:rPr>
        <w:t xml:space="preserve">polluted </w:t>
      </w:r>
      <w:r w:rsidR="007019E8" w:rsidRPr="002453F7">
        <w:rPr>
          <w:b/>
          <w:sz w:val="20"/>
        </w:rPr>
        <w:t>airshed</w:t>
      </w:r>
      <w:r w:rsidR="007019E8" w:rsidRPr="002453F7">
        <w:rPr>
          <w:sz w:val="20"/>
        </w:rPr>
        <w:tab/>
        <w:t xml:space="preserve">An airshed that with more than 1.0 average annual exceedances </w:t>
      </w:r>
      <w:r w:rsidRPr="002453F7">
        <w:rPr>
          <w:sz w:val="20"/>
        </w:rPr>
        <w:t>of the ambient PM</w:t>
      </w:r>
      <w:r w:rsidRPr="002453F7">
        <w:rPr>
          <w:sz w:val="20"/>
          <w:vertAlign w:val="subscript"/>
        </w:rPr>
        <w:t>10</w:t>
      </w:r>
      <w:r w:rsidRPr="002453F7">
        <w:rPr>
          <w:sz w:val="20"/>
        </w:rPr>
        <w:t xml:space="preserve"> standard </w:t>
      </w:r>
      <w:r w:rsidR="007019E8" w:rsidRPr="002453F7">
        <w:rPr>
          <w:sz w:val="20"/>
        </w:rPr>
        <w:t>for the immediately prior 5-year period, calculated from meaningful data for up to 5-years of monitoring data</w:t>
      </w:r>
    </w:p>
    <w:p w14:paraId="0CDD1F80" w14:textId="77777777" w:rsidR="00522FFC" w:rsidRPr="002453F7" w:rsidRDefault="00522FFC" w:rsidP="0090025D">
      <w:pPr>
        <w:pStyle w:val="Glossary"/>
        <w:rPr>
          <w:sz w:val="20"/>
        </w:rPr>
      </w:pPr>
    </w:p>
    <w:p w14:paraId="1A0E39CF" w14:textId="77777777" w:rsidR="00522FFC" w:rsidRPr="002453F7" w:rsidRDefault="00522FFC" w:rsidP="0090025D">
      <w:pPr>
        <w:pStyle w:val="Glossary"/>
        <w:rPr>
          <w:sz w:val="20"/>
        </w:rPr>
      </w:pPr>
      <w:r w:rsidRPr="002453F7">
        <w:rPr>
          <w:b/>
          <w:sz w:val="20"/>
        </w:rPr>
        <w:t>ppm</w:t>
      </w:r>
      <w:r w:rsidR="009B3A00" w:rsidRPr="002453F7">
        <w:rPr>
          <w:sz w:val="20"/>
        </w:rPr>
        <w:tab/>
        <w:t>parts per million</w:t>
      </w:r>
    </w:p>
    <w:p w14:paraId="2ECC788A" w14:textId="77777777" w:rsidR="007019E8" w:rsidRPr="002453F7" w:rsidRDefault="007019E8" w:rsidP="0090025D">
      <w:pPr>
        <w:pStyle w:val="Glossary"/>
        <w:rPr>
          <w:sz w:val="20"/>
        </w:rPr>
      </w:pPr>
    </w:p>
    <w:p w14:paraId="753924C4" w14:textId="77777777" w:rsidR="007019E8" w:rsidRPr="002453F7" w:rsidRDefault="007019E8" w:rsidP="0090025D">
      <w:pPr>
        <w:pStyle w:val="Glossary"/>
        <w:rPr>
          <w:b/>
          <w:sz w:val="20"/>
        </w:rPr>
      </w:pPr>
      <w:r w:rsidRPr="002453F7">
        <w:rPr>
          <w:b/>
          <w:sz w:val="20"/>
        </w:rPr>
        <w:t>RMA</w:t>
      </w:r>
      <w:r w:rsidRPr="002453F7">
        <w:rPr>
          <w:b/>
          <w:sz w:val="20"/>
        </w:rPr>
        <w:tab/>
      </w:r>
      <w:r w:rsidRPr="002453F7">
        <w:rPr>
          <w:sz w:val="20"/>
        </w:rPr>
        <w:t>Resource Management Act 1991</w:t>
      </w:r>
    </w:p>
    <w:p w14:paraId="2C445CDB" w14:textId="77777777" w:rsidR="007019E8" w:rsidRPr="002453F7" w:rsidRDefault="007019E8" w:rsidP="0090025D">
      <w:pPr>
        <w:pStyle w:val="Glossary"/>
        <w:rPr>
          <w:sz w:val="20"/>
        </w:rPr>
      </w:pPr>
    </w:p>
    <w:p w14:paraId="55AAF587" w14:textId="77777777" w:rsidR="007019E8" w:rsidRPr="002453F7" w:rsidRDefault="007019E8" w:rsidP="0090025D">
      <w:pPr>
        <w:pStyle w:val="Glossary"/>
        <w:rPr>
          <w:b/>
          <w:sz w:val="20"/>
        </w:rPr>
      </w:pPr>
      <w:r w:rsidRPr="002453F7">
        <w:rPr>
          <w:b/>
          <w:sz w:val="20"/>
        </w:rPr>
        <w:t>SO</w:t>
      </w:r>
      <w:r w:rsidRPr="002453F7">
        <w:rPr>
          <w:b/>
          <w:sz w:val="20"/>
          <w:vertAlign w:val="subscript"/>
        </w:rPr>
        <w:t>2</w:t>
      </w:r>
      <w:r w:rsidRPr="002453F7">
        <w:rPr>
          <w:b/>
          <w:sz w:val="20"/>
        </w:rPr>
        <w:tab/>
      </w:r>
      <w:r w:rsidRPr="002453F7">
        <w:rPr>
          <w:sz w:val="20"/>
        </w:rPr>
        <w:t>sulphur dioxide</w:t>
      </w:r>
    </w:p>
    <w:p w14:paraId="1A9A302F" w14:textId="77777777" w:rsidR="007019E8" w:rsidRPr="002453F7" w:rsidRDefault="007019E8" w:rsidP="0090025D">
      <w:pPr>
        <w:pStyle w:val="Glossary"/>
        <w:rPr>
          <w:sz w:val="20"/>
        </w:rPr>
      </w:pPr>
    </w:p>
    <w:p w14:paraId="28374362" w14:textId="77777777" w:rsidR="007019E8" w:rsidRPr="002453F7" w:rsidRDefault="007B47EB" w:rsidP="0090025D">
      <w:pPr>
        <w:pStyle w:val="Glossary"/>
        <w:rPr>
          <w:b/>
          <w:sz w:val="20"/>
        </w:rPr>
      </w:pPr>
      <w:r w:rsidRPr="002453F7">
        <w:rPr>
          <w:b/>
          <w:sz w:val="20"/>
        </w:rPr>
        <w:t xml:space="preserve">solid </w:t>
      </w:r>
      <w:r w:rsidR="007019E8" w:rsidRPr="002453F7">
        <w:rPr>
          <w:b/>
          <w:sz w:val="20"/>
        </w:rPr>
        <w:t>fuel</w:t>
      </w:r>
      <w:r w:rsidR="007019E8" w:rsidRPr="002453F7">
        <w:rPr>
          <w:b/>
          <w:sz w:val="20"/>
        </w:rPr>
        <w:tab/>
      </w:r>
      <w:r w:rsidR="007019E8" w:rsidRPr="002453F7">
        <w:rPr>
          <w:sz w:val="20"/>
        </w:rPr>
        <w:t xml:space="preserve">coal </w:t>
      </w:r>
      <w:r w:rsidRPr="002453F7">
        <w:rPr>
          <w:sz w:val="20"/>
        </w:rPr>
        <w:t>or</w:t>
      </w:r>
      <w:r w:rsidR="007019E8" w:rsidRPr="002453F7">
        <w:rPr>
          <w:sz w:val="20"/>
        </w:rPr>
        <w:t xml:space="preserve"> wood (including wood pellets)</w:t>
      </w:r>
    </w:p>
    <w:p w14:paraId="6B20C4F1" w14:textId="77777777" w:rsidR="007B47EB" w:rsidRPr="002453F7" w:rsidRDefault="007B47EB" w:rsidP="0090025D">
      <w:pPr>
        <w:pStyle w:val="Glossary"/>
        <w:rPr>
          <w:sz w:val="20"/>
        </w:rPr>
      </w:pPr>
    </w:p>
    <w:p w14:paraId="6330302F" w14:textId="77777777" w:rsidR="007B47EB" w:rsidRPr="002453F7" w:rsidRDefault="007B47EB" w:rsidP="0090025D">
      <w:pPr>
        <w:pStyle w:val="Glossary"/>
        <w:rPr>
          <w:sz w:val="20"/>
        </w:rPr>
      </w:pPr>
      <w:r w:rsidRPr="002453F7">
        <w:rPr>
          <w:b/>
          <w:sz w:val="20"/>
        </w:rPr>
        <w:t>The 2011 Users’ Guide</w:t>
      </w:r>
      <w:r w:rsidRPr="002453F7">
        <w:rPr>
          <w:b/>
          <w:sz w:val="20"/>
        </w:rPr>
        <w:tab/>
      </w:r>
      <w:r w:rsidRPr="002453F7">
        <w:rPr>
          <w:sz w:val="20"/>
        </w:rPr>
        <w:t>The 2011 Users’ Guide to the revised National Environmental Standard for Air Quality</w:t>
      </w:r>
    </w:p>
    <w:p w14:paraId="4AB564CC" w14:textId="77777777" w:rsidR="007019E8" w:rsidRPr="002453F7" w:rsidRDefault="007019E8" w:rsidP="0090025D">
      <w:pPr>
        <w:pStyle w:val="Glossary"/>
        <w:rPr>
          <w:sz w:val="20"/>
        </w:rPr>
      </w:pPr>
    </w:p>
    <w:p w14:paraId="2BE8CB44" w14:textId="77777777" w:rsidR="007019E8" w:rsidRPr="002453F7" w:rsidRDefault="007019E8" w:rsidP="0090025D">
      <w:pPr>
        <w:pStyle w:val="Glossary"/>
        <w:rPr>
          <w:sz w:val="20"/>
        </w:rPr>
      </w:pPr>
      <w:r w:rsidRPr="002453F7">
        <w:rPr>
          <w:b/>
          <w:sz w:val="20"/>
        </w:rPr>
        <w:t>The Regulations</w:t>
      </w:r>
      <w:r w:rsidRPr="002453F7">
        <w:rPr>
          <w:b/>
          <w:sz w:val="20"/>
        </w:rPr>
        <w:tab/>
      </w:r>
      <w:r w:rsidRPr="002453F7">
        <w:rPr>
          <w:sz w:val="20"/>
        </w:rPr>
        <w:t>The Resource Management (National Environmental Standards for Air Quality) Regulations 2004, which includes the amendments made in 2004, 2005, 2008 and 2011</w:t>
      </w:r>
    </w:p>
    <w:p w14:paraId="1CCAAB6C" w14:textId="77777777" w:rsidR="009B3A00" w:rsidRPr="002453F7" w:rsidRDefault="009B3A00" w:rsidP="0090025D">
      <w:pPr>
        <w:pStyle w:val="Glossary"/>
        <w:rPr>
          <w:sz w:val="20"/>
        </w:rPr>
      </w:pPr>
    </w:p>
    <w:p w14:paraId="261F1F29" w14:textId="77777777" w:rsidR="0028566D" w:rsidRPr="002453F7" w:rsidRDefault="0028566D" w:rsidP="0090025D">
      <w:pPr>
        <w:pStyle w:val="Glossary"/>
        <w:rPr>
          <w:sz w:val="20"/>
        </w:rPr>
      </w:pPr>
      <w:r w:rsidRPr="002453F7">
        <w:rPr>
          <w:b/>
          <w:sz w:val="20"/>
        </w:rPr>
        <w:t xml:space="preserve">The </w:t>
      </w:r>
      <w:r w:rsidR="009B3A00" w:rsidRPr="002453F7">
        <w:rPr>
          <w:b/>
          <w:sz w:val="20"/>
        </w:rPr>
        <w:t xml:space="preserve">Compliance </w:t>
      </w:r>
      <w:r w:rsidRPr="002453F7">
        <w:rPr>
          <w:b/>
          <w:sz w:val="20"/>
        </w:rPr>
        <w:t>Strategy</w:t>
      </w:r>
      <w:r w:rsidRPr="002453F7">
        <w:rPr>
          <w:b/>
          <w:sz w:val="20"/>
        </w:rPr>
        <w:tab/>
      </w:r>
      <w:r w:rsidR="009B3A00" w:rsidRPr="002453F7">
        <w:rPr>
          <w:sz w:val="20"/>
        </w:rPr>
        <w:t>Clean Healthy Air for All New Zealanders: The National Air Quality Compliance Strategy to Meet the PM</w:t>
      </w:r>
      <w:r w:rsidR="009B3A00" w:rsidRPr="002453F7">
        <w:rPr>
          <w:sz w:val="20"/>
          <w:vertAlign w:val="subscript"/>
        </w:rPr>
        <w:t>10</w:t>
      </w:r>
      <w:r w:rsidR="009B3A00" w:rsidRPr="002453F7">
        <w:rPr>
          <w:sz w:val="20"/>
        </w:rPr>
        <w:t xml:space="preserve"> Standard</w:t>
      </w:r>
    </w:p>
    <w:p w14:paraId="12FB21F8" w14:textId="77777777" w:rsidR="007B47EB" w:rsidRPr="002453F7" w:rsidRDefault="007B47EB" w:rsidP="0090025D">
      <w:pPr>
        <w:pStyle w:val="Glossary"/>
        <w:rPr>
          <w:sz w:val="20"/>
        </w:rPr>
      </w:pPr>
    </w:p>
    <w:p w14:paraId="4752D1CE" w14:textId="77777777" w:rsidR="007B47EB" w:rsidRPr="002453F7" w:rsidRDefault="007B47EB" w:rsidP="0090025D">
      <w:pPr>
        <w:pStyle w:val="Glossary"/>
        <w:rPr>
          <w:sz w:val="20"/>
        </w:rPr>
      </w:pPr>
      <w:r w:rsidRPr="002453F7">
        <w:rPr>
          <w:b/>
          <w:sz w:val="20"/>
        </w:rPr>
        <w:t>threshold concentration</w:t>
      </w:r>
      <w:r w:rsidRPr="002453F7">
        <w:rPr>
          <w:sz w:val="20"/>
        </w:rPr>
        <w:tab/>
        <w:t>the concentration of the contaminant specified in the second column of the table in Schedule 1 of the Regulations calculated as a mean for the time period specified in the column</w:t>
      </w:r>
    </w:p>
    <w:p w14:paraId="4F4793D7" w14:textId="77777777" w:rsidR="003174D3" w:rsidRPr="002453F7" w:rsidRDefault="003174D3" w:rsidP="0090025D">
      <w:pPr>
        <w:pStyle w:val="Glossary"/>
        <w:rPr>
          <w:sz w:val="20"/>
        </w:rPr>
      </w:pPr>
    </w:p>
    <w:p w14:paraId="07FF8E4E" w14:textId="77777777" w:rsidR="003174D3" w:rsidRPr="002453F7" w:rsidRDefault="003174D3" w:rsidP="0090025D">
      <w:pPr>
        <w:pStyle w:val="BodyText"/>
        <w:rPr>
          <w:sz w:val="20"/>
        </w:rPr>
      </w:pPr>
      <w:r w:rsidRPr="002453F7">
        <w:rPr>
          <w:b/>
          <w:sz w:val="20"/>
        </w:rPr>
        <w:t>taonga</w:t>
      </w:r>
      <w:r w:rsidRPr="002453F7">
        <w:rPr>
          <w:sz w:val="20"/>
        </w:rPr>
        <w:t xml:space="preserve"> </w:t>
      </w:r>
      <w:r w:rsidRPr="002453F7">
        <w:rPr>
          <w:sz w:val="20"/>
        </w:rPr>
        <w:tab/>
      </w:r>
      <w:r w:rsidR="00557BD1">
        <w:rPr>
          <w:sz w:val="20"/>
        </w:rPr>
        <w:tab/>
      </w:r>
      <w:r w:rsidR="00557BD1">
        <w:rPr>
          <w:sz w:val="20"/>
        </w:rPr>
        <w:tab/>
      </w:r>
      <w:r w:rsidR="00557BD1">
        <w:rPr>
          <w:sz w:val="20"/>
        </w:rPr>
        <w:tab/>
      </w:r>
      <w:r w:rsidR="00557BD1">
        <w:rPr>
          <w:sz w:val="20"/>
        </w:rPr>
        <w:tab/>
      </w:r>
      <w:r w:rsidR="00557BD1">
        <w:rPr>
          <w:sz w:val="20"/>
        </w:rPr>
        <w:tab/>
      </w:r>
      <w:r w:rsidRPr="002453F7">
        <w:rPr>
          <w:sz w:val="20"/>
        </w:rPr>
        <w:t>a treasured thing in Māori culture, whether tangible or intangible</w:t>
      </w:r>
    </w:p>
    <w:p w14:paraId="7202E8BA" w14:textId="77777777" w:rsidR="00FC24A6" w:rsidRPr="002453F7" w:rsidRDefault="00FC24A6" w:rsidP="0090025D">
      <w:pPr>
        <w:pStyle w:val="Glossary"/>
        <w:rPr>
          <w:sz w:val="20"/>
        </w:rPr>
      </w:pPr>
    </w:p>
    <w:p w14:paraId="74A70FB8" w14:textId="77777777" w:rsidR="009B3A00" w:rsidRPr="002453F7" w:rsidRDefault="009B3A00" w:rsidP="0090025D">
      <w:pPr>
        <w:pStyle w:val="Glossary"/>
        <w:rPr>
          <w:sz w:val="20"/>
        </w:rPr>
      </w:pPr>
      <w:r w:rsidRPr="002453F7">
        <w:rPr>
          <w:b/>
          <w:sz w:val="20"/>
        </w:rPr>
        <w:t>toxic air pollutants</w:t>
      </w:r>
      <w:r w:rsidRPr="002453F7">
        <w:rPr>
          <w:sz w:val="20"/>
        </w:rPr>
        <w:t xml:space="preserve"> </w:t>
      </w:r>
      <w:r w:rsidRPr="002453F7">
        <w:rPr>
          <w:sz w:val="20"/>
        </w:rPr>
        <w:tab/>
        <w:t>refer hazardous air pollutants</w:t>
      </w:r>
    </w:p>
    <w:p w14:paraId="4812F244" w14:textId="77777777" w:rsidR="0028566D" w:rsidRPr="002453F7" w:rsidRDefault="0028566D" w:rsidP="0090025D">
      <w:pPr>
        <w:pStyle w:val="Glossary"/>
        <w:rPr>
          <w:sz w:val="20"/>
        </w:rPr>
      </w:pPr>
    </w:p>
    <w:p w14:paraId="19E4EE40" w14:textId="77777777" w:rsidR="007B47EB" w:rsidRPr="002453F7" w:rsidRDefault="007B47EB" w:rsidP="0090025D">
      <w:pPr>
        <w:pStyle w:val="Glossary"/>
        <w:rPr>
          <w:b/>
          <w:sz w:val="20"/>
        </w:rPr>
      </w:pPr>
      <w:r w:rsidRPr="002453F7">
        <w:rPr>
          <w:b/>
          <w:sz w:val="20"/>
        </w:rPr>
        <w:t>USEPA</w:t>
      </w:r>
      <w:r w:rsidRPr="002453F7">
        <w:rPr>
          <w:sz w:val="20"/>
        </w:rPr>
        <w:tab/>
        <w:t>United States Environmental Protection Agency</w:t>
      </w:r>
    </w:p>
    <w:p w14:paraId="7E94D507" w14:textId="77777777" w:rsidR="007B47EB" w:rsidRPr="002453F7" w:rsidRDefault="007B47EB" w:rsidP="0090025D">
      <w:pPr>
        <w:pStyle w:val="Glossary"/>
        <w:rPr>
          <w:sz w:val="20"/>
        </w:rPr>
      </w:pPr>
    </w:p>
    <w:p w14:paraId="2EBD6E32" w14:textId="77777777" w:rsidR="0028566D" w:rsidRPr="002453F7" w:rsidRDefault="0028566D" w:rsidP="0090025D">
      <w:pPr>
        <w:pStyle w:val="Glossary"/>
        <w:rPr>
          <w:sz w:val="20"/>
        </w:rPr>
      </w:pPr>
      <w:r w:rsidRPr="002453F7">
        <w:rPr>
          <w:b/>
          <w:sz w:val="20"/>
        </w:rPr>
        <w:t>VOC</w:t>
      </w:r>
      <w:r w:rsidRPr="002453F7">
        <w:rPr>
          <w:b/>
          <w:sz w:val="20"/>
        </w:rPr>
        <w:tab/>
      </w:r>
      <w:r w:rsidRPr="002453F7">
        <w:rPr>
          <w:sz w:val="20"/>
        </w:rPr>
        <w:t>volatile organic compound</w:t>
      </w:r>
    </w:p>
    <w:p w14:paraId="3439495C" w14:textId="77777777" w:rsidR="0028566D" w:rsidRPr="002453F7" w:rsidRDefault="0028566D" w:rsidP="0090025D">
      <w:pPr>
        <w:pStyle w:val="Glossary"/>
        <w:rPr>
          <w:sz w:val="20"/>
        </w:rPr>
      </w:pPr>
    </w:p>
    <w:p w14:paraId="14C0160E" w14:textId="77777777" w:rsidR="007B47EB" w:rsidRPr="002453F7" w:rsidRDefault="007B47EB" w:rsidP="0090025D">
      <w:pPr>
        <w:pStyle w:val="Glossary"/>
        <w:rPr>
          <w:sz w:val="20"/>
        </w:rPr>
      </w:pPr>
      <w:r w:rsidRPr="002453F7">
        <w:rPr>
          <w:b/>
          <w:sz w:val="20"/>
        </w:rPr>
        <w:t>WHO</w:t>
      </w:r>
      <w:r w:rsidRPr="002453F7">
        <w:rPr>
          <w:sz w:val="20"/>
        </w:rPr>
        <w:tab/>
        <w:t>World Health Organisation</w:t>
      </w:r>
    </w:p>
    <w:p w14:paraId="281AE371" w14:textId="77777777" w:rsidR="007B47EB" w:rsidRPr="002453F7" w:rsidRDefault="007B47EB" w:rsidP="0090025D">
      <w:pPr>
        <w:pStyle w:val="Glossary"/>
        <w:rPr>
          <w:sz w:val="20"/>
        </w:rPr>
      </w:pPr>
    </w:p>
    <w:p w14:paraId="2A941D0D" w14:textId="77777777" w:rsidR="002F258D" w:rsidRPr="002453F7" w:rsidRDefault="002F258D" w:rsidP="0090025D">
      <w:pPr>
        <w:rPr>
          <w:sz w:val="20"/>
        </w:rPr>
      </w:pPr>
      <w:r w:rsidRPr="002453F7">
        <w:rPr>
          <w:b/>
          <w:sz w:val="20"/>
        </w:rPr>
        <w:t>woodburner</w:t>
      </w:r>
      <w:r w:rsidR="0028566D" w:rsidRPr="002453F7">
        <w:rPr>
          <w:sz w:val="20"/>
        </w:rPr>
        <w:tab/>
      </w:r>
      <w:r w:rsidR="00557BD1">
        <w:rPr>
          <w:sz w:val="20"/>
        </w:rPr>
        <w:tab/>
      </w:r>
      <w:r w:rsidR="00557BD1">
        <w:rPr>
          <w:sz w:val="20"/>
        </w:rPr>
        <w:tab/>
      </w:r>
      <w:r w:rsidR="00557BD1">
        <w:rPr>
          <w:sz w:val="20"/>
        </w:rPr>
        <w:tab/>
      </w:r>
      <w:r w:rsidR="00557BD1">
        <w:rPr>
          <w:sz w:val="20"/>
        </w:rPr>
        <w:tab/>
      </w:r>
      <w:r w:rsidRPr="002453F7">
        <w:rPr>
          <w:sz w:val="20"/>
        </w:rPr>
        <w:t xml:space="preserve">a fully enclosed metal firebox only designed to burn wood (and paper)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Pr="002453F7">
        <w:rPr>
          <w:sz w:val="20"/>
        </w:rPr>
        <w:t xml:space="preserve">with a door primary and secondary air controls to allow for the </w:t>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00557BD1">
        <w:rPr>
          <w:sz w:val="20"/>
        </w:rPr>
        <w:tab/>
      </w:r>
      <w:r w:rsidRPr="002453F7">
        <w:rPr>
          <w:sz w:val="20"/>
        </w:rPr>
        <w:t>efficient burning of wood within the combustion chamber</w:t>
      </w:r>
    </w:p>
    <w:p w14:paraId="0F2B3BA4" w14:textId="77777777" w:rsidR="00725A18" w:rsidRPr="005267D4" w:rsidRDefault="00794448" w:rsidP="0090025D">
      <w:pPr>
        <w:pStyle w:val="Heading1"/>
      </w:pPr>
      <w:r w:rsidRPr="005267D4">
        <w:br w:type="page"/>
      </w:r>
      <w:bookmarkStart w:id="340" w:name="_Toc214704941"/>
      <w:bookmarkStart w:id="341" w:name="_Toc300856642"/>
      <w:r w:rsidR="00725A18" w:rsidRPr="005267D4">
        <w:t>References</w:t>
      </w:r>
      <w:bookmarkEnd w:id="339"/>
      <w:bookmarkEnd w:id="340"/>
      <w:bookmarkEnd w:id="341"/>
    </w:p>
    <w:p w14:paraId="089BB3BC" w14:textId="77777777" w:rsidR="00FE7B16" w:rsidRPr="00557BD1" w:rsidRDefault="00FE7B16" w:rsidP="00557BD1">
      <w:pPr>
        <w:spacing w:after="120"/>
        <w:rPr>
          <w:caps/>
          <w:sz w:val="20"/>
        </w:rPr>
      </w:pPr>
      <w:r w:rsidRPr="00557BD1">
        <w:rPr>
          <w:sz w:val="20"/>
        </w:rPr>
        <w:t xml:space="preserve">Auckland Regional Council. 2005. </w:t>
      </w:r>
      <w:r w:rsidR="00557BD1" w:rsidRPr="00557BD1">
        <w:rPr>
          <w:i/>
          <w:sz w:val="20"/>
        </w:rPr>
        <w:t xml:space="preserve">Improving Air Quality in </w:t>
      </w:r>
      <w:r w:rsidRPr="00557BD1">
        <w:rPr>
          <w:i/>
          <w:sz w:val="20"/>
        </w:rPr>
        <w:t>Auckland: Bus Emissions Prediction Model</w:t>
      </w:r>
      <w:r w:rsidRPr="00557BD1">
        <w:rPr>
          <w:sz w:val="20"/>
        </w:rPr>
        <w:t>. Auckland: Auckland Regional Council.</w:t>
      </w:r>
    </w:p>
    <w:p w14:paraId="584AECC4" w14:textId="77777777" w:rsidR="0028566D" w:rsidRPr="00557BD1" w:rsidRDefault="0028566D" w:rsidP="00557BD1">
      <w:pPr>
        <w:spacing w:after="120"/>
        <w:rPr>
          <w:sz w:val="20"/>
        </w:rPr>
      </w:pPr>
      <w:r w:rsidRPr="00557BD1">
        <w:rPr>
          <w:sz w:val="20"/>
        </w:rPr>
        <w:t>Auckland Re</w:t>
      </w:r>
      <w:r w:rsidR="00557BD1" w:rsidRPr="00557BD1">
        <w:rPr>
          <w:sz w:val="20"/>
        </w:rPr>
        <w:t xml:space="preserve">gional Council. February 2006. </w:t>
      </w:r>
      <w:r w:rsidRPr="00557BD1">
        <w:rPr>
          <w:i/>
          <w:sz w:val="20"/>
        </w:rPr>
        <w:t>Auckland Air Emissions Inventory 2004</w:t>
      </w:r>
      <w:r w:rsidR="00557BD1" w:rsidRPr="00557BD1">
        <w:rPr>
          <w:sz w:val="20"/>
        </w:rPr>
        <w:t>.</w:t>
      </w:r>
      <w:r w:rsidR="00232543" w:rsidRPr="00557BD1">
        <w:rPr>
          <w:sz w:val="20"/>
        </w:rPr>
        <w:t xml:space="preserve"> Auckland:</w:t>
      </w:r>
      <w:r w:rsidRPr="00557BD1">
        <w:rPr>
          <w:sz w:val="20"/>
        </w:rPr>
        <w:t xml:space="preserve"> Auckland Regional Council.</w:t>
      </w:r>
    </w:p>
    <w:p w14:paraId="4D6A0141" w14:textId="77777777" w:rsidR="00FE7B16" w:rsidRPr="00557BD1" w:rsidRDefault="00FE7B16" w:rsidP="00557BD1">
      <w:pPr>
        <w:spacing w:after="120"/>
        <w:rPr>
          <w:sz w:val="20"/>
        </w:rPr>
      </w:pPr>
      <w:r w:rsidRPr="00557BD1">
        <w:rPr>
          <w:sz w:val="20"/>
        </w:rPr>
        <w:t xml:space="preserve">Auckland Regional Council. 2009. </w:t>
      </w:r>
      <w:r w:rsidRPr="00557BD1">
        <w:rPr>
          <w:i/>
          <w:sz w:val="20"/>
        </w:rPr>
        <w:t>Vehicle Emission Prediction Model (VEPM), Version 3</w:t>
      </w:r>
      <w:r w:rsidRPr="00557BD1">
        <w:rPr>
          <w:sz w:val="20"/>
        </w:rPr>
        <w:t>. Auckland: Auckland Regional Council. Available on CD from Auckland Council.</w:t>
      </w:r>
    </w:p>
    <w:p w14:paraId="76BF0396" w14:textId="77777777" w:rsidR="0099050F" w:rsidRPr="00557BD1" w:rsidRDefault="0099050F" w:rsidP="00557BD1">
      <w:pPr>
        <w:spacing w:after="120"/>
        <w:rPr>
          <w:sz w:val="20"/>
        </w:rPr>
      </w:pPr>
      <w:r w:rsidRPr="00557BD1">
        <w:rPr>
          <w:sz w:val="20"/>
        </w:rPr>
        <w:t xml:space="preserve">Auckland Regional Council. 2010. </w:t>
      </w:r>
      <w:r w:rsidRPr="00557BD1">
        <w:rPr>
          <w:i/>
          <w:sz w:val="20"/>
        </w:rPr>
        <w:t>Estimation of Domestic Fire Emissions in 2006</w:t>
      </w:r>
      <w:r w:rsidRPr="00557BD1">
        <w:rPr>
          <w:sz w:val="20"/>
        </w:rPr>
        <w:t>, Report TP 2010/056. Auckland. Auckland Regional Council.</w:t>
      </w:r>
    </w:p>
    <w:p w14:paraId="18F97DB1" w14:textId="77777777" w:rsidR="0028566D" w:rsidRPr="00557BD1" w:rsidRDefault="0028566D" w:rsidP="00557BD1">
      <w:pPr>
        <w:pStyle w:val="References"/>
      </w:pPr>
      <w:r w:rsidRPr="00557BD1">
        <w:t xml:space="preserve">Elsom D. 2004. </w:t>
      </w:r>
      <w:r w:rsidRPr="00557BD1">
        <w:rPr>
          <w:i/>
        </w:rPr>
        <w:t>Air Quality Management – Highlighting Good Practice</w:t>
      </w:r>
      <w:r w:rsidRPr="00557BD1">
        <w:t>, Clean Air and Environmental Quality, Volume 38, No 1, Richmond, Victoria, Australia.</w:t>
      </w:r>
    </w:p>
    <w:p w14:paraId="3657ADDE" w14:textId="77777777" w:rsidR="0028566D" w:rsidRPr="00557BD1" w:rsidRDefault="0028566D" w:rsidP="0090025D">
      <w:pPr>
        <w:pStyle w:val="References"/>
      </w:pPr>
      <w:r w:rsidRPr="00557BD1">
        <w:t xml:space="preserve">Fisher G., Rolfe K., Kjellstrom T., Woodward A., Hales S., Sturman A., Kingham S., Petersen J., Shrestha R. and King D. 2002. </w:t>
      </w:r>
      <w:r w:rsidRPr="00557BD1">
        <w:rPr>
          <w:i/>
        </w:rPr>
        <w:t>Health Effects due to Motor Vehicle Pollution in New Zealand</w:t>
      </w:r>
      <w:r w:rsidR="00232543" w:rsidRPr="00557BD1">
        <w:t>. Wellington: Ministry of Transport</w:t>
      </w:r>
      <w:r w:rsidRPr="00557BD1">
        <w:t xml:space="preserve">. Available from </w:t>
      </w:r>
      <w:hyperlink r:id="rId46" w:history="1">
        <w:r w:rsidR="001B7E06" w:rsidRPr="00557BD1">
          <w:rPr>
            <w:rStyle w:val="Hyperlink"/>
            <w:color w:val="auto"/>
          </w:rPr>
          <w:t>www.</w:t>
        </w:r>
        <w:r w:rsidR="001B7E06" w:rsidRPr="00557BD1">
          <w:rPr>
            <w:rStyle w:val="Hyperlink"/>
            <w:color w:val="auto"/>
            <w:lang w:val="en-GB"/>
          </w:rPr>
          <w:t>hapinz.org.nz</w:t>
        </w:r>
      </w:hyperlink>
    </w:p>
    <w:p w14:paraId="5CB5EAD3" w14:textId="77777777" w:rsidR="0028566D" w:rsidRPr="00557BD1" w:rsidRDefault="0028566D" w:rsidP="0090025D">
      <w:pPr>
        <w:pStyle w:val="References"/>
      </w:pPr>
      <w:r w:rsidRPr="00557BD1">
        <w:t xml:space="preserve">Fisher G., </w:t>
      </w:r>
      <w:r w:rsidRPr="00557BD1">
        <w:rPr>
          <w:lang w:val="en-GB"/>
        </w:rPr>
        <w:t>Kjellstrom T., Kingham S., Hales S., Shrestha R. et al</w:t>
      </w:r>
      <w:r w:rsidRPr="00557BD1">
        <w:t xml:space="preserve">. 2007. </w:t>
      </w:r>
      <w:r w:rsidRPr="00557BD1">
        <w:rPr>
          <w:i/>
        </w:rPr>
        <w:t>Health and Air Pollution in New Zealand: Main Report</w:t>
      </w:r>
      <w:r w:rsidRPr="00557BD1">
        <w:t>, Report prepared for the Health Research Council of New Zealand, Ministry for the Environ</w:t>
      </w:r>
      <w:r w:rsidR="00232543" w:rsidRPr="00557BD1">
        <w:t>ment and Ministry of Transport. Wellington: Health Research Council.</w:t>
      </w:r>
    </w:p>
    <w:p w14:paraId="49FE7DF0" w14:textId="77777777" w:rsidR="001B7E06" w:rsidRPr="00557BD1" w:rsidRDefault="001B7E06" w:rsidP="00557BD1">
      <w:pPr>
        <w:spacing w:after="120"/>
        <w:rPr>
          <w:sz w:val="20"/>
        </w:rPr>
      </w:pPr>
      <w:r w:rsidRPr="00557BD1">
        <w:rPr>
          <w:sz w:val="20"/>
        </w:rPr>
        <w:t xml:space="preserve">Iremonger S. March 2010. </w:t>
      </w:r>
      <w:r w:rsidRPr="00557BD1">
        <w:rPr>
          <w:i/>
          <w:sz w:val="20"/>
        </w:rPr>
        <w:t>Environment Bay of Plenty Regional Council NERM Air Monitoring 2010.</w:t>
      </w:r>
      <w:r w:rsidRPr="00557BD1">
        <w:rPr>
          <w:sz w:val="20"/>
        </w:rPr>
        <w:t xml:space="preserve"> Whakatane. Environment Bay of Plenty Regional Council. Available on www.boprc.govt.nz</w:t>
      </w:r>
    </w:p>
    <w:p w14:paraId="43323F7F" w14:textId="77777777" w:rsidR="0028566D" w:rsidRPr="00557BD1" w:rsidRDefault="0028566D" w:rsidP="00557BD1">
      <w:pPr>
        <w:spacing w:after="120"/>
        <w:rPr>
          <w:sz w:val="20"/>
        </w:rPr>
      </w:pPr>
      <w:r w:rsidRPr="00557BD1">
        <w:rPr>
          <w:sz w:val="20"/>
        </w:rPr>
        <w:t>Kim N. 21 April 2011. PM</w:t>
      </w:r>
      <w:r w:rsidRPr="00557BD1">
        <w:rPr>
          <w:sz w:val="20"/>
          <w:vertAlign w:val="subscript"/>
        </w:rPr>
        <w:t>10</w:t>
      </w:r>
      <w:r w:rsidRPr="00557BD1">
        <w:rPr>
          <w:sz w:val="20"/>
        </w:rPr>
        <w:t xml:space="preserve"> in towns monitored by Waikato Regional Council to year ending 2010 – air quality, sources and trends.</w:t>
      </w:r>
      <w:r w:rsidR="00E24556" w:rsidRPr="00557BD1">
        <w:rPr>
          <w:sz w:val="20"/>
        </w:rPr>
        <w:t xml:space="preserve"> Hamilton:</w:t>
      </w:r>
      <w:r w:rsidRPr="00557BD1">
        <w:rPr>
          <w:sz w:val="20"/>
        </w:rPr>
        <w:t xml:space="preserve"> Waikato Regional Council.  </w:t>
      </w:r>
    </w:p>
    <w:p w14:paraId="79BAC6C5" w14:textId="77777777" w:rsidR="00232543" w:rsidRPr="00557BD1" w:rsidRDefault="00232543" w:rsidP="00557BD1">
      <w:pPr>
        <w:pStyle w:val="References"/>
      </w:pPr>
      <w:r w:rsidRPr="00557BD1">
        <w:t xml:space="preserve">Kuschel G. and Mahon K. 2010. </w:t>
      </w:r>
      <w:r w:rsidRPr="00557BD1">
        <w:rPr>
          <w:i/>
        </w:rPr>
        <w:t>A Review and Update of HAPINZ for the Auckland Region</w:t>
      </w:r>
      <w:r w:rsidRPr="00557BD1">
        <w:t>, Internal report no 2010/004 to Auckland Regional Council. Auckland: Auckland Regional Council.</w:t>
      </w:r>
    </w:p>
    <w:p w14:paraId="0D687964" w14:textId="77777777" w:rsidR="0007679E" w:rsidRPr="00557BD1" w:rsidRDefault="0007679E" w:rsidP="00557BD1">
      <w:pPr>
        <w:pStyle w:val="References"/>
      </w:pPr>
      <w:r w:rsidRPr="00557BD1">
        <w:t xml:space="preserve">Minister for the Environment. 2011. </w:t>
      </w:r>
      <w:r w:rsidRPr="00557BD1">
        <w:rPr>
          <w:i/>
        </w:rPr>
        <w:t>Amending the PM</w:t>
      </w:r>
      <w:r w:rsidRPr="00557BD1">
        <w:rPr>
          <w:i/>
          <w:vertAlign w:val="subscript"/>
        </w:rPr>
        <w:t>10</w:t>
      </w:r>
      <w:r w:rsidRPr="00557BD1">
        <w:rPr>
          <w:i/>
        </w:rPr>
        <w:t xml:space="preserve"> Air Quality Standards: Final Recommendations</w:t>
      </w:r>
      <w:r w:rsidRPr="00557BD1">
        <w:t xml:space="preserve">, Cabinet Paper prepared by Hon Dr Nick Smith. Wellington. </w:t>
      </w:r>
    </w:p>
    <w:p w14:paraId="7C05B4AF" w14:textId="77777777" w:rsidR="0028566D" w:rsidRPr="00557BD1" w:rsidRDefault="0028566D" w:rsidP="00557BD1">
      <w:pPr>
        <w:pStyle w:val="References"/>
      </w:pPr>
      <w:r w:rsidRPr="00557BD1">
        <w:t xml:space="preserve">Ministry for the Environment. 1998. </w:t>
      </w:r>
      <w:r w:rsidRPr="00557BD1">
        <w:rPr>
          <w:i/>
        </w:rPr>
        <w:t xml:space="preserve">Compliance Monitoring and Emission Testing of Discharges to Air, </w:t>
      </w:r>
      <w:r w:rsidRPr="00557BD1">
        <w:t>Wellington</w:t>
      </w:r>
      <w:r w:rsidR="00E24556" w:rsidRPr="00557BD1">
        <w:t>:</w:t>
      </w:r>
      <w:r w:rsidRPr="00557BD1">
        <w:t xml:space="preserve"> </w:t>
      </w:r>
      <w:r w:rsidR="001B7E06" w:rsidRPr="00557BD1">
        <w:t xml:space="preserve">Ministry for the Environment. Available on </w:t>
      </w:r>
      <w:hyperlink r:id="rId47" w:history="1">
        <w:r w:rsidR="001C7B5E" w:rsidRPr="00557BD1">
          <w:rPr>
            <w:rStyle w:val="Hyperlink"/>
            <w:color w:val="auto"/>
          </w:rPr>
          <w:t>www.mfe.govt.nz</w:t>
        </w:r>
      </w:hyperlink>
      <w:r w:rsidR="001B7E06" w:rsidRPr="00557BD1">
        <w:t xml:space="preserve"> </w:t>
      </w:r>
    </w:p>
    <w:p w14:paraId="01F1A918" w14:textId="77777777" w:rsidR="001C7B5E" w:rsidRPr="00557BD1" w:rsidRDefault="001C7B5E" w:rsidP="00557BD1">
      <w:pPr>
        <w:pStyle w:val="References"/>
      </w:pPr>
      <w:r w:rsidRPr="00557BD1">
        <w:t xml:space="preserve">Ministry for the Environment. 2001a. </w:t>
      </w:r>
      <w:r w:rsidRPr="00557BD1">
        <w:rPr>
          <w:i/>
        </w:rPr>
        <w:t>Good Practice Guide for Assessing and Managing the Environmental Effects of Dust Emissions,</w:t>
      </w:r>
      <w:r w:rsidRPr="00557BD1">
        <w:t xml:space="preserve"> Report ME408. </w:t>
      </w:r>
      <w:r w:rsidR="00E24556" w:rsidRPr="00557BD1">
        <w:t>Wellington:</w:t>
      </w:r>
      <w:r w:rsidRPr="00557BD1">
        <w:t xml:space="preserve"> Ministry for the Environment.</w:t>
      </w:r>
      <w:r w:rsidR="0007679E" w:rsidRPr="00557BD1">
        <w:t xml:space="preserve"> Available on www.mfe.govt.nz.</w:t>
      </w:r>
    </w:p>
    <w:p w14:paraId="2EF0B996" w14:textId="77777777" w:rsidR="0007679E" w:rsidRPr="00557BD1" w:rsidRDefault="0007679E" w:rsidP="00557BD1">
      <w:pPr>
        <w:spacing w:after="120"/>
        <w:rPr>
          <w:sz w:val="20"/>
        </w:rPr>
      </w:pPr>
      <w:r w:rsidRPr="00557BD1">
        <w:rPr>
          <w:sz w:val="20"/>
        </w:rPr>
        <w:t>Ministry for the Environment.</w:t>
      </w:r>
      <w:r w:rsidR="00232543" w:rsidRPr="00557BD1">
        <w:rPr>
          <w:sz w:val="20"/>
        </w:rPr>
        <w:t xml:space="preserve"> 2001b</w:t>
      </w:r>
      <w:r w:rsidRPr="00557BD1">
        <w:rPr>
          <w:sz w:val="20"/>
        </w:rPr>
        <w:t>.</w:t>
      </w:r>
      <w:r w:rsidRPr="00557BD1">
        <w:rPr>
          <w:i/>
          <w:sz w:val="20"/>
        </w:rPr>
        <w:t xml:space="preserve"> Guide to Landfill Consent Conditions</w:t>
      </w:r>
      <w:r w:rsidRPr="00557BD1">
        <w:rPr>
          <w:sz w:val="20"/>
        </w:rPr>
        <w:t>, Report ME389</w:t>
      </w:r>
      <w:r w:rsidRPr="00557BD1">
        <w:rPr>
          <w:i/>
          <w:sz w:val="20"/>
        </w:rPr>
        <w:t>.</w:t>
      </w:r>
      <w:r w:rsidR="00E24556" w:rsidRPr="00557BD1">
        <w:rPr>
          <w:sz w:val="20"/>
        </w:rPr>
        <w:t xml:space="preserve"> Wellington:</w:t>
      </w:r>
      <w:r w:rsidRPr="00557BD1">
        <w:rPr>
          <w:sz w:val="20"/>
        </w:rPr>
        <w:t xml:space="preserve"> Ministry for the Environment. Available on www.mfe.govt.nz. </w:t>
      </w:r>
    </w:p>
    <w:p w14:paraId="640C8E5A" w14:textId="77777777" w:rsidR="00703383" w:rsidRPr="00557BD1" w:rsidRDefault="00703383" w:rsidP="00557BD1">
      <w:pPr>
        <w:spacing w:after="120"/>
        <w:rPr>
          <w:sz w:val="20"/>
        </w:rPr>
      </w:pPr>
      <w:r w:rsidRPr="00557BD1">
        <w:rPr>
          <w:sz w:val="20"/>
        </w:rPr>
        <w:t xml:space="preserve">Ministry for the Environment. 2001c. </w:t>
      </w:r>
      <w:r w:rsidRPr="00557BD1">
        <w:rPr>
          <w:i/>
          <w:sz w:val="20"/>
        </w:rPr>
        <w:t>An Action Plan for Reducing Discharges of Dioxin to Air</w:t>
      </w:r>
      <w:r w:rsidRPr="00557BD1">
        <w:rPr>
          <w:sz w:val="20"/>
        </w:rPr>
        <w:t>, ME411. Wellington: Ministry for the Environment. Available on www.mfe.govt.nz</w:t>
      </w:r>
    </w:p>
    <w:p w14:paraId="50BE01E3" w14:textId="77777777" w:rsidR="0007679E" w:rsidRPr="00557BD1" w:rsidRDefault="0007679E" w:rsidP="00557BD1">
      <w:pPr>
        <w:pStyle w:val="References"/>
        <w:rPr>
          <w:rStyle w:val="Hyperlink"/>
          <w:color w:val="auto"/>
        </w:rPr>
      </w:pPr>
      <w:r w:rsidRPr="00557BD1">
        <w:t>Ministry for the Environment. 2002</w:t>
      </w:r>
      <w:r w:rsidR="00E51FBD" w:rsidRPr="00557BD1">
        <w:t>a</w:t>
      </w:r>
      <w:r w:rsidRPr="00557BD1">
        <w:t xml:space="preserve">. </w:t>
      </w:r>
      <w:r w:rsidRPr="00557BD1">
        <w:rPr>
          <w:i/>
        </w:rPr>
        <w:t>Ambient Air Quality Guidelines</w:t>
      </w:r>
      <w:r w:rsidRPr="00557BD1">
        <w:t>, Report ME437 prepared by the Ministry for the Environment and the Ministry of Health. Wellington</w:t>
      </w:r>
      <w:r w:rsidR="00E24556" w:rsidRPr="00557BD1">
        <w:t>:</w:t>
      </w:r>
      <w:r w:rsidRPr="00557BD1">
        <w:t xml:space="preserve"> Ministry for the Environment. Available from </w:t>
      </w:r>
      <w:hyperlink r:id="rId48" w:history="1">
        <w:r w:rsidRPr="00557BD1">
          <w:rPr>
            <w:rStyle w:val="Hyperlink"/>
            <w:color w:val="auto"/>
          </w:rPr>
          <w:t>www.mfe.govt.nz</w:t>
        </w:r>
      </w:hyperlink>
    </w:p>
    <w:p w14:paraId="245B5096" w14:textId="77777777" w:rsidR="001B1F05" w:rsidRPr="00557BD1" w:rsidRDefault="001B1F05" w:rsidP="00557BD1">
      <w:pPr>
        <w:pStyle w:val="References"/>
        <w:rPr>
          <w:rStyle w:val="Hyperlink"/>
          <w:color w:val="auto"/>
        </w:rPr>
      </w:pPr>
      <w:r w:rsidRPr="00557BD1">
        <w:rPr>
          <w:rStyle w:val="Hyperlink"/>
          <w:color w:val="auto"/>
        </w:rPr>
        <w:t xml:space="preserve">Ministry for the Environment. 2002b. </w:t>
      </w:r>
      <w:r w:rsidRPr="00557BD1">
        <w:rPr>
          <w:rStyle w:val="Hyperlink"/>
          <w:i/>
          <w:color w:val="auto"/>
        </w:rPr>
        <w:t>Solid Waste Analysis Protocol</w:t>
      </w:r>
      <w:r w:rsidRPr="00557BD1">
        <w:rPr>
          <w:rStyle w:val="Hyperlink"/>
          <w:color w:val="auto"/>
        </w:rPr>
        <w:t>, Report ME430. Wellington: Ministry for the Environment.</w:t>
      </w:r>
    </w:p>
    <w:p w14:paraId="5E2F4C47" w14:textId="77777777" w:rsidR="00982C35" w:rsidRPr="00557BD1" w:rsidRDefault="00982C35" w:rsidP="00557BD1">
      <w:pPr>
        <w:pStyle w:val="References"/>
      </w:pPr>
      <w:r w:rsidRPr="00557BD1">
        <w:rPr>
          <w:rStyle w:val="Hyperlink"/>
          <w:color w:val="auto"/>
        </w:rPr>
        <w:t xml:space="preserve">Ministry for the Environment. 2003. </w:t>
      </w:r>
      <w:r w:rsidRPr="00557BD1">
        <w:rPr>
          <w:rStyle w:val="Hyperlink"/>
          <w:i/>
          <w:color w:val="auto"/>
        </w:rPr>
        <w:t>Good Practice Guide for Assessing and Managing Odour in New Zealand</w:t>
      </w:r>
      <w:r w:rsidRPr="00557BD1">
        <w:rPr>
          <w:rStyle w:val="Hyperlink"/>
          <w:color w:val="auto"/>
        </w:rPr>
        <w:t xml:space="preserve">, Report ME473. Wellington: Ministry for the Environment. Available on </w:t>
      </w:r>
      <w:hyperlink r:id="rId49" w:history="1">
        <w:r w:rsidRPr="00557BD1">
          <w:rPr>
            <w:rStyle w:val="Hyperlink"/>
            <w:color w:val="auto"/>
          </w:rPr>
          <w:t>www.mfe.govt.nz</w:t>
        </w:r>
      </w:hyperlink>
      <w:r w:rsidRPr="00557BD1">
        <w:rPr>
          <w:rStyle w:val="Hyperlink"/>
          <w:color w:val="auto"/>
        </w:rPr>
        <w:t xml:space="preserve"> </w:t>
      </w:r>
    </w:p>
    <w:p w14:paraId="578E2C10" w14:textId="77777777" w:rsidR="0028566D" w:rsidRPr="00557BD1" w:rsidRDefault="0028566D" w:rsidP="00557BD1">
      <w:pPr>
        <w:spacing w:after="120"/>
        <w:rPr>
          <w:sz w:val="20"/>
        </w:rPr>
      </w:pPr>
      <w:r w:rsidRPr="00557BD1">
        <w:rPr>
          <w:sz w:val="20"/>
        </w:rPr>
        <w:t>Ministry for the Environment. May 2004</w:t>
      </w:r>
      <w:r w:rsidR="00E24556" w:rsidRPr="00557BD1">
        <w:rPr>
          <w:sz w:val="20"/>
        </w:rPr>
        <w:t>a</w:t>
      </w:r>
      <w:r w:rsidRPr="00557BD1">
        <w:rPr>
          <w:sz w:val="20"/>
        </w:rPr>
        <w:t xml:space="preserve">. </w:t>
      </w:r>
      <w:r w:rsidRPr="00AE6CE7">
        <w:rPr>
          <w:i/>
          <w:sz w:val="20"/>
        </w:rPr>
        <w:t>Proposed National Environmental Standard to Control Greenhouse Gas Emissions from Landfills – Resource Management Act Section 32 – Analysis of the Costs and Benefits</w:t>
      </w:r>
      <w:r w:rsidRPr="00557BD1">
        <w:rPr>
          <w:sz w:val="20"/>
        </w:rPr>
        <w:t xml:space="preserve">. </w:t>
      </w:r>
      <w:r w:rsidR="00E24556" w:rsidRPr="00557BD1">
        <w:rPr>
          <w:sz w:val="20"/>
        </w:rPr>
        <w:t>Wellington:</w:t>
      </w:r>
      <w:r w:rsidRPr="00557BD1">
        <w:rPr>
          <w:sz w:val="20"/>
        </w:rPr>
        <w:t xml:space="preserve"> Ministry for the Environment.</w:t>
      </w:r>
    </w:p>
    <w:p w14:paraId="043D4DB7" w14:textId="77777777" w:rsidR="0028566D" w:rsidRPr="00557BD1" w:rsidRDefault="0028566D" w:rsidP="00557BD1">
      <w:pPr>
        <w:pStyle w:val="References"/>
      </w:pPr>
      <w:r w:rsidRPr="00557BD1">
        <w:t>Ministry for the Environment. 2004</w:t>
      </w:r>
      <w:r w:rsidR="00E24556" w:rsidRPr="00557BD1">
        <w:t>b</w:t>
      </w:r>
      <w:r w:rsidRPr="00557BD1">
        <w:t xml:space="preserve">. </w:t>
      </w:r>
      <w:r w:rsidRPr="00557BD1">
        <w:rPr>
          <w:i/>
        </w:rPr>
        <w:t xml:space="preserve">Good Practice Guide for Atmospheric Dispersion Modelling, </w:t>
      </w:r>
      <w:r w:rsidRPr="00557BD1">
        <w:t>Report ME522</w:t>
      </w:r>
      <w:r w:rsidR="00E24556" w:rsidRPr="00557BD1">
        <w:t>.</w:t>
      </w:r>
      <w:r w:rsidRPr="00557BD1">
        <w:t xml:space="preserve"> Wellington</w:t>
      </w:r>
      <w:r w:rsidR="00E24556" w:rsidRPr="00557BD1">
        <w:t>: Ministry for the Environment.</w:t>
      </w:r>
      <w:r w:rsidRPr="00557BD1">
        <w:t xml:space="preserve"> Available </w:t>
      </w:r>
      <w:r w:rsidR="00E24556" w:rsidRPr="00557BD1">
        <w:t>on www.mfe.govt.nz</w:t>
      </w:r>
    </w:p>
    <w:p w14:paraId="3EDB082C" w14:textId="77777777" w:rsidR="0028566D" w:rsidRPr="00557BD1" w:rsidRDefault="0028566D" w:rsidP="00557BD1">
      <w:pPr>
        <w:pStyle w:val="References"/>
        <w:rPr>
          <w:rStyle w:val="Hyperlink"/>
          <w:color w:val="auto"/>
        </w:rPr>
      </w:pPr>
      <w:r w:rsidRPr="00557BD1">
        <w:t>Ministry for the Environment. 2007</w:t>
      </w:r>
      <w:r w:rsidR="00E24556" w:rsidRPr="00557BD1">
        <w:t>a</w:t>
      </w:r>
      <w:r w:rsidRPr="00557BD1">
        <w:t xml:space="preserve">. </w:t>
      </w:r>
      <w:r w:rsidRPr="00557BD1">
        <w:rPr>
          <w:i/>
        </w:rPr>
        <w:t>Environment New Zealand 2007</w:t>
      </w:r>
      <w:r w:rsidRPr="00557BD1">
        <w:t>, Report ME847</w:t>
      </w:r>
      <w:r w:rsidR="00507321" w:rsidRPr="00557BD1">
        <w:t>.</w:t>
      </w:r>
      <w:r w:rsidRPr="00557BD1">
        <w:t xml:space="preserve"> Wellington</w:t>
      </w:r>
      <w:r w:rsidR="00507321" w:rsidRPr="00557BD1">
        <w:t>: Ministry for the Environment</w:t>
      </w:r>
      <w:r w:rsidRPr="00557BD1">
        <w:t xml:space="preserve">. Available </w:t>
      </w:r>
      <w:r w:rsidR="00507321" w:rsidRPr="00557BD1">
        <w:t xml:space="preserve">on </w:t>
      </w:r>
      <w:hyperlink r:id="rId50" w:history="1">
        <w:r w:rsidR="00507321" w:rsidRPr="00557BD1">
          <w:rPr>
            <w:rStyle w:val="Hyperlink"/>
            <w:color w:val="auto"/>
          </w:rPr>
          <w:t>www.mfe.govt.nz</w:t>
        </w:r>
      </w:hyperlink>
      <w:r w:rsidR="00507321" w:rsidRPr="00557BD1">
        <w:t xml:space="preserve"> </w:t>
      </w:r>
    </w:p>
    <w:p w14:paraId="73D55DA4" w14:textId="77777777" w:rsidR="0007679E" w:rsidRPr="00557BD1" w:rsidRDefault="00E24556" w:rsidP="00557BD1">
      <w:pPr>
        <w:spacing w:after="120"/>
        <w:rPr>
          <w:sz w:val="20"/>
        </w:rPr>
      </w:pPr>
      <w:r w:rsidRPr="00557BD1">
        <w:rPr>
          <w:sz w:val="20"/>
        </w:rPr>
        <w:t>Ministry for the Environment. 2007b.</w:t>
      </w:r>
      <w:r w:rsidRPr="00557BD1">
        <w:rPr>
          <w:i/>
          <w:sz w:val="20"/>
        </w:rPr>
        <w:t xml:space="preserve"> </w:t>
      </w:r>
      <w:r w:rsidR="0007679E" w:rsidRPr="00557BD1">
        <w:rPr>
          <w:i/>
          <w:sz w:val="20"/>
        </w:rPr>
        <w:t>The 2006/07 National Landfill Census</w:t>
      </w:r>
      <w:r w:rsidRPr="00557BD1">
        <w:rPr>
          <w:i/>
          <w:sz w:val="20"/>
        </w:rPr>
        <w:t xml:space="preserve">, </w:t>
      </w:r>
      <w:r w:rsidRPr="00557BD1">
        <w:rPr>
          <w:sz w:val="20"/>
        </w:rPr>
        <w:t xml:space="preserve">Report </w:t>
      </w:r>
      <w:r w:rsidR="00232543" w:rsidRPr="00557BD1">
        <w:rPr>
          <w:sz w:val="20"/>
        </w:rPr>
        <w:t>ME</w:t>
      </w:r>
      <w:r w:rsidRPr="00557BD1">
        <w:rPr>
          <w:sz w:val="20"/>
        </w:rPr>
        <w:t>842. Wellington: Ministry for the Environment. Available on www.mfe.govt.nz.</w:t>
      </w:r>
      <w:r w:rsidR="0007679E" w:rsidRPr="00557BD1">
        <w:rPr>
          <w:sz w:val="20"/>
        </w:rPr>
        <w:t xml:space="preserve"> </w:t>
      </w:r>
    </w:p>
    <w:p w14:paraId="5B765EBA" w14:textId="77777777" w:rsidR="0028566D" w:rsidRPr="00557BD1" w:rsidRDefault="0028566D" w:rsidP="00557BD1">
      <w:pPr>
        <w:pStyle w:val="References"/>
      </w:pPr>
      <w:r w:rsidRPr="00557BD1">
        <w:t xml:space="preserve">Ministry for the Environment. 2008a. </w:t>
      </w:r>
      <w:r w:rsidRPr="00557BD1">
        <w:rPr>
          <w:i/>
        </w:rPr>
        <w:t xml:space="preserve">Good Practice Guide for Assessing Discharges to Air from Industry, </w:t>
      </w:r>
      <w:r w:rsidRPr="00557BD1">
        <w:t>Report ME880</w:t>
      </w:r>
      <w:r w:rsidR="00E24556" w:rsidRPr="00557BD1">
        <w:t>.</w:t>
      </w:r>
      <w:r w:rsidRPr="00557BD1">
        <w:t xml:space="preserve"> Wellington</w:t>
      </w:r>
      <w:r w:rsidR="00E24556" w:rsidRPr="00557BD1">
        <w:t>: Ministry for the Environment.</w:t>
      </w:r>
      <w:r w:rsidRPr="00557BD1">
        <w:t xml:space="preserve"> Available </w:t>
      </w:r>
      <w:r w:rsidR="00E24556" w:rsidRPr="00557BD1">
        <w:t>on www.mfe.govt.nz</w:t>
      </w:r>
    </w:p>
    <w:p w14:paraId="671CF30A" w14:textId="77777777" w:rsidR="0028566D" w:rsidRPr="00557BD1" w:rsidRDefault="0028566D" w:rsidP="00557BD1">
      <w:pPr>
        <w:pStyle w:val="References"/>
      </w:pPr>
      <w:r w:rsidRPr="00557BD1">
        <w:t xml:space="preserve">Ministry for the Environment. 2008b. </w:t>
      </w:r>
      <w:r w:rsidRPr="00557BD1">
        <w:rPr>
          <w:i/>
        </w:rPr>
        <w:t xml:space="preserve">Good Practice Guide for Assessing Discharges to Air from Land Transport, </w:t>
      </w:r>
      <w:r w:rsidRPr="00557BD1">
        <w:t>Report ME881</w:t>
      </w:r>
      <w:r w:rsidR="00E24556" w:rsidRPr="00557BD1">
        <w:t>.</w:t>
      </w:r>
      <w:r w:rsidRPr="00557BD1">
        <w:t xml:space="preserve"> Wellington</w:t>
      </w:r>
      <w:r w:rsidR="00E24556" w:rsidRPr="00557BD1">
        <w:t>:</w:t>
      </w:r>
      <w:r w:rsidRPr="00557BD1">
        <w:t xml:space="preserve"> </w:t>
      </w:r>
      <w:r w:rsidR="00E24556" w:rsidRPr="00557BD1">
        <w:t xml:space="preserve">Ministry for the Environment. </w:t>
      </w:r>
      <w:r w:rsidRPr="00557BD1">
        <w:t xml:space="preserve">Available </w:t>
      </w:r>
      <w:r w:rsidR="00E24556" w:rsidRPr="00557BD1">
        <w:t>on www.mfe.govt.nz</w:t>
      </w:r>
    </w:p>
    <w:p w14:paraId="5CA4AEEE" w14:textId="77777777" w:rsidR="0028566D" w:rsidRPr="00557BD1" w:rsidRDefault="0028566D" w:rsidP="00557BD1">
      <w:pPr>
        <w:pStyle w:val="References"/>
      </w:pPr>
      <w:r w:rsidRPr="00557BD1">
        <w:t>Ministry for the Environment. 2009</w:t>
      </w:r>
      <w:r w:rsidR="00A22A88" w:rsidRPr="00557BD1">
        <w:t>a</w:t>
      </w:r>
      <w:r w:rsidRPr="00557BD1">
        <w:t xml:space="preserve">. </w:t>
      </w:r>
      <w:r w:rsidRPr="00557BD1">
        <w:rPr>
          <w:i/>
        </w:rPr>
        <w:t xml:space="preserve">Good Practice Guide for Air Quality Monitoring and Data Management, </w:t>
      </w:r>
      <w:r w:rsidRPr="00557BD1">
        <w:t>Report ME933</w:t>
      </w:r>
      <w:r w:rsidR="00E24556" w:rsidRPr="00557BD1">
        <w:t xml:space="preserve">. </w:t>
      </w:r>
      <w:r w:rsidRPr="00557BD1">
        <w:t>Wellington</w:t>
      </w:r>
      <w:r w:rsidR="00E24556" w:rsidRPr="00557BD1">
        <w:t>:</w:t>
      </w:r>
      <w:r w:rsidRPr="00557BD1">
        <w:t xml:space="preserve"> </w:t>
      </w:r>
      <w:r w:rsidR="00E24556" w:rsidRPr="00557BD1">
        <w:t xml:space="preserve">Ministry for the Environment. </w:t>
      </w:r>
      <w:r w:rsidRPr="00557BD1">
        <w:t>Available</w:t>
      </w:r>
      <w:r w:rsidR="00E24556" w:rsidRPr="00557BD1">
        <w:t xml:space="preserve"> on </w:t>
      </w:r>
      <w:hyperlink r:id="rId51" w:history="1">
        <w:r w:rsidR="00E24556" w:rsidRPr="00557BD1">
          <w:rPr>
            <w:rStyle w:val="Hyperlink"/>
            <w:color w:val="auto"/>
          </w:rPr>
          <w:t>www.mfe.govt.nz</w:t>
        </w:r>
      </w:hyperlink>
    </w:p>
    <w:p w14:paraId="34D7DAAC" w14:textId="77777777" w:rsidR="00E24556" w:rsidRPr="00557BD1" w:rsidRDefault="00E24556" w:rsidP="00557BD1">
      <w:pPr>
        <w:pStyle w:val="References"/>
        <w:rPr>
          <w:rStyle w:val="Hyperlink"/>
          <w:color w:val="auto"/>
        </w:rPr>
      </w:pPr>
      <w:r w:rsidRPr="00557BD1">
        <w:rPr>
          <w:rStyle w:val="Hyperlink"/>
          <w:color w:val="auto"/>
        </w:rPr>
        <w:t xml:space="preserve">Ministry for the Environment. 2009b. </w:t>
      </w:r>
      <w:r w:rsidRPr="00557BD1">
        <w:rPr>
          <w:i/>
        </w:rPr>
        <w:t>2008 Report on Progress: National Environmental Standards</w:t>
      </w:r>
      <w:r w:rsidR="00232543" w:rsidRPr="00557BD1">
        <w:t>, Report ME945.</w:t>
      </w:r>
      <w:r w:rsidRPr="00557BD1">
        <w:t xml:space="preserve"> </w:t>
      </w:r>
      <w:r w:rsidRPr="00557BD1">
        <w:rPr>
          <w:rStyle w:val="Hyperlink"/>
          <w:color w:val="auto"/>
        </w:rPr>
        <w:t>Wellington: Ministry for the Environment.</w:t>
      </w:r>
    </w:p>
    <w:p w14:paraId="57ECB5C6" w14:textId="77777777" w:rsidR="0028566D" w:rsidRPr="00557BD1" w:rsidRDefault="0028566D" w:rsidP="00557BD1">
      <w:pPr>
        <w:pStyle w:val="References"/>
        <w:rPr>
          <w:rStyle w:val="Hyperlink"/>
          <w:color w:val="auto"/>
        </w:rPr>
      </w:pPr>
      <w:r w:rsidRPr="00557BD1">
        <w:t>Ministry for the Environment. 2010</w:t>
      </w:r>
      <w:r w:rsidR="00703383" w:rsidRPr="00557BD1">
        <w:t>a</w:t>
      </w:r>
      <w:r w:rsidRPr="00557BD1">
        <w:t xml:space="preserve">. </w:t>
      </w:r>
      <w:r w:rsidRPr="00557BD1">
        <w:rPr>
          <w:i/>
        </w:rPr>
        <w:t>Regulatory Impact Statement – Amending the PM</w:t>
      </w:r>
      <w:r w:rsidRPr="00557BD1">
        <w:rPr>
          <w:i/>
          <w:vertAlign w:val="subscript"/>
        </w:rPr>
        <w:t>10</w:t>
      </w:r>
      <w:r w:rsidRPr="00557BD1">
        <w:rPr>
          <w:i/>
        </w:rPr>
        <w:t xml:space="preserve"> Air Quality Standards: Final Recommendations</w:t>
      </w:r>
      <w:r w:rsidRPr="00557BD1">
        <w:t xml:space="preserve">, </w:t>
      </w:r>
      <w:r w:rsidR="00703383" w:rsidRPr="00557BD1">
        <w:t xml:space="preserve">Report ME1041. </w:t>
      </w:r>
      <w:r w:rsidRPr="00557BD1">
        <w:t>Wellington</w:t>
      </w:r>
      <w:r w:rsidR="00703383" w:rsidRPr="00557BD1">
        <w:t>: Ministry for the Environment</w:t>
      </w:r>
      <w:r w:rsidRPr="00557BD1">
        <w:t xml:space="preserve">. Available </w:t>
      </w:r>
      <w:r w:rsidR="00703383" w:rsidRPr="00557BD1">
        <w:t>on www.mfe.govt.nz</w:t>
      </w:r>
    </w:p>
    <w:p w14:paraId="2F065D19" w14:textId="77777777" w:rsidR="00A22A88" w:rsidRPr="00557BD1" w:rsidRDefault="00A22A88" w:rsidP="00557BD1">
      <w:pPr>
        <w:pStyle w:val="References"/>
      </w:pPr>
      <w:r w:rsidRPr="00557BD1">
        <w:rPr>
          <w:rStyle w:val="Hyperlink"/>
          <w:color w:val="auto"/>
        </w:rPr>
        <w:t xml:space="preserve">Ministry for the </w:t>
      </w:r>
      <w:r w:rsidR="00703383" w:rsidRPr="00557BD1">
        <w:rPr>
          <w:rStyle w:val="Hyperlink"/>
          <w:color w:val="auto"/>
        </w:rPr>
        <w:t>Environment</w:t>
      </w:r>
      <w:r w:rsidRPr="00557BD1">
        <w:rPr>
          <w:rStyle w:val="Hyperlink"/>
          <w:color w:val="auto"/>
        </w:rPr>
        <w:t>. 2010</w:t>
      </w:r>
      <w:r w:rsidR="00703383" w:rsidRPr="00557BD1">
        <w:rPr>
          <w:rStyle w:val="Hyperlink"/>
          <w:color w:val="auto"/>
        </w:rPr>
        <w:t>b</w:t>
      </w:r>
      <w:r w:rsidRPr="00557BD1">
        <w:rPr>
          <w:rStyle w:val="Hyperlink"/>
          <w:color w:val="auto"/>
        </w:rPr>
        <w:t xml:space="preserve">. </w:t>
      </w:r>
      <w:r w:rsidRPr="00557BD1">
        <w:rPr>
          <w:rStyle w:val="Hyperlink"/>
          <w:i/>
          <w:color w:val="auto"/>
        </w:rPr>
        <w:t>Proposed Amendments to the National Environmental Standards for Air Quality: Discussion Document</w:t>
      </w:r>
      <w:r w:rsidR="00703383" w:rsidRPr="00557BD1">
        <w:rPr>
          <w:rStyle w:val="Hyperlink"/>
          <w:color w:val="auto"/>
        </w:rPr>
        <w:t>, Report ME1018</w:t>
      </w:r>
      <w:r w:rsidRPr="00557BD1">
        <w:rPr>
          <w:rStyle w:val="Hyperlink"/>
          <w:color w:val="auto"/>
        </w:rPr>
        <w:t>. Wellington: Ministry for the Environment.</w:t>
      </w:r>
      <w:r w:rsidR="00703383" w:rsidRPr="00557BD1">
        <w:rPr>
          <w:rStyle w:val="Hyperlink"/>
          <w:color w:val="auto"/>
        </w:rPr>
        <w:t xml:space="preserve"> Available on www.mfe.govt.nz</w:t>
      </w:r>
    </w:p>
    <w:p w14:paraId="222E5EB4" w14:textId="77777777" w:rsidR="0007679E" w:rsidRPr="00557BD1" w:rsidRDefault="00703383" w:rsidP="00557BD1">
      <w:pPr>
        <w:pStyle w:val="References"/>
      </w:pPr>
      <w:r w:rsidRPr="00557BD1">
        <w:t xml:space="preserve">Ministry for the Environment. 2011a. </w:t>
      </w:r>
      <w:r w:rsidR="0007679E" w:rsidRPr="00557BD1">
        <w:rPr>
          <w:i/>
        </w:rPr>
        <w:t>New Zealand Inventory of Dioxin Emissions to Air, Land and Water, and Reservoir Sources: 2011</w:t>
      </w:r>
      <w:r w:rsidRPr="00557BD1">
        <w:t xml:space="preserve">, Prepared by Drs Bruce Graham and Alistair G Bingham for the Ministry for the Environment, Report ME1038. Wellington: Ministry for the Environment. Available on www.mfe.govt.nz </w:t>
      </w:r>
      <w:r w:rsidR="0007679E" w:rsidRPr="00557BD1">
        <w:rPr>
          <w:i/>
        </w:rPr>
        <w:t xml:space="preserve"> </w:t>
      </w:r>
    </w:p>
    <w:p w14:paraId="67F3D1F7" w14:textId="77777777" w:rsidR="00703383" w:rsidRPr="00557BD1" w:rsidRDefault="00703383" w:rsidP="00557BD1">
      <w:pPr>
        <w:pStyle w:val="References"/>
      </w:pPr>
      <w:r w:rsidRPr="00557BD1">
        <w:t xml:space="preserve">Ministry for the Environment. 2011b. </w:t>
      </w:r>
      <w:r w:rsidRPr="00557BD1">
        <w:rPr>
          <w:i/>
        </w:rPr>
        <w:t>New Zealand Domestic Solid Fuel Burner Authorisation Manual</w:t>
      </w:r>
      <w:r w:rsidRPr="00557BD1">
        <w:t>, Report ME1043. Wellington: Ministry for the Environment. Available on www.mfe.govt.nz</w:t>
      </w:r>
    </w:p>
    <w:p w14:paraId="0FCAE1E0" w14:textId="77777777" w:rsidR="00A22A88" w:rsidRPr="00557BD1" w:rsidRDefault="00A22A88" w:rsidP="00557BD1">
      <w:pPr>
        <w:pStyle w:val="References"/>
      </w:pPr>
      <w:r w:rsidRPr="00557BD1">
        <w:t>Ministry for the Environment. 2011</w:t>
      </w:r>
      <w:r w:rsidR="00703383" w:rsidRPr="00557BD1">
        <w:t>c</w:t>
      </w:r>
      <w:r w:rsidRPr="00557BD1">
        <w:t xml:space="preserve">. </w:t>
      </w:r>
      <w:r w:rsidRPr="00557BD1">
        <w:rPr>
          <w:i/>
        </w:rPr>
        <w:t>Revised National Environmental Standards for Air Quality – Evaluation under Section 32 of the Resource Management Act</w:t>
      </w:r>
      <w:r w:rsidR="00E0615F" w:rsidRPr="00557BD1">
        <w:t>, Report ME1041</w:t>
      </w:r>
      <w:r w:rsidRPr="00557BD1">
        <w:t xml:space="preserve">. Wellington: Ministry for the Environment. Available on </w:t>
      </w:r>
      <w:hyperlink r:id="rId52" w:history="1">
        <w:r w:rsidRPr="00557BD1">
          <w:rPr>
            <w:rStyle w:val="Hyperlink"/>
            <w:color w:val="auto"/>
          </w:rPr>
          <w:t>www.mfe.govt.nz</w:t>
        </w:r>
      </w:hyperlink>
      <w:r w:rsidRPr="00557BD1">
        <w:t>.</w:t>
      </w:r>
    </w:p>
    <w:p w14:paraId="75480C7D" w14:textId="77777777" w:rsidR="0028566D" w:rsidRPr="00557BD1" w:rsidRDefault="0028566D" w:rsidP="00557BD1">
      <w:pPr>
        <w:pStyle w:val="References"/>
      </w:pPr>
      <w:r w:rsidRPr="00557BD1">
        <w:t>Ministry for the Environment. 201</w:t>
      </w:r>
      <w:r w:rsidR="00E0615F" w:rsidRPr="00557BD1">
        <w:t>1d</w:t>
      </w:r>
      <w:r w:rsidRPr="00557BD1">
        <w:t xml:space="preserve">. </w:t>
      </w:r>
      <w:r w:rsidRPr="00557BD1">
        <w:rPr>
          <w:i/>
        </w:rPr>
        <w:t>Health Effects from PM</w:t>
      </w:r>
      <w:r w:rsidRPr="00557BD1">
        <w:rPr>
          <w:i/>
          <w:vertAlign w:val="subscript"/>
        </w:rPr>
        <w:t>10</w:t>
      </w:r>
      <w:r w:rsidRPr="00557BD1">
        <w:rPr>
          <w:i/>
        </w:rPr>
        <w:t xml:space="preserve"> Air Pollution</w:t>
      </w:r>
      <w:r w:rsidRPr="00557BD1">
        <w:t xml:space="preserve">, Factsheet prepared by </w:t>
      </w:r>
      <w:r w:rsidR="00E0615F" w:rsidRPr="00557BD1">
        <w:t xml:space="preserve">Ministry for the Environment. </w:t>
      </w:r>
      <w:r w:rsidRPr="00557BD1">
        <w:t>Wellington</w:t>
      </w:r>
      <w:r w:rsidR="00E0615F" w:rsidRPr="00557BD1">
        <w:t>: Ministry for the Environment</w:t>
      </w:r>
      <w:r w:rsidRPr="00557BD1">
        <w:t xml:space="preserve">. Available </w:t>
      </w:r>
      <w:r w:rsidR="00E0615F" w:rsidRPr="00557BD1">
        <w:t>on www.mfe.govt.nz</w:t>
      </w:r>
    </w:p>
    <w:p w14:paraId="68140780" w14:textId="77777777" w:rsidR="00A22A88" w:rsidRPr="00557BD1" w:rsidRDefault="00A22A88" w:rsidP="00557BD1">
      <w:pPr>
        <w:pStyle w:val="References"/>
      </w:pPr>
      <w:r w:rsidRPr="00557BD1">
        <w:t>Ministry for the Environment. 201</w:t>
      </w:r>
      <w:r w:rsidR="00E0615F" w:rsidRPr="00557BD1">
        <w:t>1e</w:t>
      </w:r>
      <w:r w:rsidRPr="00557BD1">
        <w:t xml:space="preserve">. </w:t>
      </w:r>
      <w:r w:rsidRPr="00557BD1">
        <w:rPr>
          <w:i/>
        </w:rPr>
        <w:t>Clean Healthy Air for All New Zealanders: The National Air Quality Compliance Strategy to Meet the PM</w:t>
      </w:r>
      <w:r w:rsidRPr="00557BD1">
        <w:rPr>
          <w:i/>
          <w:vertAlign w:val="subscript"/>
        </w:rPr>
        <w:t>10</w:t>
      </w:r>
      <w:r w:rsidRPr="00557BD1">
        <w:rPr>
          <w:i/>
        </w:rPr>
        <w:t xml:space="preserve"> Standard</w:t>
      </w:r>
      <w:r w:rsidRPr="00557BD1">
        <w:t xml:space="preserve">, Report </w:t>
      </w:r>
      <w:r w:rsidR="00E0615F" w:rsidRPr="00557BD1">
        <w:t xml:space="preserve">ME1064. </w:t>
      </w:r>
      <w:r w:rsidRPr="00557BD1">
        <w:t>Wellington</w:t>
      </w:r>
      <w:r w:rsidR="00E0615F" w:rsidRPr="00557BD1">
        <w:t>: Ministry for the Environment</w:t>
      </w:r>
      <w:r w:rsidRPr="00557BD1">
        <w:t>.</w:t>
      </w:r>
      <w:r w:rsidR="00E0615F" w:rsidRPr="00557BD1">
        <w:t xml:space="preserve"> Available on www.mfe.govt.nz</w:t>
      </w:r>
    </w:p>
    <w:p w14:paraId="6370AF83" w14:textId="77777777" w:rsidR="0028566D" w:rsidRPr="00557BD1" w:rsidRDefault="0028566D" w:rsidP="00557BD1">
      <w:pPr>
        <w:pStyle w:val="BodyText"/>
        <w:spacing w:after="120"/>
        <w:rPr>
          <w:sz w:val="20"/>
        </w:rPr>
      </w:pPr>
      <w:r w:rsidRPr="00557BD1">
        <w:rPr>
          <w:sz w:val="20"/>
        </w:rPr>
        <w:t xml:space="preserve">Ministry of Education. 2011.  </w:t>
      </w:r>
      <w:r w:rsidRPr="00557BD1">
        <w:rPr>
          <w:i/>
          <w:sz w:val="20"/>
        </w:rPr>
        <w:t>Te Kete Ipurangi</w:t>
      </w:r>
      <w:r w:rsidRPr="00557BD1">
        <w:rPr>
          <w:sz w:val="20"/>
        </w:rPr>
        <w:t>, web based database hosted by the Ministry of Educ</w:t>
      </w:r>
      <w:r w:rsidR="004A1C23" w:rsidRPr="00557BD1">
        <w:rPr>
          <w:sz w:val="20"/>
        </w:rPr>
        <w:t>a</w:t>
      </w:r>
      <w:r w:rsidR="00E0615F" w:rsidRPr="00557BD1">
        <w:rPr>
          <w:sz w:val="20"/>
        </w:rPr>
        <w:t>tion.</w:t>
      </w:r>
      <w:r w:rsidRPr="00557BD1">
        <w:rPr>
          <w:sz w:val="20"/>
        </w:rPr>
        <w:t xml:space="preserve"> Wellington</w:t>
      </w:r>
      <w:r w:rsidR="00E0615F" w:rsidRPr="00557BD1">
        <w:rPr>
          <w:sz w:val="20"/>
        </w:rPr>
        <w:t>: Ministry of Education.</w:t>
      </w:r>
      <w:r w:rsidRPr="00557BD1">
        <w:rPr>
          <w:sz w:val="20"/>
        </w:rPr>
        <w:t xml:space="preserve">  Available at: </w:t>
      </w:r>
      <w:hyperlink r:id="rId53" w:history="1">
        <w:r w:rsidRPr="00557BD1">
          <w:rPr>
            <w:rStyle w:val="Hyperlink"/>
            <w:color w:val="auto"/>
            <w:sz w:val="20"/>
          </w:rPr>
          <w:t>http://www.tki.org.nz/Schools</w:t>
        </w:r>
      </w:hyperlink>
      <w:r w:rsidRPr="00557BD1">
        <w:rPr>
          <w:sz w:val="20"/>
        </w:rPr>
        <w:t xml:space="preserve"> accessed 8 July 2011.</w:t>
      </w:r>
    </w:p>
    <w:p w14:paraId="750A11A6" w14:textId="77777777" w:rsidR="00516290" w:rsidRPr="00557BD1" w:rsidRDefault="00516290" w:rsidP="00557BD1">
      <w:pPr>
        <w:pStyle w:val="References"/>
      </w:pPr>
      <w:r w:rsidRPr="00557BD1">
        <w:t>Šrám RJ, Binková B, Rössner P, Rubeš</w:t>
      </w:r>
      <w:r w:rsidR="00AE6CE7">
        <w:t xml:space="preserve"> J, Topinka J, Dejmek J. 1999. </w:t>
      </w:r>
      <w:r w:rsidRPr="00557BD1">
        <w:rPr>
          <w:i/>
        </w:rPr>
        <w:t>Adverse reproductive outcomes from exposure to environmental mutagens</w:t>
      </w:r>
      <w:r w:rsidRPr="00557BD1">
        <w:t xml:space="preserve"> Mutat Res 428:203–215.</w:t>
      </w:r>
    </w:p>
    <w:p w14:paraId="1E53FE13" w14:textId="77777777" w:rsidR="00354715" w:rsidRPr="00557BD1" w:rsidRDefault="005E7E08" w:rsidP="00557BD1">
      <w:pPr>
        <w:spacing w:after="120"/>
        <w:rPr>
          <w:sz w:val="20"/>
        </w:rPr>
      </w:pPr>
      <w:r w:rsidRPr="00557BD1">
        <w:rPr>
          <w:sz w:val="20"/>
        </w:rPr>
        <w:t xml:space="preserve">Secretariat of the Basel Convention. </w:t>
      </w:r>
      <w:r w:rsidR="00F07A0E" w:rsidRPr="00557BD1">
        <w:rPr>
          <w:sz w:val="20"/>
        </w:rPr>
        <w:t xml:space="preserve">1992. </w:t>
      </w:r>
      <w:r w:rsidRPr="00557BD1">
        <w:rPr>
          <w:i/>
          <w:sz w:val="20"/>
        </w:rPr>
        <w:t>Basel Convention on the Control of Transboundary Movements of Hazardous Wastes and their Disposal</w:t>
      </w:r>
      <w:r w:rsidRPr="00557BD1">
        <w:rPr>
          <w:sz w:val="20"/>
        </w:rPr>
        <w:t xml:space="preserve">. Switzerland: </w:t>
      </w:r>
      <w:r w:rsidR="00354715" w:rsidRPr="00557BD1">
        <w:rPr>
          <w:sz w:val="20"/>
        </w:rPr>
        <w:t>United Nations Environment Program</w:t>
      </w:r>
      <w:r w:rsidRPr="00557BD1">
        <w:rPr>
          <w:sz w:val="20"/>
        </w:rPr>
        <w:t>me</w:t>
      </w:r>
      <w:r w:rsidR="00354715" w:rsidRPr="00557BD1">
        <w:rPr>
          <w:sz w:val="20"/>
        </w:rPr>
        <w:t xml:space="preserve">. </w:t>
      </w:r>
      <w:r w:rsidRPr="00557BD1">
        <w:rPr>
          <w:sz w:val="20"/>
        </w:rPr>
        <w:t xml:space="preserve">Web publication </w:t>
      </w:r>
      <w:hyperlink r:id="rId54" w:history="1">
        <w:r w:rsidRPr="00557BD1">
          <w:rPr>
            <w:rStyle w:val="Hyperlink"/>
            <w:color w:val="auto"/>
            <w:sz w:val="20"/>
          </w:rPr>
          <w:t>www.basel.int/text/17Jun2010-conv-e.pdf</w:t>
        </w:r>
      </w:hyperlink>
      <w:r w:rsidRPr="00557BD1">
        <w:rPr>
          <w:sz w:val="20"/>
        </w:rPr>
        <w:t xml:space="preserve"> accessed 17 June 2010.</w:t>
      </w:r>
    </w:p>
    <w:p w14:paraId="1746E09E" w14:textId="77777777" w:rsidR="00D15F58" w:rsidRPr="00557BD1" w:rsidRDefault="00D15F58" w:rsidP="00557BD1">
      <w:pPr>
        <w:spacing w:after="120"/>
        <w:rPr>
          <w:sz w:val="20"/>
        </w:rPr>
      </w:pPr>
      <w:r w:rsidRPr="00557BD1">
        <w:rPr>
          <w:sz w:val="20"/>
        </w:rPr>
        <w:t>U</w:t>
      </w:r>
      <w:r w:rsidR="001B7A9A" w:rsidRPr="00557BD1">
        <w:rPr>
          <w:sz w:val="20"/>
        </w:rPr>
        <w:t xml:space="preserve">nited </w:t>
      </w:r>
      <w:r w:rsidRPr="00557BD1">
        <w:rPr>
          <w:sz w:val="20"/>
        </w:rPr>
        <w:t>S</w:t>
      </w:r>
      <w:r w:rsidR="001B7A9A" w:rsidRPr="00557BD1">
        <w:rPr>
          <w:sz w:val="20"/>
        </w:rPr>
        <w:t>tates</w:t>
      </w:r>
      <w:r w:rsidRPr="00557BD1">
        <w:rPr>
          <w:sz w:val="20"/>
        </w:rPr>
        <w:t xml:space="preserve"> E</w:t>
      </w:r>
      <w:r w:rsidR="001B7A9A" w:rsidRPr="00557BD1">
        <w:rPr>
          <w:sz w:val="20"/>
        </w:rPr>
        <w:t xml:space="preserve">nvironmental </w:t>
      </w:r>
      <w:r w:rsidRPr="00557BD1">
        <w:rPr>
          <w:sz w:val="20"/>
        </w:rPr>
        <w:t>P</w:t>
      </w:r>
      <w:r w:rsidR="001B7A9A" w:rsidRPr="00557BD1">
        <w:rPr>
          <w:sz w:val="20"/>
        </w:rPr>
        <w:t xml:space="preserve">rotection </w:t>
      </w:r>
      <w:r w:rsidRPr="00557BD1">
        <w:rPr>
          <w:sz w:val="20"/>
        </w:rPr>
        <w:t>A</w:t>
      </w:r>
      <w:r w:rsidR="001B7A9A" w:rsidRPr="00557BD1">
        <w:rPr>
          <w:sz w:val="20"/>
        </w:rPr>
        <w:t>gency</w:t>
      </w:r>
      <w:r w:rsidRPr="00557BD1">
        <w:rPr>
          <w:sz w:val="20"/>
        </w:rPr>
        <w:t>. 2011</w:t>
      </w:r>
      <w:r w:rsidR="001B7A9A" w:rsidRPr="00557BD1">
        <w:rPr>
          <w:sz w:val="20"/>
        </w:rPr>
        <w:t>a</w:t>
      </w:r>
      <w:r w:rsidRPr="00557BD1">
        <w:rPr>
          <w:sz w:val="20"/>
        </w:rPr>
        <w:t xml:space="preserve">. </w:t>
      </w:r>
      <w:r w:rsidRPr="00557BD1">
        <w:rPr>
          <w:i/>
          <w:sz w:val="20"/>
        </w:rPr>
        <w:t>Health Effects of Ozone in the General Population.</w:t>
      </w:r>
      <w:r w:rsidRPr="00557BD1">
        <w:rPr>
          <w:sz w:val="20"/>
        </w:rPr>
        <w:t xml:space="preserve">  Web publication </w:t>
      </w:r>
      <w:hyperlink r:id="rId55" w:history="1">
        <w:r w:rsidR="005E7E08" w:rsidRPr="00557BD1">
          <w:rPr>
            <w:rStyle w:val="Hyperlink"/>
            <w:color w:val="auto"/>
            <w:sz w:val="20"/>
          </w:rPr>
          <w:t>www.epa.gov/apti/ozonehealth/population.html accessed 7 July 2011</w:t>
        </w:r>
      </w:hyperlink>
      <w:r w:rsidRPr="00557BD1">
        <w:rPr>
          <w:sz w:val="20"/>
        </w:rPr>
        <w:t>.</w:t>
      </w:r>
    </w:p>
    <w:p w14:paraId="1523CC57" w14:textId="77777777" w:rsidR="001B7A9A" w:rsidRPr="00557BD1" w:rsidRDefault="001B7A9A" w:rsidP="00557BD1">
      <w:pPr>
        <w:spacing w:after="120"/>
        <w:rPr>
          <w:sz w:val="20"/>
        </w:rPr>
      </w:pPr>
      <w:r w:rsidRPr="00557BD1">
        <w:rPr>
          <w:sz w:val="20"/>
        </w:rPr>
        <w:t>United States Environmental Protection Agency</w:t>
      </w:r>
      <w:r w:rsidR="00354715" w:rsidRPr="00557BD1">
        <w:rPr>
          <w:sz w:val="20"/>
        </w:rPr>
        <w:t xml:space="preserve">. 2 May 2011. Overview of Draft Guidance Documents on the Implementation of the Exceptional Events Rule. – Note to State/Local/Tribal Agency Reviewers. Web publication www.epa.gov/air/tribal/pdfs/EERDraftGuidanceOverviewDoc_050211_external.pdf </w:t>
      </w:r>
      <w:r w:rsidR="005E7E08" w:rsidRPr="00557BD1">
        <w:rPr>
          <w:sz w:val="20"/>
        </w:rPr>
        <w:t>accessed 19 May 2011.</w:t>
      </w:r>
    </w:p>
    <w:p w14:paraId="1962EF43" w14:textId="77777777" w:rsidR="00516290" w:rsidRPr="00557BD1" w:rsidRDefault="001B7A9A" w:rsidP="00557BD1">
      <w:pPr>
        <w:spacing w:after="120"/>
        <w:rPr>
          <w:sz w:val="20"/>
        </w:rPr>
      </w:pPr>
      <w:r w:rsidRPr="00557BD1">
        <w:rPr>
          <w:sz w:val="20"/>
        </w:rPr>
        <w:t>United States Environmental Protection Agency</w:t>
      </w:r>
      <w:r w:rsidR="00516290" w:rsidRPr="00557BD1">
        <w:rPr>
          <w:sz w:val="20"/>
        </w:rPr>
        <w:t xml:space="preserve"> National Exposure Research Laboratory – Human Health &amp; Atmospheric Sciences Division. April 2011</w:t>
      </w:r>
      <w:r w:rsidRPr="00557BD1">
        <w:rPr>
          <w:sz w:val="20"/>
        </w:rPr>
        <w:t>c</w:t>
      </w:r>
      <w:r w:rsidR="00516290" w:rsidRPr="00557BD1">
        <w:rPr>
          <w:sz w:val="20"/>
        </w:rPr>
        <w:t>.</w:t>
      </w:r>
      <w:r w:rsidR="00516290" w:rsidRPr="00557BD1">
        <w:rPr>
          <w:i/>
          <w:sz w:val="20"/>
        </w:rPr>
        <w:t xml:space="preserve"> List of Designated Reference and Equivalent Methods</w:t>
      </w:r>
      <w:r w:rsidR="00516290" w:rsidRPr="00557BD1">
        <w:rPr>
          <w:sz w:val="20"/>
        </w:rPr>
        <w:t>. Web publication</w:t>
      </w:r>
      <w:r w:rsidR="000431F7" w:rsidRPr="00557BD1">
        <w:rPr>
          <w:sz w:val="20"/>
        </w:rPr>
        <w:t xml:space="preserve"> www.epa.gov/ttn/amtic/criteria.html</w:t>
      </w:r>
      <w:r w:rsidR="00516290" w:rsidRPr="00557BD1">
        <w:rPr>
          <w:sz w:val="20"/>
        </w:rPr>
        <w:t xml:space="preserve"> </w:t>
      </w:r>
      <w:r w:rsidR="000431F7" w:rsidRPr="00557BD1">
        <w:rPr>
          <w:sz w:val="20"/>
        </w:rPr>
        <w:t xml:space="preserve">accessed 19 May 2011. </w:t>
      </w:r>
    </w:p>
    <w:p w14:paraId="0381A606" w14:textId="77777777" w:rsidR="00232543" w:rsidRPr="00557BD1" w:rsidRDefault="00232543" w:rsidP="00557BD1">
      <w:pPr>
        <w:pStyle w:val="References"/>
      </w:pPr>
      <w:r w:rsidRPr="00557BD1">
        <w:t xml:space="preserve">Wilton E. 2001. </w:t>
      </w:r>
      <w:r w:rsidRPr="00557BD1">
        <w:rPr>
          <w:i/>
        </w:rPr>
        <w:t xml:space="preserve">Good Practice Guide for Preparing Emissions Inventories, </w:t>
      </w:r>
      <w:r w:rsidRPr="00557BD1">
        <w:t xml:space="preserve">Report SMF1 prepared by Environet for the Ministry for the Environment. Wellington: Ministry for the Environment. Available on </w:t>
      </w:r>
      <w:hyperlink r:id="rId56" w:history="1">
        <w:r w:rsidRPr="00557BD1">
          <w:rPr>
            <w:rStyle w:val="Hyperlink"/>
            <w:color w:val="auto"/>
          </w:rPr>
          <w:t>www.mfe.govt.nz</w:t>
        </w:r>
      </w:hyperlink>
      <w:r w:rsidRPr="00557BD1">
        <w:t>.</w:t>
      </w:r>
    </w:p>
    <w:p w14:paraId="1FCAEF00" w14:textId="77777777" w:rsidR="00D15F58" w:rsidRPr="00557BD1" w:rsidRDefault="00A50B2A" w:rsidP="00557BD1">
      <w:pPr>
        <w:spacing w:after="120"/>
        <w:rPr>
          <w:sz w:val="20"/>
        </w:rPr>
      </w:pPr>
      <w:r w:rsidRPr="00557BD1">
        <w:rPr>
          <w:sz w:val="20"/>
        </w:rPr>
        <w:t xml:space="preserve">World Health Organisation. </w:t>
      </w:r>
      <w:r w:rsidR="00AE6CE7">
        <w:rPr>
          <w:sz w:val="20"/>
        </w:rPr>
        <w:t>2006.</w:t>
      </w:r>
      <w:r w:rsidR="00D15F58" w:rsidRPr="00557BD1">
        <w:rPr>
          <w:sz w:val="20"/>
        </w:rPr>
        <w:t xml:space="preserve"> </w:t>
      </w:r>
      <w:r w:rsidR="00D15F58" w:rsidRPr="00557BD1">
        <w:rPr>
          <w:i/>
          <w:sz w:val="20"/>
        </w:rPr>
        <w:t>Air Quality Guidelines Global Update 2005</w:t>
      </w:r>
      <w:r w:rsidR="00516290" w:rsidRPr="00557BD1">
        <w:rPr>
          <w:i/>
          <w:sz w:val="20"/>
        </w:rPr>
        <w:t>, Particulate matter, ozone, nitrogen dioxide and sulphur dioxide</w:t>
      </w:r>
      <w:r w:rsidR="00516290" w:rsidRPr="00557BD1">
        <w:rPr>
          <w:sz w:val="20"/>
        </w:rPr>
        <w:t>.</w:t>
      </w:r>
      <w:r w:rsidR="00D15F58" w:rsidRPr="00557BD1">
        <w:rPr>
          <w:sz w:val="20"/>
        </w:rPr>
        <w:t xml:space="preserve"> </w:t>
      </w:r>
      <w:r w:rsidR="000431F7" w:rsidRPr="00557BD1">
        <w:rPr>
          <w:sz w:val="20"/>
        </w:rPr>
        <w:t xml:space="preserve">Denmark. </w:t>
      </w:r>
      <w:r w:rsidR="00D15F58" w:rsidRPr="00557BD1">
        <w:rPr>
          <w:sz w:val="20"/>
        </w:rPr>
        <w:t>WHO Regional Office for E</w:t>
      </w:r>
      <w:r w:rsidR="00516290" w:rsidRPr="00557BD1">
        <w:rPr>
          <w:sz w:val="20"/>
        </w:rPr>
        <w:t>urope</w:t>
      </w:r>
      <w:r w:rsidR="000431F7" w:rsidRPr="00557BD1">
        <w:rPr>
          <w:sz w:val="20"/>
        </w:rPr>
        <w:t>.</w:t>
      </w:r>
      <w:r w:rsidRPr="00557BD1">
        <w:rPr>
          <w:sz w:val="20"/>
        </w:rPr>
        <w:t xml:space="preserve"> Available on </w:t>
      </w:r>
      <w:hyperlink r:id="rId57" w:history="1">
        <w:r w:rsidRPr="00557BD1">
          <w:rPr>
            <w:rStyle w:val="Hyperlink"/>
            <w:color w:val="auto"/>
            <w:sz w:val="20"/>
          </w:rPr>
          <w:t>www.who.int</w:t>
        </w:r>
      </w:hyperlink>
      <w:r w:rsidRPr="00557BD1">
        <w:rPr>
          <w:sz w:val="20"/>
        </w:rPr>
        <w:t xml:space="preserve"> </w:t>
      </w:r>
    </w:p>
    <w:p w14:paraId="473F9D07" w14:textId="77777777" w:rsidR="004A618E" w:rsidRPr="00516290" w:rsidRDefault="004A618E" w:rsidP="0090025D"/>
    <w:p w14:paraId="6E780110" w14:textId="77777777" w:rsidR="0074717E" w:rsidRDefault="0074717E" w:rsidP="0090025D">
      <w:pPr>
        <w:pStyle w:val="References"/>
        <w:sectPr w:rsidR="0074717E">
          <w:pgSz w:w="11907" w:h="16840" w:code="9"/>
          <w:pgMar w:top="1701" w:right="1418" w:bottom="1701" w:left="1418" w:header="567" w:footer="567" w:gutter="567"/>
          <w:cols w:space="720"/>
        </w:sectPr>
      </w:pPr>
    </w:p>
    <w:p w14:paraId="0CCDB5C2" w14:textId="77777777" w:rsidR="0074717E" w:rsidRDefault="0074717E" w:rsidP="009A3354">
      <w:pPr>
        <w:pStyle w:val="Heading2"/>
        <w:spacing w:before="0"/>
      </w:pPr>
      <w:bookmarkStart w:id="342" w:name="_Toc222291837"/>
      <w:bookmarkStart w:id="343" w:name="_Toc222292183"/>
      <w:bookmarkStart w:id="344" w:name="_Toc222292271"/>
      <w:bookmarkStart w:id="345" w:name="_Toc242861994"/>
      <w:bookmarkStart w:id="346" w:name="_Toc300856643"/>
      <w:r w:rsidRPr="000B18F0">
        <w:t xml:space="preserve">Appendix </w:t>
      </w:r>
      <w:r w:rsidR="003147B0">
        <w:t>1</w:t>
      </w:r>
      <w:r>
        <w:t xml:space="preserve">: </w:t>
      </w:r>
      <w:r w:rsidRPr="000B18F0">
        <w:t>Basel Convention</w:t>
      </w:r>
      <w:r>
        <w:t xml:space="preserve">: </w:t>
      </w:r>
      <w:r w:rsidRPr="000B18F0">
        <w:t>Annexes I and III</w:t>
      </w:r>
      <w:bookmarkEnd w:id="342"/>
      <w:bookmarkEnd w:id="343"/>
      <w:bookmarkEnd w:id="344"/>
      <w:bookmarkEnd w:id="345"/>
      <w:bookmarkEnd w:id="346"/>
    </w:p>
    <w:p w14:paraId="4AC2792A" w14:textId="77777777" w:rsidR="0074717E" w:rsidRDefault="0074717E" w:rsidP="0090025D">
      <w:pPr>
        <w:pStyle w:val="Heading3"/>
      </w:pPr>
      <w:bookmarkStart w:id="347" w:name="_Toc88024863"/>
      <w:bookmarkStart w:id="348" w:name="_Toc222291838"/>
      <w:bookmarkStart w:id="349" w:name="_Toc222292184"/>
      <w:bookmarkStart w:id="350" w:name="_Toc222292272"/>
      <w:bookmarkStart w:id="351" w:name="_Toc242861995"/>
      <w:r>
        <w:t>Annex I: Categories of wastes to be controlled</w:t>
      </w:r>
      <w:bookmarkEnd w:id="347"/>
      <w:bookmarkEnd w:id="348"/>
      <w:bookmarkEnd w:id="349"/>
      <w:bookmarkEnd w:id="350"/>
      <w:bookmarkEnd w:id="351"/>
    </w:p>
    <w:p w14:paraId="21AF281C" w14:textId="77777777" w:rsidR="0074717E" w:rsidRDefault="0074717E" w:rsidP="0090025D">
      <w:pPr>
        <w:pStyle w:val="Heading4"/>
      </w:pPr>
      <w:r>
        <w:t>Waste streams</w:t>
      </w:r>
    </w:p>
    <w:p w14:paraId="57A28A92" w14:textId="77777777" w:rsidR="0074717E" w:rsidRDefault="0074717E" w:rsidP="002141BE">
      <w:pPr>
        <w:tabs>
          <w:tab w:val="left" w:pos="567"/>
        </w:tabs>
        <w:spacing w:before="120"/>
      </w:pPr>
      <w:r>
        <w:t>Y1</w:t>
      </w:r>
      <w:r>
        <w:tab/>
        <w:t>Clinical wastes from medical care in hospitals, medical centres and clinics</w:t>
      </w:r>
    </w:p>
    <w:p w14:paraId="11AAD90F" w14:textId="77777777" w:rsidR="0074717E" w:rsidRDefault="0074717E" w:rsidP="002141BE">
      <w:pPr>
        <w:tabs>
          <w:tab w:val="left" w:pos="567"/>
        </w:tabs>
        <w:spacing w:before="120"/>
      </w:pPr>
      <w:r>
        <w:t>Y2</w:t>
      </w:r>
      <w:r>
        <w:tab/>
        <w:t>Wastes from the production and preparation of pharmaceutical products</w:t>
      </w:r>
    </w:p>
    <w:p w14:paraId="6255DC01" w14:textId="77777777" w:rsidR="0074717E" w:rsidRDefault="0074717E" w:rsidP="002141BE">
      <w:pPr>
        <w:tabs>
          <w:tab w:val="left" w:pos="567"/>
        </w:tabs>
        <w:spacing w:before="120"/>
      </w:pPr>
      <w:r>
        <w:t>Y3</w:t>
      </w:r>
      <w:r>
        <w:tab/>
        <w:t>Waste pharmaceuticals, drugs and medicines</w:t>
      </w:r>
    </w:p>
    <w:p w14:paraId="12E5FE1D" w14:textId="77777777" w:rsidR="0074717E" w:rsidRDefault="0074717E" w:rsidP="002141BE">
      <w:pPr>
        <w:tabs>
          <w:tab w:val="left" w:pos="567"/>
        </w:tabs>
        <w:spacing w:before="120"/>
      </w:pPr>
      <w:r>
        <w:t>Y4</w:t>
      </w:r>
      <w:r>
        <w:tab/>
        <w:t>Wastes from the production, formulation and use of biocides and phytopharmaceuticals</w:t>
      </w:r>
    </w:p>
    <w:p w14:paraId="1C5259A8" w14:textId="77777777" w:rsidR="0074717E" w:rsidRDefault="0074717E" w:rsidP="002141BE">
      <w:pPr>
        <w:tabs>
          <w:tab w:val="left" w:pos="567"/>
        </w:tabs>
        <w:spacing w:before="120"/>
      </w:pPr>
      <w:r>
        <w:t>Y5</w:t>
      </w:r>
      <w:r>
        <w:tab/>
        <w:t>Wastes from the manufacture, formulation and use of wood preserving chemicals</w:t>
      </w:r>
    </w:p>
    <w:p w14:paraId="1E464193" w14:textId="77777777" w:rsidR="0074717E" w:rsidRDefault="0074717E" w:rsidP="002141BE">
      <w:pPr>
        <w:tabs>
          <w:tab w:val="left" w:pos="567"/>
        </w:tabs>
        <w:spacing w:before="120"/>
      </w:pPr>
      <w:r>
        <w:t>Y6</w:t>
      </w:r>
      <w:r>
        <w:tab/>
        <w:t>Wastes from the production, formulation and use of organic solvents</w:t>
      </w:r>
    </w:p>
    <w:p w14:paraId="084E5915" w14:textId="77777777" w:rsidR="0074717E" w:rsidRDefault="0074717E" w:rsidP="002141BE">
      <w:pPr>
        <w:tabs>
          <w:tab w:val="left" w:pos="567"/>
        </w:tabs>
        <w:spacing w:before="120"/>
      </w:pPr>
      <w:r>
        <w:t>Y7</w:t>
      </w:r>
      <w:r>
        <w:tab/>
        <w:t>Wastes from heat treatment and tempering operations containing cyanides</w:t>
      </w:r>
    </w:p>
    <w:p w14:paraId="40BC2257" w14:textId="77777777" w:rsidR="0074717E" w:rsidRDefault="0074717E" w:rsidP="002141BE">
      <w:pPr>
        <w:tabs>
          <w:tab w:val="left" w:pos="567"/>
        </w:tabs>
        <w:spacing w:before="120"/>
      </w:pPr>
      <w:r>
        <w:t>Y8</w:t>
      </w:r>
      <w:r>
        <w:tab/>
        <w:t>Waste mineral oils unfit for their originally intended use</w:t>
      </w:r>
    </w:p>
    <w:p w14:paraId="0C7E47CA" w14:textId="77777777" w:rsidR="0074717E" w:rsidRDefault="0074717E" w:rsidP="002141BE">
      <w:pPr>
        <w:tabs>
          <w:tab w:val="left" w:pos="567"/>
        </w:tabs>
        <w:spacing w:before="120"/>
      </w:pPr>
      <w:r>
        <w:t>Y9</w:t>
      </w:r>
      <w:r>
        <w:tab/>
        <w:t>Waste oils/water, hydrocarbons/water mixtures, emulsions</w:t>
      </w:r>
    </w:p>
    <w:p w14:paraId="6394BE3D" w14:textId="77777777" w:rsidR="0074717E" w:rsidRPr="00310C2C" w:rsidRDefault="0074717E" w:rsidP="00A34818">
      <w:pPr>
        <w:tabs>
          <w:tab w:val="left" w:pos="567"/>
        </w:tabs>
        <w:spacing w:before="120"/>
      </w:pPr>
      <w:r>
        <w:t>Y10</w:t>
      </w:r>
      <w:r>
        <w:tab/>
      </w:r>
      <w:r w:rsidRPr="00310C2C">
        <w:t xml:space="preserve">Waste substances and articles containing or contaminated with polychlorinated biphenyls </w:t>
      </w:r>
      <w:r w:rsidR="002141BE">
        <w:tab/>
      </w:r>
      <w:r w:rsidRPr="00310C2C">
        <w:t xml:space="preserve">(PCBs) and/or polychlorinated terphenyls (PCTs) and/or polybrominated biphenyls </w:t>
      </w:r>
      <w:r w:rsidR="00A34818">
        <w:tab/>
      </w:r>
      <w:r w:rsidRPr="00310C2C">
        <w:t>(PBBs)</w:t>
      </w:r>
    </w:p>
    <w:p w14:paraId="5C530A4B" w14:textId="77777777" w:rsidR="0074717E" w:rsidRDefault="0074717E" w:rsidP="00A34818">
      <w:pPr>
        <w:tabs>
          <w:tab w:val="left" w:pos="567"/>
        </w:tabs>
        <w:spacing w:before="120"/>
      </w:pPr>
      <w:r>
        <w:t>Y11</w:t>
      </w:r>
      <w:r>
        <w:tab/>
        <w:t>Waste tarry residues arising from refining, distillation and any pyrolytic treatment</w:t>
      </w:r>
    </w:p>
    <w:p w14:paraId="78BEBACE" w14:textId="77777777" w:rsidR="0074717E" w:rsidRDefault="0074717E" w:rsidP="002141BE">
      <w:pPr>
        <w:tabs>
          <w:tab w:val="left" w:pos="567"/>
        </w:tabs>
        <w:spacing w:before="120"/>
      </w:pPr>
      <w:r>
        <w:t>Y12</w:t>
      </w:r>
      <w:r>
        <w:tab/>
        <w:t xml:space="preserve">Wastes from production, formulation and use of inks, dyes, pigments, paints, lacquers, </w:t>
      </w:r>
      <w:r w:rsidR="002141BE">
        <w:tab/>
      </w:r>
      <w:r>
        <w:t>varnish</w:t>
      </w:r>
    </w:p>
    <w:p w14:paraId="48116FB0" w14:textId="77777777" w:rsidR="0074717E" w:rsidRDefault="0074717E" w:rsidP="00A34818">
      <w:pPr>
        <w:tabs>
          <w:tab w:val="left" w:pos="567"/>
        </w:tabs>
        <w:spacing w:before="120"/>
      </w:pPr>
      <w:r>
        <w:t>Y13</w:t>
      </w:r>
      <w:r>
        <w:tab/>
        <w:t xml:space="preserve">Wastes from production, formulation and use of resins, latex, plasticisers, glues/ </w:t>
      </w:r>
      <w:r w:rsidR="00A34818">
        <w:tab/>
      </w:r>
      <w:r>
        <w:t>adhesives</w:t>
      </w:r>
    </w:p>
    <w:p w14:paraId="5FF6A0B5" w14:textId="77777777" w:rsidR="0074717E" w:rsidRDefault="0074717E" w:rsidP="00A34818">
      <w:pPr>
        <w:tabs>
          <w:tab w:val="left" w:pos="567"/>
        </w:tabs>
        <w:spacing w:before="120"/>
      </w:pPr>
      <w:r>
        <w:t>Y14</w:t>
      </w:r>
      <w:r>
        <w:tab/>
        <w:t xml:space="preserve">Waste chemical substances arising from research and development or teaching activities </w:t>
      </w:r>
      <w:r w:rsidR="00A34818">
        <w:tab/>
      </w:r>
      <w:r>
        <w:t xml:space="preserve">which are not identified and/or are new and whose effects on man and/or the environment </w:t>
      </w:r>
      <w:r w:rsidR="00A34818">
        <w:tab/>
      </w:r>
      <w:r>
        <w:t>are not known</w:t>
      </w:r>
    </w:p>
    <w:p w14:paraId="13801D91" w14:textId="77777777" w:rsidR="0074717E" w:rsidRDefault="0074717E" w:rsidP="00A34818">
      <w:pPr>
        <w:tabs>
          <w:tab w:val="left" w:pos="567"/>
        </w:tabs>
        <w:spacing w:before="120"/>
      </w:pPr>
      <w:r>
        <w:t>Y15</w:t>
      </w:r>
      <w:r>
        <w:tab/>
        <w:t>Wastes of an explosive nature not subject to other legislation</w:t>
      </w:r>
    </w:p>
    <w:p w14:paraId="34FB070A" w14:textId="77777777" w:rsidR="0074717E" w:rsidRDefault="0074717E" w:rsidP="00A34818">
      <w:pPr>
        <w:tabs>
          <w:tab w:val="left" w:pos="567"/>
        </w:tabs>
        <w:spacing w:before="120"/>
      </w:pPr>
      <w:r>
        <w:t>Y16</w:t>
      </w:r>
      <w:r>
        <w:tab/>
        <w:t xml:space="preserve">Wastes from production, formulation and use of photographic chemicals and processing </w:t>
      </w:r>
      <w:r w:rsidR="00A34818">
        <w:tab/>
      </w:r>
      <w:r>
        <w:t>materials</w:t>
      </w:r>
    </w:p>
    <w:p w14:paraId="1D49C96D" w14:textId="77777777" w:rsidR="0074717E" w:rsidRDefault="0074717E" w:rsidP="00A34818">
      <w:pPr>
        <w:tabs>
          <w:tab w:val="left" w:pos="567"/>
        </w:tabs>
        <w:spacing w:before="120"/>
      </w:pPr>
      <w:r>
        <w:t>Y17</w:t>
      </w:r>
      <w:r>
        <w:tab/>
        <w:t>Wastes resulting from surface treatment of metals and plastics</w:t>
      </w:r>
    </w:p>
    <w:p w14:paraId="32C11651" w14:textId="77777777" w:rsidR="0074717E" w:rsidRDefault="0074717E" w:rsidP="00A34818">
      <w:pPr>
        <w:tabs>
          <w:tab w:val="left" w:pos="567"/>
        </w:tabs>
        <w:spacing w:before="120"/>
      </w:pPr>
      <w:r>
        <w:t>Y18</w:t>
      </w:r>
      <w:r>
        <w:tab/>
        <w:t>Residues arising from industrial waste disposal operations</w:t>
      </w:r>
    </w:p>
    <w:p w14:paraId="3481F259" w14:textId="77777777" w:rsidR="0074717E" w:rsidRDefault="0074717E" w:rsidP="002141BE">
      <w:pPr>
        <w:spacing w:before="120"/>
      </w:pPr>
    </w:p>
    <w:p w14:paraId="783B20C3" w14:textId="77777777" w:rsidR="0074717E" w:rsidRDefault="0074717E" w:rsidP="0090025D">
      <w:pPr>
        <w:pStyle w:val="Heading4"/>
      </w:pPr>
      <w:r>
        <w:t>Wastes having as constituents</w:t>
      </w:r>
    </w:p>
    <w:p w14:paraId="0F64D047" w14:textId="77777777" w:rsidR="0074717E" w:rsidRDefault="0074717E" w:rsidP="00A34818">
      <w:pPr>
        <w:tabs>
          <w:tab w:val="left" w:pos="567"/>
        </w:tabs>
        <w:spacing w:before="120"/>
        <w:rPr>
          <w:color w:val="000000"/>
        </w:rPr>
      </w:pPr>
      <w:r w:rsidRPr="00690721">
        <w:t>Y19</w:t>
      </w:r>
      <w:r>
        <w:tab/>
      </w:r>
      <w:r w:rsidRPr="00690721">
        <w:t>Metal carbonyls</w:t>
      </w:r>
    </w:p>
    <w:p w14:paraId="2996FBF3" w14:textId="77777777" w:rsidR="0074717E" w:rsidRDefault="0074717E" w:rsidP="00A34818">
      <w:pPr>
        <w:tabs>
          <w:tab w:val="left" w:pos="567"/>
        </w:tabs>
        <w:spacing w:before="120"/>
        <w:rPr>
          <w:color w:val="000000"/>
        </w:rPr>
      </w:pPr>
      <w:r w:rsidRPr="00690721">
        <w:t>Y20</w:t>
      </w:r>
      <w:r>
        <w:tab/>
      </w:r>
      <w:r w:rsidRPr="00690721">
        <w:t>Beryllium; beryllium compounds</w:t>
      </w:r>
    </w:p>
    <w:p w14:paraId="204C700C" w14:textId="77777777" w:rsidR="0074717E" w:rsidRDefault="0074717E" w:rsidP="00A34818">
      <w:pPr>
        <w:tabs>
          <w:tab w:val="left" w:pos="567"/>
        </w:tabs>
        <w:spacing w:before="120"/>
        <w:rPr>
          <w:color w:val="000000"/>
        </w:rPr>
      </w:pPr>
      <w:r w:rsidRPr="00690721">
        <w:t>Y21</w:t>
      </w:r>
      <w:r>
        <w:tab/>
      </w:r>
      <w:r w:rsidRPr="00690721">
        <w:t>Hexavalent chromium compounds</w:t>
      </w:r>
    </w:p>
    <w:p w14:paraId="2F733CE0" w14:textId="77777777" w:rsidR="0074717E" w:rsidRDefault="0074717E" w:rsidP="00A34818">
      <w:pPr>
        <w:tabs>
          <w:tab w:val="left" w:pos="567"/>
        </w:tabs>
        <w:spacing w:before="120"/>
        <w:rPr>
          <w:color w:val="000000"/>
        </w:rPr>
      </w:pPr>
      <w:r w:rsidRPr="00690721">
        <w:t>Y22</w:t>
      </w:r>
      <w:r>
        <w:tab/>
      </w:r>
      <w:r w:rsidRPr="00690721">
        <w:t>Copper compounds</w:t>
      </w:r>
    </w:p>
    <w:p w14:paraId="72F31FE9" w14:textId="77777777" w:rsidR="0074717E" w:rsidRDefault="0074717E" w:rsidP="00A34818">
      <w:pPr>
        <w:tabs>
          <w:tab w:val="left" w:pos="567"/>
        </w:tabs>
        <w:spacing w:before="120"/>
        <w:rPr>
          <w:color w:val="000000"/>
        </w:rPr>
      </w:pPr>
      <w:r w:rsidRPr="00690721">
        <w:t>Y23</w:t>
      </w:r>
      <w:r>
        <w:tab/>
      </w:r>
      <w:r w:rsidRPr="00690721">
        <w:t>Zinc compounds</w:t>
      </w:r>
    </w:p>
    <w:p w14:paraId="741C12DF" w14:textId="77777777" w:rsidR="0074717E" w:rsidRDefault="0074717E" w:rsidP="00A34818">
      <w:pPr>
        <w:tabs>
          <w:tab w:val="left" w:pos="567"/>
        </w:tabs>
        <w:spacing w:before="120"/>
        <w:rPr>
          <w:color w:val="000000"/>
        </w:rPr>
      </w:pPr>
      <w:r w:rsidRPr="00690721">
        <w:t>Y24</w:t>
      </w:r>
      <w:r>
        <w:tab/>
      </w:r>
      <w:r w:rsidRPr="00690721">
        <w:t>Arsenic; arsenic compounds</w:t>
      </w:r>
    </w:p>
    <w:p w14:paraId="740CDE22" w14:textId="77777777" w:rsidR="0074717E" w:rsidRDefault="0074717E" w:rsidP="00A34818">
      <w:pPr>
        <w:tabs>
          <w:tab w:val="left" w:pos="567"/>
        </w:tabs>
        <w:spacing w:before="120"/>
        <w:rPr>
          <w:color w:val="000000"/>
        </w:rPr>
      </w:pPr>
      <w:r w:rsidRPr="00690721">
        <w:t>Y25</w:t>
      </w:r>
      <w:r>
        <w:tab/>
      </w:r>
      <w:r w:rsidRPr="00690721">
        <w:t>Selenium; selenium compounds</w:t>
      </w:r>
    </w:p>
    <w:p w14:paraId="2CB2B890" w14:textId="77777777" w:rsidR="0074717E" w:rsidRDefault="0074717E" w:rsidP="00A34818">
      <w:pPr>
        <w:tabs>
          <w:tab w:val="left" w:pos="567"/>
        </w:tabs>
        <w:spacing w:before="120"/>
        <w:rPr>
          <w:color w:val="000000"/>
        </w:rPr>
      </w:pPr>
      <w:r w:rsidRPr="00690721">
        <w:t>Y26</w:t>
      </w:r>
      <w:r>
        <w:tab/>
      </w:r>
      <w:r w:rsidRPr="00690721">
        <w:t>Cadmium; cadmium compounds</w:t>
      </w:r>
    </w:p>
    <w:p w14:paraId="5F5F29AD" w14:textId="77777777" w:rsidR="0074717E" w:rsidRDefault="0074717E" w:rsidP="00A34818">
      <w:pPr>
        <w:tabs>
          <w:tab w:val="left" w:pos="567"/>
        </w:tabs>
        <w:spacing w:before="120"/>
        <w:rPr>
          <w:color w:val="000000"/>
        </w:rPr>
      </w:pPr>
      <w:r w:rsidRPr="00690721">
        <w:t>Y27</w:t>
      </w:r>
      <w:r>
        <w:tab/>
      </w:r>
      <w:r w:rsidRPr="00690721">
        <w:t>Antimony; antimony compounds</w:t>
      </w:r>
    </w:p>
    <w:p w14:paraId="60CEC8FB" w14:textId="77777777" w:rsidR="0074717E" w:rsidRDefault="0074717E" w:rsidP="00A34818">
      <w:pPr>
        <w:tabs>
          <w:tab w:val="left" w:pos="567"/>
        </w:tabs>
        <w:spacing w:before="120"/>
        <w:rPr>
          <w:color w:val="000000"/>
        </w:rPr>
      </w:pPr>
      <w:r w:rsidRPr="00690721">
        <w:t>Y28</w:t>
      </w:r>
      <w:r>
        <w:tab/>
      </w:r>
      <w:r w:rsidRPr="00690721">
        <w:t>Tellurium; tellurium compounds</w:t>
      </w:r>
    </w:p>
    <w:p w14:paraId="78013E0A" w14:textId="77777777" w:rsidR="0074717E" w:rsidRDefault="0074717E" w:rsidP="00A34818">
      <w:pPr>
        <w:tabs>
          <w:tab w:val="left" w:pos="567"/>
        </w:tabs>
        <w:spacing w:before="120"/>
        <w:rPr>
          <w:color w:val="000000"/>
        </w:rPr>
      </w:pPr>
      <w:r w:rsidRPr="00690721">
        <w:t>Y29</w:t>
      </w:r>
      <w:r>
        <w:tab/>
      </w:r>
      <w:r w:rsidRPr="00690721">
        <w:t>Mercury; mercury compounds</w:t>
      </w:r>
    </w:p>
    <w:p w14:paraId="62B6054F" w14:textId="77777777" w:rsidR="0074717E" w:rsidRDefault="0074717E" w:rsidP="00A34818">
      <w:pPr>
        <w:tabs>
          <w:tab w:val="left" w:pos="567"/>
        </w:tabs>
        <w:spacing w:before="120"/>
        <w:rPr>
          <w:color w:val="000000"/>
        </w:rPr>
      </w:pPr>
      <w:r w:rsidRPr="00690721">
        <w:t>Y30</w:t>
      </w:r>
      <w:r>
        <w:tab/>
      </w:r>
      <w:r w:rsidRPr="00690721">
        <w:t>Thallium; thallium compounds</w:t>
      </w:r>
    </w:p>
    <w:p w14:paraId="7BF69551" w14:textId="77777777" w:rsidR="0074717E" w:rsidRDefault="0074717E" w:rsidP="00A34818">
      <w:pPr>
        <w:tabs>
          <w:tab w:val="left" w:pos="567"/>
        </w:tabs>
        <w:spacing w:before="120"/>
        <w:rPr>
          <w:color w:val="000000"/>
        </w:rPr>
      </w:pPr>
      <w:r w:rsidRPr="00690721">
        <w:t>Y31</w:t>
      </w:r>
      <w:r>
        <w:tab/>
      </w:r>
      <w:r w:rsidRPr="00690721">
        <w:t>Lead; lead compounds</w:t>
      </w:r>
    </w:p>
    <w:p w14:paraId="3DCB3AAA" w14:textId="77777777" w:rsidR="0074717E" w:rsidRDefault="0074717E" w:rsidP="00095D5A">
      <w:pPr>
        <w:tabs>
          <w:tab w:val="left" w:pos="567"/>
        </w:tabs>
        <w:spacing w:before="120"/>
        <w:rPr>
          <w:color w:val="000000"/>
        </w:rPr>
      </w:pPr>
      <w:r w:rsidRPr="00690721">
        <w:t>Y32</w:t>
      </w:r>
      <w:r>
        <w:tab/>
      </w:r>
      <w:r w:rsidRPr="00690721">
        <w:t>Inorganic fluorine compounds excluding calcium fluoride</w:t>
      </w:r>
    </w:p>
    <w:p w14:paraId="38965783" w14:textId="77777777" w:rsidR="0074717E" w:rsidRDefault="0074717E" w:rsidP="00095D5A">
      <w:pPr>
        <w:tabs>
          <w:tab w:val="left" w:pos="567"/>
        </w:tabs>
        <w:spacing w:before="120"/>
        <w:rPr>
          <w:color w:val="000000"/>
        </w:rPr>
      </w:pPr>
      <w:r w:rsidRPr="00690721">
        <w:t>Y33</w:t>
      </w:r>
      <w:r>
        <w:tab/>
        <w:t>I</w:t>
      </w:r>
      <w:r w:rsidRPr="00690721">
        <w:t>norganic cyanides</w:t>
      </w:r>
    </w:p>
    <w:p w14:paraId="7AA80890" w14:textId="77777777" w:rsidR="0074717E" w:rsidRDefault="0074717E" w:rsidP="00095D5A">
      <w:pPr>
        <w:tabs>
          <w:tab w:val="left" w:pos="567"/>
        </w:tabs>
        <w:spacing w:before="120"/>
        <w:rPr>
          <w:color w:val="000000"/>
        </w:rPr>
      </w:pPr>
      <w:r w:rsidRPr="00690721">
        <w:t>Y34</w:t>
      </w:r>
      <w:r>
        <w:tab/>
      </w:r>
      <w:r w:rsidRPr="00690721">
        <w:t>Acidic solutions or acids in solid form</w:t>
      </w:r>
    </w:p>
    <w:p w14:paraId="1B5D8390" w14:textId="77777777" w:rsidR="0074717E" w:rsidRDefault="0074717E" w:rsidP="00095D5A">
      <w:pPr>
        <w:tabs>
          <w:tab w:val="left" w:pos="567"/>
        </w:tabs>
        <w:spacing w:before="120"/>
        <w:rPr>
          <w:color w:val="000000"/>
        </w:rPr>
      </w:pPr>
      <w:r w:rsidRPr="00690721">
        <w:t>Y35</w:t>
      </w:r>
      <w:r>
        <w:tab/>
        <w:t>B</w:t>
      </w:r>
      <w:r w:rsidRPr="00690721">
        <w:t>asic solutions or bases in solid form</w:t>
      </w:r>
    </w:p>
    <w:p w14:paraId="6D8CD98A" w14:textId="77777777" w:rsidR="0074717E" w:rsidRDefault="0074717E" w:rsidP="00095D5A">
      <w:pPr>
        <w:tabs>
          <w:tab w:val="left" w:pos="567"/>
        </w:tabs>
        <w:spacing w:before="120"/>
        <w:rPr>
          <w:color w:val="000000"/>
        </w:rPr>
      </w:pPr>
      <w:r w:rsidRPr="00690721">
        <w:t>Y36</w:t>
      </w:r>
      <w:r>
        <w:tab/>
      </w:r>
      <w:r w:rsidRPr="00690721">
        <w:t>Asbestos (dust and fibres)</w:t>
      </w:r>
    </w:p>
    <w:p w14:paraId="4F82861B" w14:textId="77777777" w:rsidR="0074717E" w:rsidRDefault="0074717E" w:rsidP="00095D5A">
      <w:pPr>
        <w:tabs>
          <w:tab w:val="left" w:pos="567"/>
        </w:tabs>
        <w:spacing w:before="120"/>
        <w:rPr>
          <w:color w:val="000000"/>
        </w:rPr>
      </w:pPr>
      <w:r w:rsidRPr="00690721">
        <w:t>Y37</w:t>
      </w:r>
      <w:r>
        <w:tab/>
      </w:r>
      <w:r w:rsidRPr="00690721">
        <w:t>Organic phosphorus compounds</w:t>
      </w:r>
    </w:p>
    <w:p w14:paraId="5D5FA721" w14:textId="77777777" w:rsidR="0074717E" w:rsidRDefault="0074717E" w:rsidP="00095D5A">
      <w:pPr>
        <w:tabs>
          <w:tab w:val="left" w:pos="567"/>
        </w:tabs>
        <w:spacing w:before="120"/>
        <w:rPr>
          <w:color w:val="000000"/>
        </w:rPr>
      </w:pPr>
      <w:r w:rsidRPr="00690721">
        <w:t>Y38</w:t>
      </w:r>
      <w:r>
        <w:tab/>
      </w:r>
      <w:r w:rsidRPr="00690721">
        <w:t>Organic cyanides</w:t>
      </w:r>
    </w:p>
    <w:p w14:paraId="399B775A" w14:textId="77777777" w:rsidR="0074717E" w:rsidRDefault="0074717E" w:rsidP="00095D5A">
      <w:pPr>
        <w:tabs>
          <w:tab w:val="left" w:pos="567"/>
        </w:tabs>
        <w:spacing w:before="120"/>
        <w:rPr>
          <w:color w:val="000000"/>
        </w:rPr>
      </w:pPr>
      <w:r w:rsidRPr="00690721">
        <w:t>Y39</w:t>
      </w:r>
      <w:r>
        <w:tab/>
      </w:r>
      <w:r w:rsidRPr="00690721">
        <w:t>Phenols; phenol compounds including chlorophenols</w:t>
      </w:r>
    </w:p>
    <w:p w14:paraId="1C3E93C9" w14:textId="77777777" w:rsidR="0074717E" w:rsidRDefault="0074717E" w:rsidP="00095D5A">
      <w:pPr>
        <w:tabs>
          <w:tab w:val="left" w:pos="567"/>
        </w:tabs>
        <w:spacing w:before="120"/>
        <w:rPr>
          <w:color w:val="000000"/>
        </w:rPr>
      </w:pPr>
      <w:r w:rsidRPr="00690721">
        <w:t>Y40</w:t>
      </w:r>
      <w:r>
        <w:tab/>
      </w:r>
      <w:r w:rsidRPr="00690721">
        <w:t>Ethers</w:t>
      </w:r>
    </w:p>
    <w:p w14:paraId="27B84290" w14:textId="77777777" w:rsidR="0074717E" w:rsidRDefault="0074717E" w:rsidP="00095D5A">
      <w:pPr>
        <w:tabs>
          <w:tab w:val="left" w:pos="567"/>
        </w:tabs>
        <w:spacing w:before="120"/>
        <w:rPr>
          <w:color w:val="000000"/>
        </w:rPr>
      </w:pPr>
      <w:r w:rsidRPr="00690721">
        <w:t>Y41</w:t>
      </w:r>
      <w:r>
        <w:tab/>
      </w:r>
      <w:r w:rsidRPr="00690721">
        <w:t>Halogenated organic solvents</w:t>
      </w:r>
    </w:p>
    <w:p w14:paraId="62DE5F29" w14:textId="77777777" w:rsidR="0074717E" w:rsidRDefault="0074717E" w:rsidP="00095D5A">
      <w:pPr>
        <w:tabs>
          <w:tab w:val="left" w:pos="567"/>
        </w:tabs>
        <w:spacing w:before="120"/>
        <w:rPr>
          <w:color w:val="000000"/>
        </w:rPr>
      </w:pPr>
      <w:r w:rsidRPr="00690721">
        <w:t>Y42</w:t>
      </w:r>
      <w:r>
        <w:tab/>
      </w:r>
      <w:r w:rsidRPr="00690721">
        <w:t>Organic solvents excluding halogenated solvents</w:t>
      </w:r>
    </w:p>
    <w:p w14:paraId="07F5815D" w14:textId="77777777" w:rsidR="0074717E" w:rsidRDefault="0074717E" w:rsidP="00095D5A">
      <w:pPr>
        <w:tabs>
          <w:tab w:val="left" w:pos="567"/>
        </w:tabs>
        <w:spacing w:before="120"/>
        <w:rPr>
          <w:color w:val="000000"/>
        </w:rPr>
      </w:pPr>
      <w:r w:rsidRPr="00690721">
        <w:t>Y43</w:t>
      </w:r>
      <w:r>
        <w:tab/>
      </w:r>
      <w:r w:rsidRPr="00690721">
        <w:t>Any congenor of polychlorinated dibenzo-furan</w:t>
      </w:r>
    </w:p>
    <w:p w14:paraId="70707B9D" w14:textId="77777777" w:rsidR="0074717E" w:rsidRDefault="0074717E" w:rsidP="00095D5A">
      <w:pPr>
        <w:tabs>
          <w:tab w:val="left" w:pos="567"/>
        </w:tabs>
        <w:spacing w:before="120"/>
        <w:rPr>
          <w:color w:val="000000"/>
        </w:rPr>
      </w:pPr>
      <w:r w:rsidRPr="00690721">
        <w:t>Y44</w:t>
      </w:r>
      <w:r>
        <w:tab/>
        <w:t>A</w:t>
      </w:r>
      <w:r w:rsidRPr="00690721">
        <w:t>ny congenor of polychlorinated dibenzo-p-dioxin</w:t>
      </w:r>
    </w:p>
    <w:p w14:paraId="26432408" w14:textId="77777777" w:rsidR="0074717E" w:rsidRDefault="0074717E" w:rsidP="00095D5A">
      <w:pPr>
        <w:tabs>
          <w:tab w:val="left" w:pos="567"/>
        </w:tabs>
        <w:spacing w:before="120"/>
        <w:rPr>
          <w:color w:val="000000"/>
        </w:rPr>
      </w:pPr>
      <w:r w:rsidRPr="00690721">
        <w:t>Y45</w:t>
      </w:r>
      <w:r>
        <w:tab/>
      </w:r>
      <w:r w:rsidRPr="00690721">
        <w:t>Organohalogen compounds other than substances referred to in this Annex (</w:t>
      </w:r>
      <w:r>
        <w:t xml:space="preserve">eg </w:t>
      </w:r>
      <w:r w:rsidRPr="00690721">
        <w:t xml:space="preserve">Y39, Y41, </w:t>
      </w:r>
      <w:r w:rsidR="0047680E">
        <w:tab/>
      </w:r>
      <w:r w:rsidRPr="00690721">
        <w:t>Y42, Y43, Y44)</w:t>
      </w:r>
    </w:p>
    <w:p w14:paraId="78CA1341" w14:textId="77777777" w:rsidR="0074717E" w:rsidRPr="0047680E" w:rsidRDefault="0074717E" w:rsidP="0047680E">
      <w:pPr>
        <w:spacing w:before="60"/>
        <w:ind w:left="1134" w:hanging="567"/>
      </w:pPr>
      <w:r w:rsidRPr="00690721">
        <w:t>(a)</w:t>
      </w:r>
      <w:r>
        <w:tab/>
      </w:r>
      <w:r w:rsidRPr="00690721">
        <w:t>To facilitate the application of this Convention, and subject to paragraphs (b), (c) and (d), wastes listed in Annex VIII are characteri</w:t>
      </w:r>
      <w:r>
        <w:t>s</w:t>
      </w:r>
      <w:r w:rsidRPr="00690721">
        <w:t>ed as hazardous pursuant to Article 1, paragraph 1 (a), of this Convention, and wastes listed in Annex IX are not covered by Article 1, paragraph 1 (a), of this Convention.</w:t>
      </w:r>
    </w:p>
    <w:p w14:paraId="7B51A855" w14:textId="77777777" w:rsidR="0074717E" w:rsidRPr="0047680E" w:rsidRDefault="0074717E" w:rsidP="0047680E">
      <w:pPr>
        <w:spacing w:before="60"/>
        <w:ind w:left="1134" w:hanging="567"/>
      </w:pPr>
      <w:r>
        <w:t>(</w:t>
      </w:r>
      <w:r w:rsidRPr="00690721">
        <w:t>b)</w:t>
      </w:r>
      <w:r>
        <w:tab/>
      </w:r>
      <w:r w:rsidRPr="00690721">
        <w:t>Designation of a waste on Annex VIII does not preclude, in a particular case, the use of Annex III to demonstrate that a waste is not hazardous pursuant to Article 1, paragraph 1 (a), of this Convention.</w:t>
      </w:r>
    </w:p>
    <w:p w14:paraId="06B3D1AC" w14:textId="77777777" w:rsidR="0074717E" w:rsidRPr="0047680E" w:rsidRDefault="0074717E" w:rsidP="0047680E">
      <w:pPr>
        <w:spacing w:before="60"/>
        <w:ind w:left="1134" w:hanging="567"/>
      </w:pPr>
      <w:r w:rsidRPr="00690721">
        <w:t>(c)</w:t>
      </w:r>
      <w:r>
        <w:tab/>
      </w:r>
      <w:r w:rsidRPr="00690721">
        <w:t>Designation of a waste on Annex IX does not preclude, in a particular case, characteri</w:t>
      </w:r>
      <w:r>
        <w:t>s</w:t>
      </w:r>
      <w:r w:rsidRPr="00690721">
        <w:t>ation of such a waste as hazardous pursuant to Article 1, paragraph 1 (a), of this Convention if it contains Annex I material to an extent causing it to exhibit an Annex III characteristic.</w:t>
      </w:r>
    </w:p>
    <w:p w14:paraId="3B7F72A6" w14:textId="77777777" w:rsidR="0074717E" w:rsidRPr="0047680E" w:rsidRDefault="0074717E" w:rsidP="0047680E">
      <w:pPr>
        <w:spacing w:before="60"/>
        <w:ind w:left="1134" w:hanging="567"/>
      </w:pPr>
      <w:r>
        <w:t>(d)</w:t>
      </w:r>
      <w:r>
        <w:tab/>
        <w:t>Annexes VIII and IX do not affect the application of Article 1, paragraph 1 (a), of this Convention for the purpose of characterisation of wastes.</w:t>
      </w:r>
      <w:r w:rsidR="00BC3187" w:rsidRPr="0047680E">
        <w:t xml:space="preserve"> </w:t>
      </w:r>
    </w:p>
    <w:p w14:paraId="235E28DE" w14:textId="77777777" w:rsidR="0074717E" w:rsidRDefault="0074717E" w:rsidP="0090025D"/>
    <w:p w14:paraId="6E5288F7" w14:textId="77777777" w:rsidR="0074717E" w:rsidRDefault="0074717E" w:rsidP="0090025D">
      <w:pPr>
        <w:pStyle w:val="Heading3"/>
      </w:pPr>
      <w:bookmarkStart w:id="352" w:name="_Toc88024864"/>
      <w:bookmarkStart w:id="353" w:name="_Toc222291839"/>
      <w:bookmarkStart w:id="354" w:name="_Toc222292185"/>
      <w:bookmarkStart w:id="355" w:name="_Toc222292273"/>
      <w:bookmarkStart w:id="356" w:name="_Toc242861996"/>
      <w:r>
        <w:t>Annex III: List of hazardous characteristics</w:t>
      </w:r>
      <w:bookmarkEnd w:id="352"/>
      <w:bookmarkEnd w:id="353"/>
      <w:bookmarkEnd w:id="354"/>
      <w:bookmarkEnd w:id="355"/>
      <w:bookmarkEnd w:id="356"/>
    </w:p>
    <w:tbl>
      <w:tblPr>
        <w:tblW w:w="0" w:type="auto"/>
        <w:tblInd w:w="108" w:type="dxa"/>
        <w:tblBorders>
          <w:top w:val="single" w:sz="8" w:space="0" w:color="auto"/>
          <w:bottom w:val="single" w:sz="8" w:space="0" w:color="auto"/>
        </w:tblBorders>
        <w:tblLayout w:type="fixed"/>
        <w:tblLook w:val="01E0" w:firstRow="1" w:lastRow="1" w:firstColumn="1" w:lastColumn="1" w:noHBand="0" w:noVBand="0"/>
      </w:tblPr>
      <w:tblGrid>
        <w:gridCol w:w="993"/>
        <w:gridCol w:w="708"/>
        <w:gridCol w:w="6804"/>
      </w:tblGrid>
      <w:tr w:rsidR="0074717E" w14:paraId="0561EE3D" w14:textId="77777777">
        <w:trPr>
          <w:cantSplit/>
          <w:tblHeader/>
        </w:trPr>
        <w:tc>
          <w:tcPr>
            <w:tcW w:w="993" w:type="dxa"/>
            <w:tcBorders>
              <w:top w:val="single" w:sz="8" w:space="0" w:color="auto"/>
              <w:bottom w:val="single" w:sz="8" w:space="0" w:color="auto"/>
            </w:tcBorders>
          </w:tcPr>
          <w:p w14:paraId="6F5D4E09" w14:textId="77777777" w:rsidR="0074717E" w:rsidRPr="00310C2C" w:rsidRDefault="0074717E" w:rsidP="0090025D">
            <w:pPr>
              <w:pStyle w:val="TableText"/>
            </w:pPr>
            <w:r>
              <w:t>UN class</w:t>
            </w:r>
            <w:r>
              <w:rPr>
                <w:rStyle w:val="FootnoteReference"/>
                <w:b/>
              </w:rPr>
              <w:footnoteReference w:id="22"/>
            </w:r>
          </w:p>
        </w:tc>
        <w:tc>
          <w:tcPr>
            <w:tcW w:w="708" w:type="dxa"/>
            <w:tcBorders>
              <w:top w:val="single" w:sz="8" w:space="0" w:color="auto"/>
              <w:bottom w:val="single" w:sz="8" w:space="0" w:color="auto"/>
            </w:tcBorders>
          </w:tcPr>
          <w:p w14:paraId="69879518" w14:textId="77777777" w:rsidR="0074717E" w:rsidRPr="00310C2C" w:rsidRDefault="0074717E" w:rsidP="0090025D">
            <w:pPr>
              <w:pStyle w:val="TableText"/>
            </w:pPr>
            <w:r>
              <w:t>Code</w:t>
            </w:r>
          </w:p>
        </w:tc>
        <w:tc>
          <w:tcPr>
            <w:tcW w:w="6804" w:type="dxa"/>
            <w:tcBorders>
              <w:top w:val="single" w:sz="8" w:space="0" w:color="auto"/>
              <w:bottom w:val="single" w:sz="8" w:space="0" w:color="auto"/>
            </w:tcBorders>
          </w:tcPr>
          <w:p w14:paraId="116FB43B" w14:textId="77777777" w:rsidR="0074717E" w:rsidRPr="00310C2C" w:rsidRDefault="0074717E" w:rsidP="0090025D">
            <w:pPr>
              <w:pStyle w:val="TableText"/>
            </w:pPr>
            <w:r>
              <w:t>Characteristics</w:t>
            </w:r>
          </w:p>
        </w:tc>
      </w:tr>
      <w:tr w:rsidR="0074717E" w14:paraId="5A608799" w14:textId="77777777">
        <w:trPr>
          <w:cantSplit/>
        </w:trPr>
        <w:tc>
          <w:tcPr>
            <w:tcW w:w="993" w:type="dxa"/>
            <w:tcBorders>
              <w:top w:val="single" w:sz="8" w:space="0" w:color="auto"/>
            </w:tcBorders>
          </w:tcPr>
          <w:p w14:paraId="18FD537C" w14:textId="77777777" w:rsidR="0074717E" w:rsidRDefault="0074717E" w:rsidP="0090025D">
            <w:pPr>
              <w:pStyle w:val="TableText"/>
            </w:pPr>
            <w:r>
              <w:t>1</w:t>
            </w:r>
          </w:p>
        </w:tc>
        <w:tc>
          <w:tcPr>
            <w:tcW w:w="708" w:type="dxa"/>
            <w:tcBorders>
              <w:top w:val="single" w:sz="8" w:space="0" w:color="auto"/>
            </w:tcBorders>
          </w:tcPr>
          <w:p w14:paraId="49786DCD" w14:textId="77777777" w:rsidR="0074717E" w:rsidRDefault="0074717E" w:rsidP="0090025D">
            <w:pPr>
              <w:pStyle w:val="TableText"/>
            </w:pPr>
            <w:r>
              <w:t>H1</w:t>
            </w:r>
          </w:p>
        </w:tc>
        <w:tc>
          <w:tcPr>
            <w:tcW w:w="6804" w:type="dxa"/>
            <w:tcBorders>
              <w:top w:val="single" w:sz="8" w:space="0" w:color="auto"/>
            </w:tcBorders>
          </w:tcPr>
          <w:p w14:paraId="2C191C54" w14:textId="77777777" w:rsidR="0074717E" w:rsidRDefault="0074717E" w:rsidP="0090025D">
            <w:pPr>
              <w:pStyle w:val="TableText"/>
            </w:pPr>
            <w:r w:rsidRPr="00AA5484">
              <w:rPr>
                <w:b/>
              </w:rPr>
              <w:t>Explosive</w:t>
            </w:r>
            <w:r>
              <w:rPr>
                <w:b/>
              </w:rPr>
              <w:t>:</w:t>
            </w:r>
            <w:r>
              <w:t xml:space="preserve"> </w:t>
            </w:r>
            <w:r w:rsidRPr="00690721">
              <w:t>An explosive substance or waste is a solid or liquid substance or waste (or mixture of substances or wastes) which is in itself capable by chemical reaction of producing gas at such a temperature and pressure and at such a speed as to cause damage to the surroundings.</w:t>
            </w:r>
          </w:p>
        </w:tc>
      </w:tr>
      <w:tr w:rsidR="0074717E" w14:paraId="5CF388C7" w14:textId="77777777">
        <w:trPr>
          <w:cantSplit/>
        </w:trPr>
        <w:tc>
          <w:tcPr>
            <w:tcW w:w="993" w:type="dxa"/>
          </w:tcPr>
          <w:p w14:paraId="443EE48E" w14:textId="77777777" w:rsidR="0074717E" w:rsidRDefault="0074717E" w:rsidP="0090025D">
            <w:pPr>
              <w:pStyle w:val="TableText"/>
            </w:pPr>
            <w:r>
              <w:t>3</w:t>
            </w:r>
          </w:p>
        </w:tc>
        <w:tc>
          <w:tcPr>
            <w:tcW w:w="708" w:type="dxa"/>
          </w:tcPr>
          <w:p w14:paraId="3BD2EB9C" w14:textId="77777777" w:rsidR="0074717E" w:rsidRDefault="0074717E" w:rsidP="0090025D">
            <w:pPr>
              <w:pStyle w:val="TableText"/>
            </w:pPr>
            <w:r>
              <w:t>H3</w:t>
            </w:r>
          </w:p>
        </w:tc>
        <w:tc>
          <w:tcPr>
            <w:tcW w:w="6804" w:type="dxa"/>
          </w:tcPr>
          <w:p w14:paraId="25A59937" w14:textId="77777777" w:rsidR="0074717E" w:rsidRDefault="0074717E" w:rsidP="0090025D">
            <w:pPr>
              <w:pStyle w:val="TableText"/>
            </w:pPr>
            <w:r w:rsidRPr="00AA5484">
              <w:rPr>
                <w:b/>
              </w:rPr>
              <w:t>Flammable liquids</w:t>
            </w:r>
            <w:r>
              <w:rPr>
                <w:b/>
              </w:rPr>
              <w:t>:</w:t>
            </w:r>
            <w:r>
              <w:t xml:space="preserve"> 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a flammable vapour at temperatures of not more than 60.5ºC, closed-cup test, or not more than 65.6ºC, open-cup test.  (Since the results of open-cup tests and of closed-cup tests are not strictly comparable and even individual results by the same test are often variable, regulations varying from the above figures to make allowance for such differences would be within the spirit of this definition.)</w:t>
            </w:r>
          </w:p>
        </w:tc>
      </w:tr>
      <w:tr w:rsidR="0074717E" w14:paraId="4CD83BA8" w14:textId="77777777">
        <w:trPr>
          <w:cantSplit/>
        </w:trPr>
        <w:tc>
          <w:tcPr>
            <w:tcW w:w="993" w:type="dxa"/>
          </w:tcPr>
          <w:p w14:paraId="05D3242C" w14:textId="77777777" w:rsidR="0074717E" w:rsidRDefault="0074717E" w:rsidP="0090025D">
            <w:pPr>
              <w:pStyle w:val="TableText"/>
            </w:pPr>
            <w:r>
              <w:t>4.1</w:t>
            </w:r>
          </w:p>
        </w:tc>
        <w:tc>
          <w:tcPr>
            <w:tcW w:w="708" w:type="dxa"/>
          </w:tcPr>
          <w:p w14:paraId="101F525A" w14:textId="77777777" w:rsidR="0074717E" w:rsidRDefault="0074717E" w:rsidP="0090025D">
            <w:pPr>
              <w:pStyle w:val="TableText"/>
            </w:pPr>
            <w:r>
              <w:t>H4.1</w:t>
            </w:r>
          </w:p>
        </w:tc>
        <w:tc>
          <w:tcPr>
            <w:tcW w:w="6804" w:type="dxa"/>
          </w:tcPr>
          <w:p w14:paraId="1CA6FA2C" w14:textId="77777777" w:rsidR="0074717E" w:rsidRDefault="0074717E" w:rsidP="0090025D">
            <w:pPr>
              <w:pStyle w:val="TableText"/>
            </w:pPr>
            <w:r w:rsidRPr="00AA5484">
              <w:rPr>
                <w:b/>
              </w:rPr>
              <w:t>Flammable solids:</w:t>
            </w:r>
            <w:r>
              <w:t xml:space="preserve"> </w:t>
            </w:r>
            <w:r w:rsidRPr="00690721">
              <w:t>Solids, or waste solids, other than those classed as explosives, which under conditions encountered in transport are readily combustible, or may cause or contribute to fire through friction.</w:t>
            </w:r>
          </w:p>
        </w:tc>
      </w:tr>
      <w:tr w:rsidR="0074717E" w14:paraId="3991DFBD" w14:textId="77777777">
        <w:trPr>
          <w:cantSplit/>
        </w:trPr>
        <w:tc>
          <w:tcPr>
            <w:tcW w:w="993" w:type="dxa"/>
          </w:tcPr>
          <w:p w14:paraId="1E75756C" w14:textId="77777777" w:rsidR="0074717E" w:rsidRDefault="0074717E" w:rsidP="0090025D">
            <w:pPr>
              <w:pStyle w:val="TableText"/>
            </w:pPr>
            <w:r>
              <w:t>4.2</w:t>
            </w:r>
          </w:p>
        </w:tc>
        <w:tc>
          <w:tcPr>
            <w:tcW w:w="708" w:type="dxa"/>
          </w:tcPr>
          <w:p w14:paraId="1B267E76" w14:textId="77777777" w:rsidR="0074717E" w:rsidRDefault="0074717E" w:rsidP="0090025D">
            <w:pPr>
              <w:pStyle w:val="TableText"/>
            </w:pPr>
            <w:r>
              <w:t>H4.2</w:t>
            </w:r>
          </w:p>
        </w:tc>
        <w:tc>
          <w:tcPr>
            <w:tcW w:w="6804" w:type="dxa"/>
          </w:tcPr>
          <w:p w14:paraId="2ECE409F" w14:textId="77777777" w:rsidR="0074717E" w:rsidRDefault="0074717E" w:rsidP="0090025D">
            <w:pPr>
              <w:pStyle w:val="TableText"/>
            </w:pPr>
            <w:r w:rsidRPr="00AA5484">
              <w:rPr>
                <w:b/>
              </w:rPr>
              <w:t>Substances or wastes liable to spontaneous combustion:</w:t>
            </w:r>
            <w:r>
              <w:t xml:space="preserve"> </w:t>
            </w:r>
            <w:r w:rsidRPr="00690721">
              <w:t>Substances or wastes which are liable to spontaneous heating under normal conditions encountered in transport, or to heating up on contact with air, and being then liable to catch fire.</w:t>
            </w:r>
          </w:p>
        </w:tc>
      </w:tr>
      <w:tr w:rsidR="0074717E" w14:paraId="7D149C28" w14:textId="77777777">
        <w:trPr>
          <w:cantSplit/>
        </w:trPr>
        <w:tc>
          <w:tcPr>
            <w:tcW w:w="993" w:type="dxa"/>
          </w:tcPr>
          <w:p w14:paraId="2C41368B" w14:textId="77777777" w:rsidR="0074717E" w:rsidRDefault="0074717E" w:rsidP="0090025D">
            <w:pPr>
              <w:pStyle w:val="TableText"/>
            </w:pPr>
            <w:r>
              <w:t>4.3</w:t>
            </w:r>
          </w:p>
        </w:tc>
        <w:tc>
          <w:tcPr>
            <w:tcW w:w="708" w:type="dxa"/>
          </w:tcPr>
          <w:p w14:paraId="5CD64704" w14:textId="77777777" w:rsidR="0074717E" w:rsidRDefault="0074717E" w:rsidP="0090025D">
            <w:pPr>
              <w:pStyle w:val="TableText"/>
            </w:pPr>
            <w:r>
              <w:t>H4.3</w:t>
            </w:r>
          </w:p>
        </w:tc>
        <w:tc>
          <w:tcPr>
            <w:tcW w:w="6804" w:type="dxa"/>
          </w:tcPr>
          <w:p w14:paraId="236F3A19" w14:textId="77777777" w:rsidR="0074717E" w:rsidRDefault="0074717E" w:rsidP="0090025D">
            <w:pPr>
              <w:pStyle w:val="TableText"/>
            </w:pPr>
            <w:r w:rsidRPr="00AA5484">
              <w:rPr>
                <w:b/>
              </w:rPr>
              <w:t>Substances or wastes which, in contact with water emit flammable gase</w:t>
            </w:r>
            <w:r>
              <w:rPr>
                <w:b/>
              </w:rPr>
              <w:t>s:</w:t>
            </w:r>
            <w:r>
              <w:t xml:space="preserve"> </w:t>
            </w:r>
            <w:r w:rsidRPr="00690721">
              <w:t>Substances or wastes which, by interaction with water, are liable to become spontaneously flammable or to give off flammable gases in dangerous quantities.</w:t>
            </w:r>
          </w:p>
        </w:tc>
      </w:tr>
      <w:tr w:rsidR="0074717E" w14:paraId="56F97B91" w14:textId="77777777">
        <w:trPr>
          <w:cantSplit/>
        </w:trPr>
        <w:tc>
          <w:tcPr>
            <w:tcW w:w="993" w:type="dxa"/>
          </w:tcPr>
          <w:p w14:paraId="1AB7AAE3" w14:textId="77777777" w:rsidR="0074717E" w:rsidRDefault="0074717E" w:rsidP="0090025D">
            <w:pPr>
              <w:pStyle w:val="TableText"/>
            </w:pPr>
            <w:r>
              <w:t>5.1</w:t>
            </w:r>
          </w:p>
        </w:tc>
        <w:tc>
          <w:tcPr>
            <w:tcW w:w="708" w:type="dxa"/>
          </w:tcPr>
          <w:p w14:paraId="13237FCA" w14:textId="77777777" w:rsidR="0074717E" w:rsidRDefault="0074717E" w:rsidP="0090025D">
            <w:pPr>
              <w:pStyle w:val="TableText"/>
            </w:pPr>
            <w:r>
              <w:t>H5.1</w:t>
            </w:r>
          </w:p>
        </w:tc>
        <w:tc>
          <w:tcPr>
            <w:tcW w:w="6804" w:type="dxa"/>
          </w:tcPr>
          <w:p w14:paraId="53EA1A22" w14:textId="77777777" w:rsidR="0074717E" w:rsidRDefault="0074717E" w:rsidP="0090025D">
            <w:pPr>
              <w:pStyle w:val="TableText"/>
            </w:pPr>
            <w:r w:rsidRPr="00AA5484">
              <w:rPr>
                <w:b/>
              </w:rPr>
              <w:t>Oxidising:</w:t>
            </w:r>
            <w:r>
              <w:t xml:space="preserve"> </w:t>
            </w:r>
            <w:r w:rsidRPr="00690721">
              <w:t>Substances or wastes which, while in themselves not necessarily combustible, may, generally by yielding oxygen cause, or contribute to, the combustion of other materials.</w:t>
            </w:r>
          </w:p>
        </w:tc>
      </w:tr>
      <w:tr w:rsidR="0074717E" w14:paraId="43E54CD4" w14:textId="77777777">
        <w:trPr>
          <w:cantSplit/>
        </w:trPr>
        <w:tc>
          <w:tcPr>
            <w:tcW w:w="993" w:type="dxa"/>
          </w:tcPr>
          <w:p w14:paraId="3C065520" w14:textId="77777777" w:rsidR="0074717E" w:rsidRDefault="0074717E" w:rsidP="0090025D">
            <w:pPr>
              <w:pStyle w:val="TableText"/>
            </w:pPr>
            <w:r>
              <w:t>5.2</w:t>
            </w:r>
          </w:p>
        </w:tc>
        <w:tc>
          <w:tcPr>
            <w:tcW w:w="708" w:type="dxa"/>
          </w:tcPr>
          <w:p w14:paraId="59FC723B" w14:textId="77777777" w:rsidR="0074717E" w:rsidRDefault="0074717E" w:rsidP="0090025D">
            <w:pPr>
              <w:pStyle w:val="TableText"/>
            </w:pPr>
            <w:r>
              <w:t>H5.2</w:t>
            </w:r>
          </w:p>
        </w:tc>
        <w:tc>
          <w:tcPr>
            <w:tcW w:w="6804" w:type="dxa"/>
          </w:tcPr>
          <w:p w14:paraId="44B737D2" w14:textId="77777777" w:rsidR="0074717E" w:rsidRDefault="0074717E" w:rsidP="0090025D">
            <w:pPr>
              <w:pStyle w:val="TableText"/>
            </w:pPr>
            <w:r w:rsidRPr="00AA5484">
              <w:rPr>
                <w:b/>
              </w:rPr>
              <w:t>Organic peroxides:</w:t>
            </w:r>
            <w:r>
              <w:t xml:space="preserve"> </w:t>
            </w:r>
            <w:r w:rsidRPr="00690721">
              <w:t>Organic substances or wastes which contain the bivalent-o-o-structure are thermally unstable substances which may undergo exothermic self-accelerating decomposition.</w:t>
            </w:r>
          </w:p>
        </w:tc>
      </w:tr>
      <w:tr w:rsidR="0074717E" w14:paraId="02AD302B" w14:textId="77777777">
        <w:trPr>
          <w:cantSplit/>
        </w:trPr>
        <w:tc>
          <w:tcPr>
            <w:tcW w:w="993" w:type="dxa"/>
          </w:tcPr>
          <w:p w14:paraId="4EC13D2D" w14:textId="77777777" w:rsidR="0074717E" w:rsidRDefault="0074717E" w:rsidP="0090025D">
            <w:pPr>
              <w:pStyle w:val="TableText"/>
            </w:pPr>
            <w:r>
              <w:t>6.1</w:t>
            </w:r>
          </w:p>
        </w:tc>
        <w:tc>
          <w:tcPr>
            <w:tcW w:w="708" w:type="dxa"/>
          </w:tcPr>
          <w:p w14:paraId="6654D138" w14:textId="77777777" w:rsidR="0074717E" w:rsidRDefault="0074717E" w:rsidP="0090025D">
            <w:pPr>
              <w:pStyle w:val="TableText"/>
            </w:pPr>
            <w:r>
              <w:t>H6.1</w:t>
            </w:r>
          </w:p>
        </w:tc>
        <w:tc>
          <w:tcPr>
            <w:tcW w:w="6804" w:type="dxa"/>
          </w:tcPr>
          <w:p w14:paraId="5EEB446F" w14:textId="77777777" w:rsidR="0074717E" w:rsidRDefault="0074717E" w:rsidP="0090025D">
            <w:pPr>
              <w:pStyle w:val="TableText"/>
            </w:pPr>
            <w:r w:rsidRPr="00AA5484">
              <w:rPr>
                <w:b/>
              </w:rPr>
              <w:t>Poisonous (acute):</w:t>
            </w:r>
            <w:r>
              <w:t xml:space="preserve"> </w:t>
            </w:r>
            <w:r w:rsidRPr="00690721">
              <w:t>Substances or wastes liable either to cause death or serious injury or to harm health if swallowed or inhaled or by skin contact.</w:t>
            </w:r>
          </w:p>
        </w:tc>
      </w:tr>
      <w:tr w:rsidR="0074717E" w14:paraId="0BCBFF4A" w14:textId="77777777">
        <w:trPr>
          <w:cantSplit/>
        </w:trPr>
        <w:tc>
          <w:tcPr>
            <w:tcW w:w="993" w:type="dxa"/>
          </w:tcPr>
          <w:p w14:paraId="491D8CEE" w14:textId="77777777" w:rsidR="0074717E" w:rsidRDefault="0074717E" w:rsidP="0090025D">
            <w:pPr>
              <w:pStyle w:val="TableText"/>
            </w:pPr>
            <w:r>
              <w:t>6.2</w:t>
            </w:r>
          </w:p>
        </w:tc>
        <w:tc>
          <w:tcPr>
            <w:tcW w:w="708" w:type="dxa"/>
          </w:tcPr>
          <w:p w14:paraId="0DB45FDB" w14:textId="77777777" w:rsidR="0074717E" w:rsidRDefault="0074717E" w:rsidP="0090025D">
            <w:pPr>
              <w:pStyle w:val="TableText"/>
            </w:pPr>
            <w:r>
              <w:t>H6.2</w:t>
            </w:r>
          </w:p>
        </w:tc>
        <w:tc>
          <w:tcPr>
            <w:tcW w:w="6804" w:type="dxa"/>
          </w:tcPr>
          <w:p w14:paraId="5BCE136C" w14:textId="77777777" w:rsidR="0074717E" w:rsidRDefault="0074717E" w:rsidP="0090025D">
            <w:pPr>
              <w:pStyle w:val="TableText"/>
            </w:pPr>
            <w:r w:rsidRPr="00AA5484">
              <w:rPr>
                <w:b/>
              </w:rPr>
              <w:t>Infectious substances:</w:t>
            </w:r>
            <w:r>
              <w:t xml:space="preserve"> </w:t>
            </w:r>
            <w:r w:rsidRPr="00690721">
              <w:t>Substances or wastes containing viable micro organisms or their toxins which are known or suspected to cause disease in animals or humans.</w:t>
            </w:r>
          </w:p>
        </w:tc>
      </w:tr>
      <w:tr w:rsidR="0074717E" w14:paraId="64D5BB1D" w14:textId="77777777">
        <w:trPr>
          <w:cantSplit/>
        </w:trPr>
        <w:tc>
          <w:tcPr>
            <w:tcW w:w="993" w:type="dxa"/>
          </w:tcPr>
          <w:p w14:paraId="2C0D6053" w14:textId="77777777" w:rsidR="0074717E" w:rsidRDefault="0074717E" w:rsidP="0090025D">
            <w:pPr>
              <w:pStyle w:val="TableText"/>
            </w:pPr>
            <w:r>
              <w:t>8</w:t>
            </w:r>
          </w:p>
        </w:tc>
        <w:tc>
          <w:tcPr>
            <w:tcW w:w="708" w:type="dxa"/>
          </w:tcPr>
          <w:p w14:paraId="18350A99" w14:textId="77777777" w:rsidR="0074717E" w:rsidRDefault="0074717E" w:rsidP="0090025D">
            <w:pPr>
              <w:pStyle w:val="TableText"/>
            </w:pPr>
            <w:r>
              <w:t>H8</w:t>
            </w:r>
          </w:p>
        </w:tc>
        <w:tc>
          <w:tcPr>
            <w:tcW w:w="6804" w:type="dxa"/>
          </w:tcPr>
          <w:p w14:paraId="45E45D22" w14:textId="77777777" w:rsidR="0074717E" w:rsidRDefault="0074717E" w:rsidP="0090025D">
            <w:pPr>
              <w:pStyle w:val="TableText"/>
            </w:pPr>
            <w:r w:rsidRPr="00AA5484">
              <w:rPr>
                <w:b/>
              </w:rPr>
              <w:t>Corrosives:</w:t>
            </w:r>
            <w:r>
              <w:t xml:space="preserve"> </w:t>
            </w:r>
            <w:r w:rsidRPr="00690721">
              <w:t>Substances or wastes which, by chemical action, will cause severe damage when in contact with living tissue, or, in the case of leakage, will materially damage, or even destroy, other goods or the means of transport; they may also cause other hazards.</w:t>
            </w:r>
          </w:p>
        </w:tc>
      </w:tr>
      <w:tr w:rsidR="0074717E" w14:paraId="01220169" w14:textId="77777777">
        <w:trPr>
          <w:cantSplit/>
        </w:trPr>
        <w:tc>
          <w:tcPr>
            <w:tcW w:w="993" w:type="dxa"/>
          </w:tcPr>
          <w:p w14:paraId="76783899" w14:textId="77777777" w:rsidR="0074717E" w:rsidRDefault="0074717E" w:rsidP="0090025D">
            <w:pPr>
              <w:pStyle w:val="TableText"/>
            </w:pPr>
            <w:r>
              <w:t>9</w:t>
            </w:r>
          </w:p>
        </w:tc>
        <w:tc>
          <w:tcPr>
            <w:tcW w:w="708" w:type="dxa"/>
          </w:tcPr>
          <w:p w14:paraId="7D204974" w14:textId="77777777" w:rsidR="0074717E" w:rsidRDefault="0074717E" w:rsidP="0090025D">
            <w:pPr>
              <w:pStyle w:val="TableText"/>
            </w:pPr>
            <w:r>
              <w:t>H10</w:t>
            </w:r>
          </w:p>
        </w:tc>
        <w:tc>
          <w:tcPr>
            <w:tcW w:w="6804" w:type="dxa"/>
          </w:tcPr>
          <w:p w14:paraId="5AAEDB5A" w14:textId="77777777" w:rsidR="0074717E" w:rsidRDefault="0074717E" w:rsidP="0090025D">
            <w:pPr>
              <w:pStyle w:val="TableText"/>
            </w:pPr>
            <w:r w:rsidRPr="00AA5484">
              <w:rPr>
                <w:b/>
              </w:rPr>
              <w:t>Liberation of toxic gases in contact with air or water:</w:t>
            </w:r>
            <w:r>
              <w:t xml:space="preserve"> </w:t>
            </w:r>
            <w:r w:rsidRPr="00690721">
              <w:t>Substances or wastes which, by interaction with air or water, are liable to give off toxic gases in dangerous quantities.</w:t>
            </w:r>
          </w:p>
        </w:tc>
      </w:tr>
      <w:tr w:rsidR="0074717E" w14:paraId="216D0400" w14:textId="77777777">
        <w:trPr>
          <w:cantSplit/>
        </w:trPr>
        <w:tc>
          <w:tcPr>
            <w:tcW w:w="993" w:type="dxa"/>
          </w:tcPr>
          <w:p w14:paraId="109CDA56" w14:textId="77777777" w:rsidR="0074717E" w:rsidRDefault="0074717E" w:rsidP="0090025D">
            <w:pPr>
              <w:pStyle w:val="TableText"/>
            </w:pPr>
            <w:r>
              <w:t>9</w:t>
            </w:r>
          </w:p>
        </w:tc>
        <w:tc>
          <w:tcPr>
            <w:tcW w:w="708" w:type="dxa"/>
          </w:tcPr>
          <w:p w14:paraId="6C70C9C4" w14:textId="77777777" w:rsidR="0074717E" w:rsidRDefault="0074717E" w:rsidP="0090025D">
            <w:pPr>
              <w:pStyle w:val="TableText"/>
            </w:pPr>
            <w:r>
              <w:t>H11</w:t>
            </w:r>
          </w:p>
        </w:tc>
        <w:tc>
          <w:tcPr>
            <w:tcW w:w="6804" w:type="dxa"/>
          </w:tcPr>
          <w:p w14:paraId="3DF95635" w14:textId="77777777" w:rsidR="0074717E" w:rsidRDefault="0074717E" w:rsidP="0090025D">
            <w:pPr>
              <w:pStyle w:val="TableText"/>
            </w:pPr>
            <w:r w:rsidRPr="00AA5484">
              <w:rPr>
                <w:b/>
              </w:rPr>
              <w:t>Toxic (delayed or chronic):</w:t>
            </w:r>
            <w:r>
              <w:t xml:space="preserve"> </w:t>
            </w:r>
            <w:r w:rsidRPr="00690721">
              <w:t>Substances or wastes which, if they are inhaled or ingested or if they penetrate the skin, may involve delayed or chronic effects, including carcinogenicity.</w:t>
            </w:r>
          </w:p>
        </w:tc>
      </w:tr>
      <w:tr w:rsidR="0074717E" w14:paraId="754B0E11" w14:textId="77777777">
        <w:trPr>
          <w:cantSplit/>
        </w:trPr>
        <w:tc>
          <w:tcPr>
            <w:tcW w:w="993" w:type="dxa"/>
          </w:tcPr>
          <w:p w14:paraId="6E3F382F" w14:textId="77777777" w:rsidR="0074717E" w:rsidRDefault="0074717E" w:rsidP="0090025D">
            <w:pPr>
              <w:pStyle w:val="TableText"/>
            </w:pPr>
            <w:r>
              <w:t>9</w:t>
            </w:r>
          </w:p>
        </w:tc>
        <w:tc>
          <w:tcPr>
            <w:tcW w:w="708" w:type="dxa"/>
          </w:tcPr>
          <w:p w14:paraId="0A5B4828" w14:textId="77777777" w:rsidR="0074717E" w:rsidRDefault="0074717E" w:rsidP="0090025D">
            <w:pPr>
              <w:pStyle w:val="TableText"/>
            </w:pPr>
            <w:r>
              <w:t>H12</w:t>
            </w:r>
          </w:p>
        </w:tc>
        <w:tc>
          <w:tcPr>
            <w:tcW w:w="6804" w:type="dxa"/>
          </w:tcPr>
          <w:p w14:paraId="6AEBDB5A" w14:textId="77777777" w:rsidR="0074717E" w:rsidRDefault="0074717E" w:rsidP="0090025D">
            <w:pPr>
              <w:pStyle w:val="TableText"/>
            </w:pPr>
            <w:r w:rsidRPr="00AA5484">
              <w:rPr>
                <w:b/>
              </w:rPr>
              <w:t>Ecotoxic:</w:t>
            </w:r>
            <w:r>
              <w:t xml:space="preserve"> Su</w:t>
            </w:r>
            <w:r w:rsidRPr="00690721">
              <w:t>bstances or wastes which if released present or may present immediate or delayed adverse impacts to the environment by means of bioaccumulation and/or toxic effects upon biotic systems.</w:t>
            </w:r>
          </w:p>
        </w:tc>
      </w:tr>
      <w:tr w:rsidR="0074717E" w14:paraId="42A15F10" w14:textId="77777777">
        <w:trPr>
          <w:cantSplit/>
        </w:trPr>
        <w:tc>
          <w:tcPr>
            <w:tcW w:w="993" w:type="dxa"/>
          </w:tcPr>
          <w:p w14:paraId="5B67A47A" w14:textId="77777777" w:rsidR="0074717E" w:rsidRDefault="0074717E" w:rsidP="0090025D">
            <w:pPr>
              <w:pStyle w:val="TableText"/>
            </w:pPr>
            <w:r>
              <w:t>9</w:t>
            </w:r>
          </w:p>
        </w:tc>
        <w:tc>
          <w:tcPr>
            <w:tcW w:w="708" w:type="dxa"/>
          </w:tcPr>
          <w:p w14:paraId="321DB15D" w14:textId="77777777" w:rsidR="0074717E" w:rsidRDefault="0074717E" w:rsidP="0090025D">
            <w:pPr>
              <w:pStyle w:val="TableText"/>
            </w:pPr>
            <w:r>
              <w:t>H13</w:t>
            </w:r>
          </w:p>
        </w:tc>
        <w:tc>
          <w:tcPr>
            <w:tcW w:w="6804" w:type="dxa"/>
          </w:tcPr>
          <w:p w14:paraId="382A1CD8" w14:textId="77777777" w:rsidR="0074717E" w:rsidRDefault="0074717E" w:rsidP="0090025D">
            <w:pPr>
              <w:pStyle w:val="TableText"/>
            </w:pPr>
            <w:r w:rsidRPr="00690721">
              <w:t xml:space="preserve">Capable, by any means, after disposal, of yielding another material, </w:t>
            </w:r>
            <w:r>
              <w:t>eg</w:t>
            </w:r>
            <w:r w:rsidRPr="00690721">
              <w:t xml:space="preserve"> leachate, which possesses any of the characteristics listed above.</w:t>
            </w:r>
          </w:p>
        </w:tc>
      </w:tr>
    </w:tbl>
    <w:p w14:paraId="43C8C56D" w14:textId="77777777" w:rsidR="0074717E" w:rsidRDefault="0074717E" w:rsidP="0090025D"/>
    <w:p w14:paraId="084AAD8F" w14:textId="77777777" w:rsidR="00ED3DD0" w:rsidRDefault="00ED3DD0" w:rsidP="0090025D">
      <w:pPr>
        <w:pStyle w:val="Heading2"/>
        <w:sectPr w:rsidR="00ED3DD0" w:rsidSect="0019591E">
          <w:pgSz w:w="11907" w:h="16840" w:code="9"/>
          <w:pgMar w:top="1701" w:right="1418" w:bottom="1701" w:left="1418" w:header="567" w:footer="567" w:gutter="567"/>
          <w:cols w:space="720"/>
        </w:sectPr>
      </w:pPr>
      <w:bookmarkStart w:id="357" w:name="_Toc84646415"/>
      <w:bookmarkStart w:id="358" w:name="_Toc87954664"/>
    </w:p>
    <w:p w14:paraId="33F0FAF3" w14:textId="77777777" w:rsidR="00ED3DD0" w:rsidRDefault="003147B0" w:rsidP="009A3354">
      <w:pPr>
        <w:pStyle w:val="Heading2"/>
        <w:spacing w:before="0"/>
      </w:pPr>
      <w:bookmarkStart w:id="359" w:name="_Toc300856644"/>
      <w:r>
        <w:t>Appendix 2</w:t>
      </w:r>
      <w:r w:rsidR="00ED3DD0" w:rsidRPr="003979C3">
        <w:t xml:space="preserve">: </w:t>
      </w:r>
      <w:r w:rsidR="008649BB" w:rsidRPr="008649BB">
        <w:t>Guidance</w:t>
      </w:r>
      <w:r w:rsidR="008649BB" w:rsidRPr="003F0FC3">
        <w:t xml:space="preserve"> on </w:t>
      </w:r>
      <w:r w:rsidR="008649BB" w:rsidRPr="00F930B2">
        <w:t>Gazetting</w:t>
      </w:r>
      <w:r w:rsidR="008649BB" w:rsidRPr="003F0FC3">
        <w:t xml:space="preserve"> Airsheds</w:t>
      </w:r>
      <w:bookmarkEnd w:id="359"/>
    </w:p>
    <w:p w14:paraId="3ED8185D" w14:textId="77777777" w:rsidR="00715A1F" w:rsidRDefault="00715A1F" w:rsidP="0090025D">
      <w:r>
        <w:t xml:space="preserve">The process </w:t>
      </w:r>
      <w:r w:rsidR="00A07506">
        <w:t xml:space="preserve">for gazetting airsheds </w:t>
      </w:r>
      <w:r>
        <w:t xml:space="preserve">is summarised in </w:t>
      </w:r>
      <w:r w:rsidR="00412363">
        <w:t>f</w:t>
      </w:r>
      <w:r>
        <w:t>igure A2.1.</w:t>
      </w:r>
    </w:p>
    <w:p w14:paraId="032B8AB2" w14:textId="77777777" w:rsidR="00715A1F" w:rsidRDefault="00715A1F" w:rsidP="0090025D">
      <w:pPr>
        <w:rPr>
          <w:lang w:val="en-US"/>
        </w:rPr>
      </w:pPr>
    </w:p>
    <w:p w14:paraId="38747926" w14:textId="77777777" w:rsidR="00715A1F" w:rsidRDefault="00715A1F" w:rsidP="0090025D">
      <w:pPr>
        <w:pStyle w:val="Figureheading"/>
        <w:rPr>
          <w:lang w:val="en-US"/>
        </w:rPr>
      </w:pPr>
      <w:bookmarkStart w:id="360" w:name="_Toc376785757"/>
      <w:r>
        <w:rPr>
          <w:lang w:val="en-US"/>
        </w:rPr>
        <w:t>Figure A2.1</w:t>
      </w:r>
      <w:r>
        <w:rPr>
          <w:lang w:val="en-US"/>
        </w:rPr>
        <w:tab/>
      </w:r>
      <w:r w:rsidR="00412363">
        <w:rPr>
          <w:lang w:val="en-US"/>
        </w:rPr>
        <w:tab/>
      </w:r>
      <w:r w:rsidR="00412363">
        <w:rPr>
          <w:lang w:val="en-US"/>
        </w:rPr>
        <w:tab/>
      </w:r>
      <w:r>
        <w:rPr>
          <w:lang w:val="en-US"/>
        </w:rPr>
        <w:t xml:space="preserve">Process for </w:t>
      </w:r>
      <w:r w:rsidR="00AE6CE7">
        <w:rPr>
          <w:lang w:val="en-US"/>
        </w:rPr>
        <w:t xml:space="preserve">gazetting </w:t>
      </w:r>
      <w:r>
        <w:rPr>
          <w:lang w:val="en-US"/>
        </w:rPr>
        <w:t>an airshed</w:t>
      </w:r>
      <w:bookmarkEnd w:id="360"/>
    </w:p>
    <w:p w14:paraId="67588045" w14:textId="4C6C0931" w:rsidR="00715A1F" w:rsidRDefault="0043717E" w:rsidP="0090025D">
      <w:pPr>
        <w:rPr>
          <w:lang w:val="en-US"/>
        </w:rPr>
      </w:pPr>
      <w:r w:rsidRPr="0011281F">
        <w:rPr>
          <w:noProof/>
        </w:rPr>
        <mc:AlternateContent>
          <mc:Choice Requires="wps">
            <w:drawing>
              <wp:anchor distT="0" distB="0" distL="114300" distR="114300" simplePos="0" relativeHeight="251658752" behindDoc="0" locked="0" layoutInCell="1" allowOverlap="1" wp14:anchorId="4BD2886B" wp14:editId="74466A61">
                <wp:simplePos x="0" y="0"/>
                <wp:positionH relativeFrom="column">
                  <wp:posOffset>411480</wp:posOffset>
                </wp:positionH>
                <wp:positionV relativeFrom="paragraph">
                  <wp:posOffset>205105</wp:posOffset>
                </wp:positionV>
                <wp:extent cx="4663440" cy="388620"/>
                <wp:effectExtent l="0" t="0" r="0" b="0"/>
                <wp:wrapNone/>
                <wp:docPr id="16031545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96B53" w14:textId="77777777" w:rsidR="0030091F" w:rsidRPr="0024650C" w:rsidRDefault="0030091F" w:rsidP="0090025D">
                            <w:r w:rsidRPr="0024650C">
                              <w:t>Council Request to Gazette Airshed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D2886B" id="_x0000_t202" coordsize="21600,21600" o:spt="202" path="m,l,21600r21600,l21600,xe">
                <v:stroke joinstyle="miter"/>
                <v:path gradientshapeok="t" o:connecttype="rect"/>
              </v:shapetype>
              <v:shape id="Text Box 12" o:spid="_x0000_s1047" type="#_x0000_t202" style="position:absolute;left:0;text-align:left;margin-left:32.4pt;margin-top:16.15pt;width:367.2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" filled="f" stroked="f" strokeweight=".5pt">
                <v:textbox>
                  <w:txbxContent>
                    <w:p w14:paraId="21A96B53" w14:textId="77777777" w:rsidR="0030091F" w:rsidRPr="0024650C" w:rsidRDefault="0030091F" w:rsidP="0090025D">
                      <w:r w:rsidRPr="0024650C">
                        <w:t>Council Request to Gazette Airshed</w:t>
                      </w:r>
                    </w:p>
                  </w:txbxContent>
                </v:textbox>
              </v:shape>
            </w:pict>
          </mc:Fallback>
        </mc:AlternateContent>
      </w:r>
      <w:r w:rsidRPr="0011281F">
        <w:rPr>
          <w:noProof/>
        </w:rPr>
        <mc:AlternateContent>
          <mc:Choice Requires="wps">
            <w:drawing>
              <wp:anchor distT="0" distB="0" distL="114300" distR="114300" simplePos="0" relativeHeight="251657728" behindDoc="0" locked="0" layoutInCell="1" allowOverlap="1" wp14:anchorId="66C85CC4" wp14:editId="2A03698E">
                <wp:simplePos x="0" y="0"/>
                <wp:positionH relativeFrom="column">
                  <wp:posOffset>464820</wp:posOffset>
                </wp:positionH>
                <wp:positionV relativeFrom="paragraph">
                  <wp:posOffset>3458845</wp:posOffset>
                </wp:positionV>
                <wp:extent cx="4663440" cy="3886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949C3" w14:textId="77777777" w:rsidR="0030091F" w:rsidRPr="0024650C" w:rsidRDefault="0030091F" w:rsidP="0090025D">
                            <w:r w:rsidRPr="0024650C">
                              <w:t>Minister Approves Gazetted Airshed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C85CC4" id="Text Box 3" o:spid="_x0000_s1048" type="#_x0000_t202" style="position:absolute;left:0;text-align:left;margin-left:36.6pt;margin-top:272.35pt;width:367.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" filled="f" stroked="f" strokeweight=".5pt">
                <v:textbox>
                  <w:txbxContent>
                    <w:p w14:paraId="087949C3" w14:textId="77777777" w:rsidR="0030091F" w:rsidRPr="0024650C" w:rsidRDefault="0030091F" w:rsidP="0090025D">
                      <w:r w:rsidRPr="0024650C">
                        <w:t>Minister Approves Gazetted Airshed</w:t>
                      </w:r>
                    </w:p>
                  </w:txbxContent>
                </v:textbox>
              </v:shape>
            </w:pict>
          </mc:Fallback>
        </mc:AlternateContent>
      </w:r>
      <w:r w:rsidRPr="008D79FF">
        <w:rPr>
          <w:noProof/>
          <w:lang w:val="en-US"/>
        </w:rPr>
        <w:drawing>
          <wp:inline distT="0" distB="0" distL="0" distR="0" wp14:anchorId="1276BC67" wp14:editId="66F9C163">
            <wp:extent cx="5493385" cy="3200400"/>
            <wp:effectExtent l="19050" t="0" r="0" b="0"/>
            <wp:docPr id="1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r w:rsidRPr="008D79FF">
        <w:rPr>
          <w:noProof/>
          <w:lang w:val="en-US"/>
        </w:rPr>
        <w:drawing>
          <wp:inline distT="0" distB="0" distL="0" distR="0" wp14:anchorId="7026659A" wp14:editId="14177CAF">
            <wp:extent cx="5494655" cy="2886075"/>
            <wp:effectExtent l="19050" t="0" r="0" b="0"/>
            <wp:docPr id="13"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493DC343" w14:textId="77777777" w:rsidR="008649BB" w:rsidRPr="008649BB" w:rsidRDefault="008649BB" w:rsidP="0090025D">
      <w:pPr>
        <w:pStyle w:val="Heading3"/>
      </w:pPr>
      <w:r>
        <w:t>A2</w:t>
      </w:r>
      <w:r w:rsidRPr="008649BB">
        <w:t>.1</w:t>
      </w:r>
      <w:r w:rsidRPr="008649BB">
        <w:tab/>
        <w:t>Define airshed</w:t>
      </w:r>
    </w:p>
    <w:p w14:paraId="6178C644" w14:textId="77777777" w:rsidR="008649BB" w:rsidRDefault="008649BB" w:rsidP="0090025D">
      <w:r w:rsidRPr="008649BB">
        <w:t>Councils will need to prepare ‘Graphic Description’ plans to define airsheds</w:t>
      </w:r>
      <w:r w:rsidR="0075731F">
        <w:t xml:space="preserve"> in a format suitable for Landonline</w:t>
      </w:r>
      <w:r w:rsidR="004009FD">
        <w:t>’s database</w:t>
      </w:r>
      <w:r w:rsidR="009E00EA">
        <w:t>.</w:t>
      </w:r>
      <w:r w:rsidR="004009FD">
        <w:t xml:space="preserve"> </w:t>
      </w:r>
      <w:r w:rsidRPr="008649BB">
        <w:t xml:space="preserve">LINZ specifies requirements for Graphic Description plans for statutory purposes in OSG Policy 2000/02 v1.4 </w:t>
      </w:r>
      <w:r w:rsidRPr="008649BB">
        <w:rPr>
          <w:i/>
        </w:rPr>
        <w:t>Use of Graphic Description Plans</w:t>
      </w:r>
      <w:r w:rsidR="00412363">
        <w:t xml:space="preserve">. </w:t>
      </w:r>
      <w:r w:rsidRPr="008649BB">
        <w:t>This policy details</w:t>
      </w:r>
      <w:r w:rsidR="00715A1F">
        <w:t xml:space="preserve"> such th</w:t>
      </w:r>
      <w:r w:rsidRPr="008649BB">
        <w:t>ings</w:t>
      </w:r>
      <w:r w:rsidR="00715A1F">
        <w:t xml:space="preserve"> as format, manner of presentation and data to be shown on the plan.</w:t>
      </w:r>
      <w:r w:rsidRPr="008649BB">
        <w:t xml:space="preserve"> </w:t>
      </w:r>
      <w:r w:rsidR="00715A1F">
        <w:t xml:space="preserve">The </w:t>
      </w:r>
      <w:r w:rsidRPr="008649BB">
        <w:t>LINZ website</w:t>
      </w:r>
      <w:r w:rsidR="00C517EC">
        <w:t>:</w:t>
      </w:r>
      <w:r w:rsidR="002963D8">
        <w:t xml:space="preserve"> www.linz.govt.nz</w:t>
      </w:r>
      <w:r w:rsidRPr="008649BB">
        <w:t xml:space="preserve"> </w:t>
      </w:r>
      <w:r w:rsidR="00715A1F">
        <w:t>provides</w:t>
      </w:r>
      <w:r w:rsidRPr="008649BB">
        <w:t xml:space="preserve"> up</w:t>
      </w:r>
      <w:r w:rsidR="00715A1F">
        <w:t xml:space="preserve"> to </w:t>
      </w:r>
      <w:r w:rsidRPr="008649BB">
        <w:t>date information.</w:t>
      </w:r>
    </w:p>
    <w:p w14:paraId="715B123D" w14:textId="77777777" w:rsidR="008649BB" w:rsidRPr="008649BB" w:rsidRDefault="008649BB" w:rsidP="0090025D"/>
    <w:p w14:paraId="4DD7B1CF" w14:textId="77777777" w:rsidR="008649BB" w:rsidRDefault="00715A1F" w:rsidP="0090025D">
      <w:r>
        <w:t xml:space="preserve">Councils may wish to use </w:t>
      </w:r>
      <w:r w:rsidRPr="008649BB">
        <w:t xml:space="preserve">licensed </w:t>
      </w:r>
      <w:r w:rsidR="008649BB" w:rsidRPr="008649BB">
        <w:t>cadastral surveyors or professional map publishers</w:t>
      </w:r>
      <w:r>
        <w:t>.</w:t>
      </w:r>
      <w:r w:rsidR="008649BB" w:rsidRPr="008649BB">
        <w:t xml:space="preserve"> While councils will decide at a fairly high level where airsheds should be positioned, </w:t>
      </w:r>
      <w:r>
        <w:t>these</w:t>
      </w:r>
      <w:r w:rsidR="008649BB" w:rsidRPr="008649BB">
        <w:t xml:space="preserve"> professional</w:t>
      </w:r>
      <w:r>
        <w:t>s</w:t>
      </w:r>
      <w:r w:rsidR="008649BB" w:rsidRPr="008649BB">
        <w:t xml:space="preserve"> should be able to suggest where the boundaries would be best positioned to take ad</w:t>
      </w:r>
      <w:r w:rsidR="007E7B74">
        <w:t>vantage of existing boundaries.</w:t>
      </w:r>
      <w:r w:rsidR="008649BB" w:rsidRPr="008649BB">
        <w:t xml:space="preserve"> </w:t>
      </w:r>
    </w:p>
    <w:p w14:paraId="66CD3195" w14:textId="77777777" w:rsidR="002963D8" w:rsidRPr="008649BB" w:rsidRDefault="002963D8" w:rsidP="0090025D"/>
    <w:p w14:paraId="68F403BB" w14:textId="77777777" w:rsidR="008649BB" w:rsidRPr="008649BB" w:rsidRDefault="00715A1F" w:rsidP="0090025D">
      <w:r>
        <w:rPr>
          <w:lang w:val="en-US"/>
        </w:rPr>
        <w:t xml:space="preserve">Councils should ensure that the method </w:t>
      </w:r>
      <w:r w:rsidR="008649BB" w:rsidRPr="008649BB">
        <w:rPr>
          <w:lang w:val="en-US"/>
        </w:rPr>
        <w:t>of definition provides the required degree of accuracy, including clear descriptions of any boundary features</w:t>
      </w:r>
      <w:r>
        <w:rPr>
          <w:lang w:val="en-US"/>
        </w:rPr>
        <w:t>, in case of dispute</w:t>
      </w:r>
      <w:r w:rsidR="008649BB" w:rsidRPr="008649BB">
        <w:rPr>
          <w:lang w:val="en-US"/>
        </w:rPr>
        <w:t>. Any plans should also note that the airsheds comprise a strata from ground level upwards</w:t>
      </w:r>
      <w:r>
        <w:rPr>
          <w:lang w:val="en-US"/>
        </w:rPr>
        <w:t xml:space="preserve"> as</w:t>
      </w:r>
      <w:r>
        <w:rPr>
          <w:rStyle w:val="FootnoteReference"/>
          <w:lang w:val="en-US"/>
        </w:rPr>
        <w:t xml:space="preserve"> </w:t>
      </w:r>
      <w:r w:rsidR="008649BB" w:rsidRPr="008649BB">
        <w:rPr>
          <w:lang w:val="en-US"/>
        </w:rPr>
        <w:t>a</w:t>
      </w:r>
      <w:r w:rsidR="008649BB" w:rsidRPr="008649BB">
        <w:t>irsheds extend upwards from ground level, with no specified upper limit.</w:t>
      </w:r>
    </w:p>
    <w:p w14:paraId="74401EA2" w14:textId="77777777" w:rsidR="0075731F" w:rsidRDefault="0075731F" w:rsidP="0090025D">
      <w:pPr>
        <w:pStyle w:val="Heading3"/>
      </w:pPr>
      <w:r>
        <w:t>A2</w:t>
      </w:r>
      <w:r w:rsidRPr="0007640C">
        <w:t>.2</w:t>
      </w:r>
      <w:r w:rsidRPr="0007640C">
        <w:tab/>
      </w:r>
      <w:r>
        <w:t>Lodge Plans with LINZ</w:t>
      </w:r>
    </w:p>
    <w:p w14:paraId="5AE416CD" w14:textId="77777777" w:rsidR="0075731F" w:rsidRDefault="0075731F" w:rsidP="0090025D">
      <w:r>
        <w:t>Once a council has defined an airshed in a way that is legally defensible (i.e. using a Graphic Description plan) the plan must be lodged</w:t>
      </w:r>
      <w:r w:rsidR="00715A1F">
        <w:t xml:space="preserve"> by email</w:t>
      </w:r>
      <w:r>
        <w:t xml:space="preserve"> with LINZ as a tiff image. At time of writing, the contact for plan lodgement was Gary Regaldo (gregaldo@linz.govt.nz).</w:t>
      </w:r>
    </w:p>
    <w:p w14:paraId="7B4B8A50" w14:textId="77777777" w:rsidR="0075731F" w:rsidRDefault="0075731F" w:rsidP="0090025D"/>
    <w:p w14:paraId="1C062915" w14:textId="77777777" w:rsidR="0075731F" w:rsidRDefault="0075731F" w:rsidP="0090025D">
      <w:pPr>
        <w:rPr>
          <w:lang w:val="en-US"/>
        </w:rPr>
      </w:pPr>
      <w:r w:rsidRPr="00331BEF">
        <w:t xml:space="preserve">Once the plans are lodged with LINZ they will </w:t>
      </w:r>
      <w:r>
        <w:t xml:space="preserve">be allocated an SO number and </w:t>
      </w:r>
      <w:r w:rsidRPr="00331BEF">
        <w:t xml:space="preserve">go through a verification process to certify that </w:t>
      </w:r>
      <w:r w:rsidRPr="00331BEF">
        <w:rPr>
          <w:lang w:val="en-US"/>
        </w:rPr>
        <w:t>the boundarie</w:t>
      </w:r>
      <w:r>
        <w:rPr>
          <w:lang w:val="en-US"/>
        </w:rPr>
        <w:t>s are capable of identification</w:t>
      </w:r>
      <w:r w:rsidRPr="00331BEF">
        <w:rPr>
          <w:lang w:val="en-US"/>
        </w:rPr>
        <w:t xml:space="preserve">. </w:t>
      </w:r>
      <w:r>
        <w:rPr>
          <w:lang w:val="en-US"/>
        </w:rPr>
        <w:t xml:space="preserve">LINZ charges a standard fee for this certification process. </w:t>
      </w:r>
      <w:r w:rsidR="00A0110D" w:rsidRPr="001E4889">
        <w:rPr>
          <w:lang w:val="en-US"/>
        </w:rPr>
        <w:t xml:space="preserve">Copies </w:t>
      </w:r>
      <w:r w:rsidRPr="001E4889">
        <w:rPr>
          <w:lang w:val="en-US"/>
        </w:rPr>
        <w:t xml:space="preserve">of the plans </w:t>
      </w:r>
      <w:r>
        <w:rPr>
          <w:lang w:val="en-US"/>
        </w:rPr>
        <w:t>are</w:t>
      </w:r>
      <w:r w:rsidRPr="001E4889">
        <w:rPr>
          <w:lang w:val="en-US"/>
        </w:rPr>
        <w:t xml:space="preserve"> available to the public</w:t>
      </w:r>
      <w:r w:rsidR="00A0110D">
        <w:rPr>
          <w:lang w:val="en-US"/>
        </w:rPr>
        <w:t xml:space="preserve"> on Landonline (www.landonline.govt.nz)</w:t>
      </w:r>
      <w:r w:rsidRPr="001E4889">
        <w:rPr>
          <w:lang w:val="en-US"/>
        </w:rPr>
        <w:t xml:space="preserve"> through anyone with online access, such as surveyors</w:t>
      </w:r>
      <w:r w:rsidR="00A0110D">
        <w:rPr>
          <w:lang w:val="en-US"/>
        </w:rPr>
        <w:t>,</w:t>
      </w:r>
      <w:r w:rsidRPr="001E4889">
        <w:rPr>
          <w:lang w:val="en-US"/>
        </w:rPr>
        <w:t xml:space="preserve"> lawyers</w:t>
      </w:r>
      <w:r w:rsidR="00A0110D">
        <w:rPr>
          <w:lang w:val="en-US"/>
        </w:rPr>
        <w:t xml:space="preserve"> and territorial authorities.</w:t>
      </w:r>
    </w:p>
    <w:p w14:paraId="3362D496" w14:textId="77777777" w:rsidR="0075731F" w:rsidRPr="006273E0" w:rsidRDefault="0075731F" w:rsidP="0090025D">
      <w:pPr>
        <w:pStyle w:val="Heading3"/>
        <w:rPr>
          <w:lang w:val="en-US"/>
        </w:rPr>
      </w:pPr>
      <w:r>
        <w:rPr>
          <w:lang w:val="en-US"/>
        </w:rPr>
        <w:t>A2</w:t>
      </w:r>
      <w:r w:rsidRPr="006273E0">
        <w:rPr>
          <w:lang w:val="en-US"/>
        </w:rPr>
        <w:t>.3</w:t>
      </w:r>
      <w:r w:rsidRPr="006273E0">
        <w:rPr>
          <w:lang w:val="en-US"/>
        </w:rPr>
        <w:tab/>
      </w:r>
      <w:r w:rsidR="00D74581">
        <w:rPr>
          <w:lang w:val="en-US"/>
        </w:rPr>
        <w:t>Council r</w:t>
      </w:r>
      <w:r w:rsidRPr="006273E0">
        <w:rPr>
          <w:lang w:val="en-US"/>
        </w:rPr>
        <w:t>equest</w:t>
      </w:r>
      <w:r w:rsidR="00D74581">
        <w:rPr>
          <w:lang w:val="en-US"/>
        </w:rPr>
        <w:t xml:space="preserve"> to</w:t>
      </w:r>
      <w:r w:rsidRPr="006273E0">
        <w:rPr>
          <w:lang w:val="en-US"/>
        </w:rPr>
        <w:t xml:space="preserve"> Minister</w:t>
      </w:r>
      <w:r>
        <w:rPr>
          <w:lang w:val="en-US"/>
        </w:rPr>
        <w:t xml:space="preserve"> to</w:t>
      </w:r>
      <w:r w:rsidRPr="006273E0">
        <w:rPr>
          <w:lang w:val="en-US"/>
        </w:rPr>
        <w:t xml:space="preserve"> Gazette airshed</w:t>
      </w:r>
    </w:p>
    <w:p w14:paraId="71823CAE" w14:textId="77777777" w:rsidR="0075731F" w:rsidRDefault="0075731F" w:rsidP="0090025D">
      <w:pPr>
        <w:rPr>
          <w:lang w:val="en-US"/>
        </w:rPr>
      </w:pPr>
      <w:r>
        <w:rPr>
          <w:lang w:val="en-US"/>
        </w:rPr>
        <w:t xml:space="preserve">Once the plan is lodged with, and </w:t>
      </w:r>
      <w:r w:rsidRPr="001E4889">
        <w:rPr>
          <w:lang w:val="en-US"/>
        </w:rPr>
        <w:t xml:space="preserve">certified by LINZ, </w:t>
      </w:r>
      <w:r w:rsidR="00A0110D">
        <w:rPr>
          <w:lang w:val="en-US"/>
        </w:rPr>
        <w:t>councils</w:t>
      </w:r>
      <w:r w:rsidRPr="001E4889">
        <w:rPr>
          <w:lang w:val="en-US"/>
        </w:rPr>
        <w:t xml:space="preserve"> </w:t>
      </w:r>
      <w:r>
        <w:rPr>
          <w:lang w:val="en-US"/>
        </w:rPr>
        <w:t>should provide</w:t>
      </w:r>
      <w:r w:rsidR="00A0110D">
        <w:rPr>
          <w:lang w:val="en-US"/>
        </w:rPr>
        <w:t xml:space="preserve"> to the Ministry for the Environment</w:t>
      </w:r>
      <w:r>
        <w:rPr>
          <w:lang w:val="en-US"/>
        </w:rPr>
        <w:t>:</w:t>
      </w:r>
    </w:p>
    <w:p w14:paraId="2C5ED646" w14:textId="77777777" w:rsidR="0075731F" w:rsidRPr="0075731F" w:rsidRDefault="00D74581" w:rsidP="00412363">
      <w:pPr>
        <w:pStyle w:val="Bullet"/>
        <w:numPr>
          <w:ilvl w:val="0"/>
          <w:numId w:val="14"/>
        </w:numPr>
        <w:ind w:left="357" w:hanging="357"/>
      </w:pPr>
      <w:r w:rsidRPr="0075731F">
        <w:t xml:space="preserve">map </w:t>
      </w:r>
      <w:r w:rsidR="0075731F" w:rsidRPr="0075731F">
        <w:t>showing airshed</w:t>
      </w:r>
    </w:p>
    <w:p w14:paraId="4D4F0708" w14:textId="77777777" w:rsidR="0075731F" w:rsidRPr="0075731F" w:rsidRDefault="00D74581" w:rsidP="00412363">
      <w:pPr>
        <w:pStyle w:val="Bullet"/>
        <w:numPr>
          <w:ilvl w:val="0"/>
          <w:numId w:val="14"/>
        </w:numPr>
        <w:ind w:left="357" w:hanging="357"/>
      </w:pPr>
      <w:r w:rsidRPr="0075731F">
        <w:t xml:space="preserve">rationale </w:t>
      </w:r>
      <w:r w:rsidR="0075731F" w:rsidRPr="0075731F">
        <w:t>for the creation / amendment of the airshed</w:t>
      </w:r>
    </w:p>
    <w:p w14:paraId="6BCDA24F" w14:textId="77777777" w:rsidR="0075731F" w:rsidRPr="0075731F" w:rsidRDefault="0075731F" w:rsidP="00412363">
      <w:pPr>
        <w:pStyle w:val="Bullet"/>
        <w:numPr>
          <w:ilvl w:val="0"/>
          <w:numId w:val="14"/>
        </w:numPr>
        <w:ind w:left="357" w:hanging="357"/>
      </w:pPr>
      <w:r w:rsidRPr="0075731F">
        <w:t>SO numbers for Graphic Description plan(s) certified by LINZ</w:t>
      </w:r>
    </w:p>
    <w:p w14:paraId="4AD899D3" w14:textId="77777777" w:rsidR="0075731F" w:rsidRPr="0075731F" w:rsidRDefault="00D74581" w:rsidP="00412363">
      <w:pPr>
        <w:pStyle w:val="Bullet"/>
        <w:numPr>
          <w:ilvl w:val="0"/>
          <w:numId w:val="14"/>
        </w:numPr>
        <w:ind w:left="357" w:hanging="357"/>
      </w:pPr>
      <w:r w:rsidRPr="0075731F">
        <w:t xml:space="preserve">electronic </w:t>
      </w:r>
      <w:r w:rsidR="0075731F" w:rsidRPr="0075731F">
        <w:t>map of airs</w:t>
      </w:r>
      <w:r>
        <w:t>hed to update Ministry website www.mfe.govt.nz</w:t>
      </w:r>
    </w:p>
    <w:p w14:paraId="7292077F" w14:textId="77777777" w:rsidR="0075731F" w:rsidRPr="0075731F" w:rsidRDefault="00D74581" w:rsidP="00412363">
      <w:pPr>
        <w:pStyle w:val="Bullet"/>
        <w:numPr>
          <w:ilvl w:val="0"/>
          <w:numId w:val="14"/>
        </w:numPr>
        <w:ind w:left="357" w:hanging="357"/>
      </w:pPr>
      <w:r w:rsidRPr="0075731F">
        <w:t xml:space="preserve">preferred </w:t>
      </w:r>
      <w:r w:rsidR="0075731F" w:rsidRPr="0075731F">
        <w:t xml:space="preserve">date for </w:t>
      </w:r>
      <w:r w:rsidR="00C97D05">
        <w:t>commencement of airshed</w:t>
      </w:r>
      <w:r>
        <w:t>.</w:t>
      </w:r>
    </w:p>
    <w:p w14:paraId="673676CA" w14:textId="77777777" w:rsidR="0075731F" w:rsidRPr="001E4889" w:rsidRDefault="00D74581" w:rsidP="0090025D">
      <w:pPr>
        <w:pStyle w:val="Heading3"/>
        <w:rPr>
          <w:lang w:val="en-US"/>
        </w:rPr>
      </w:pPr>
      <w:r>
        <w:rPr>
          <w:lang w:val="en-US"/>
        </w:rPr>
        <w:t>A2</w:t>
      </w:r>
      <w:r w:rsidR="0075731F" w:rsidRPr="001E4889">
        <w:rPr>
          <w:lang w:val="en-US"/>
        </w:rPr>
        <w:t>.</w:t>
      </w:r>
      <w:r w:rsidR="0075731F">
        <w:rPr>
          <w:lang w:val="en-US"/>
        </w:rPr>
        <w:t>4</w:t>
      </w:r>
      <w:r w:rsidR="0075731F" w:rsidRPr="001E4889">
        <w:rPr>
          <w:lang w:val="en-US"/>
        </w:rPr>
        <w:tab/>
      </w:r>
      <w:r w:rsidR="0075731F">
        <w:rPr>
          <w:lang w:val="en-US"/>
        </w:rPr>
        <w:t>M</w:t>
      </w:r>
      <w:r>
        <w:rPr>
          <w:lang w:val="en-US"/>
        </w:rPr>
        <w:t xml:space="preserve">inistry </w:t>
      </w:r>
      <w:r w:rsidR="0075731F">
        <w:rPr>
          <w:lang w:val="en-US"/>
        </w:rPr>
        <w:t>f</w:t>
      </w:r>
      <w:r>
        <w:rPr>
          <w:lang w:val="en-US"/>
        </w:rPr>
        <w:t xml:space="preserve">or the </w:t>
      </w:r>
      <w:r w:rsidR="0075731F">
        <w:rPr>
          <w:lang w:val="en-US"/>
        </w:rPr>
        <w:t>E</w:t>
      </w:r>
      <w:r>
        <w:rPr>
          <w:lang w:val="en-US"/>
        </w:rPr>
        <w:t>nvironment</w:t>
      </w:r>
      <w:r w:rsidR="0075731F">
        <w:rPr>
          <w:lang w:val="en-US"/>
        </w:rPr>
        <w:t xml:space="preserve"> advises Minister</w:t>
      </w:r>
    </w:p>
    <w:p w14:paraId="2F7813B4" w14:textId="77777777" w:rsidR="0075731F" w:rsidRDefault="0075731F" w:rsidP="0090025D">
      <w:pPr>
        <w:rPr>
          <w:lang w:val="en-US"/>
        </w:rPr>
      </w:pPr>
      <w:r>
        <w:rPr>
          <w:lang w:val="en-US"/>
        </w:rPr>
        <w:t xml:space="preserve">The Ministry prepares a brief for the Minister </w:t>
      </w:r>
      <w:r w:rsidR="00A0110D">
        <w:rPr>
          <w:lang w:val="en-US"/>
        </w:rPr>
        <w:t xml:space="preserve">which </w:t>
      </w:r>
      <w:r>
        <w:rPr>
          <w:lang w:val="en-US"/>
        </w:rPr>
        <w:t xml:space="preserve">provides an overview of </w:t>
      </w:r>
      <w:r w:rsidR="00D74581">
        <w:rPr>
          <w:lang w:val="en-US"/>
        </w:rPr>
        <w:t xml:space="preserve">the </w:t>
      </w:r>
      <w:r>
        <w:rPr>
          <w:lang w:val="en-US"/>
        </w:rPr>
        <w:t>council rationale for the airsheds gazettal, confirms the legality of the request and summarises pertinent issues such as implications for compliance.</w:t>
      </w:r>
      <w:r w:rsidR="00A0110D">
        <w:rPr>
          <w:lang w:val="en-US"/>
        </w:rPr>
        <w:t xml:space="preserve"> </w:t>
      </w:r>
      <w:r>
        <w:rPr>
          <w:lang w:val="en-US"/>
        </w:rPr>
        <w:t>The Ministry also drafts a gazette notice for the Minister to sign.</w:t>
      </w:r>
    </w:p>
    <w:p w14:paraId="2C989E95" w14:textId="77777777" w:rsidR="0075731F" w:rsidRPr="006273E0" w:rsidRDefault="00D74581" w:rsidP="0090025D">
      <w:pPr>
        <w:pStyle w:val="Heading3"/>
        <w:rPr>
          <w:lang w:val="en-US"/>
        </w:rPr>
      </w:pPr>
      <w:r>
        <w:rPr>
          <w:lang w:val="en-US"/>
        </w:rPr>
        <w:t>A2</w:t>
      </w:r>
      <w:r w:rsidR="0075731F" w:rsidRPr="006273E0">
        <w:rPr>
          <w:lang w:val="en-US"/>
        </w:rPr>
        <w:t>.5</w:t>
      </w:r>
      <w:r w:rsidR="0075731F" w:rsidRPr="006273E0">
        <w:rPr>
          <w:lang w:val="en-US"/>
        </w:rPr>
        <w:tab/>
        <w:t>Minister approves airshed</w:t>
      </w:r>
    </w:p>
    <w:p w14:paraId="76088AD3" w14:textId="77777777" w:rsidR="0075731F" w:rsidRDefault="00A0110D" w:rsidP="0090025D">
      <w:r>
        <w:rPr>
          <w:lang w:val="en-US"/>
        </w:rPr>
        <w:t>The Minister considers the contents of the briefing and, if satisfied, approves the new airshed and signs the gazette notice.</w:t>
      </w:r>
    </w:p>
    <w:p w14:paraId="40C2B28B" w14:textId="77777777" w:rsidR="00B10A71" w:rsidRPr="00B10A71" w:rsidRDefault="00B10A71" w:rsidP="0090025D">
      <w:pPr>
        <w:pStyle w:val="Heading3"/>
      </w:pPr>
      <w:r>
        <w:t>A2</w:t>
      </w:r>
      <w:r w:rsidRPr="00B10A71">
        <w:t>.6</w:t>
      </w:r>
      <w:r w:rsidRPr="00B10A71">
        <w:tab/>
        <w:t>Airsheds gazetted</w:t>
      </w:r>
    </w:p>
    <w:p w14:paraId="08485BEF" w14:textId="77777777" w:rsidR="00B10A71" w:rsidRDefault="00A0110D" w:rsidP="0090025D">
      <w:r w:rsidRPr="001E4889">
        <w:t xml:space="preserve">The airsheds </w:t>
      </w:r>
      <w:r>
        <w:t>are</w:t>
      </w:r>
      <w:r w:rsidRPr="001E4889">
        <w:t xml:space="preserve"> then published in the next issue of the </w:t>
      </w:r>
      <w:r w:rsidRPr="00D74581">
        <w:rPr>
          <w:i/>
        </w:rPr>
        <w:t>Gazette</w:t>
      </w:r>
      <w:r w:rsidRPr="00A0110D">
        <w:t>, which is published weekly on Thursdays</w:t>
      </w:r>
      <w:r w:rsidRPr="001E4889">
        <w:t>.</w:t>
      </w:r>
      <w:r>
        <w:t xml:space="preserve"> </w:t>
      </w:r>
      <w:r>
        <w:rPr>
          <w:lang w:val="en-US"/>
        </w:rPr>
        <w:t>A minimum period of 28 days must then elapse before the airshed comes into force.</w:t>
      </w:r>
    </w:p>
    <w:p w14:paraId="5AFBA6B4" w14:textId="77777777" w:rsidR="00A0110D" w:rsidRDefault="00A0110D" w:rsidP="0090025D">
      <w:pPr>
        <w:sectPr w:rsidR="00A0110D" w:rsidSect="001C7B5E">
          <w:pgSz w:w="11907" w:h="16840" w:code="9"/>
          <w:pgMar w:top="1701" w:right="1417" w:bottom="1701" w:left="1418" w:header="567" w:footer="567" w:gutter="567"/>
          <w:cols w:space="720"/>
        </w:sectPr>
      </w:pPr>
    </w:p>
    <w:p w14:paraId="03374127" w14:textId="77777777" w:rsidR="00A83175" w:rsidRDefault="00A83175" w:rsidP="007E7B74">
      <w:pPr>
        <w:pStyle w:val="Heading2"/>
        <w:spacing w:before="0"/>
      </w:pPr>
      <w:bookmarkStart w:id="361" w:name="_Toc300856645"/>
      <w:r>
        <w:t>Append</w:t>
      </w:r>
      <w:r w:rsidR="003147B0">
        <w:t>ix 3</w:t>
      </w:r>
      <w:r w:rsidR="00A91B7E">
        <w:t xml:space="preserve">: </w:t>
      </w:r>
      <w:r w:rsidR="00F55614">
        <w:t>Breach</w:t>
      </w:r>
      <w:r w:rsidR="00A91B7E">
        <w:t xml:space="preserve"> Public </w:t>
      </w:r>
      <w:r>
        <w:t>Notice</w:t>
      </w:r>
      <w:r w:rsidR="001A685A">
        <w:t xml:space="preserve"> Example</w:t>
      </w:r>
      <w:bookmarkEnd w:id="361"/>
    </w:p>
    <w:p w14:paraId="79CB2F02" w14:textId="77777777" w:rsidR="00517F8F" w:rsidRPr="00816286" w:rsidRDefault="0051015B" w:rsidP="0090025D">
      <w:r w:rsidRPr="006B04A5">
        <w:t>Regulation 16</w:t>
      </w:r>
      <w:r w:rsidR="00816286" w:rsidRPr="006B04A5">
        <w:t xml:space="preserve"> requires notice to be given once an ambient standard is breached in an airshed. </w:t>
      </w:r>
      <w:r w:rsidR="00A31452" w:rsidRPr="006B04A5">
        <w:t>This is discussed in detail in section 3.7</w:t>
      </w:r>
      <w:r w:rsidR="00A31452">
        <w:t>.</w:t>
      </w:r>
      <w:r w:rsidR="00A31452" w:rsidRPr="006B04A5">
        <w:t xml:space="preserve"> An example public notice is given in </w:t>
      </w:r>
      <w:r w:rsidR="005B6D80">
        <w:t>f</w:t>
      </w:r>
      <w:r w:rsidR="005B6D80" w:rsidRPr="006B04A5">
        <w:t xml:space="preserve">igure </w:t>
      </w:r>
      <w:r w:rsidR="00A31452" w:rsidRPr="006B04A5">
        <w:t>A3.1.</w:t>
      </w:r>
    </w:p>
    <w:p w14:paraId="02D768A0" w14:textId="77777777" w:rsidR="00141FAF" w:rsidRDefault="00141FAF" w:rsidP="0090025D">
      <w:pPr>
        <w:pStyle w:val="BodyText"/>
      </w:pPr>
    </w:p>
    <w:p w14:paraId="1CD58723" w14:textId="77777777" w:rsidR="00986C32" w:rsidRDefault="00986C32" w:rsidP="0090025D">
      <w:pPr>
        <w:pStyle w:val="Figureheading"/>
      </w:pPr>
      <w:bookmarkStart w:id="362" w:name="_Toc376785758"/>
      <w:r>
        <w:t>Figure A3.1</w:t>
      </w:r>
      <w:r>
        <w:tab/>
      </w:r>
      <w:r w:rsidR="007E7B74">
        <w:tab/>
      </w:r>
      <w:r w:rsidR="007E7B74">
        <w:tab/>
      </w:r>
      <w:r>
        <w:t xml:space="preserve">Example </w:t>
      </w:r>
      <w:r w:rsidR="007E7B74">
        <w:t xml:space="preserve">public notice </w:t>
      </w:r>
      <w:r w:rsidR="00D752E1">
        <w:t>for a breach of an ambient standard</w:t>
      </w:r>
      <w:bookmarkEnd w:id="362"/>
    </w:p>
    <w:p w14:paraId="46AE085B" w14:textId="77777777" w:rsidR="005C020D" w:rsidRPr="0051015B" w:rsidRDefault="005C020D" w:rsidP="005C020D"/>
    <w:p w14:paraId="1D837635" w14:textId="77777777" w:rsidR="005C020D" w:rsidRPr="00D93B7C" w:rsidRDefault="005C020D" w:rsidP="005C020D">
      <w:pPr>
        <w:pStyle w:val="BodyText"/>
        <w:pBdr>
          <w:top w:val="single" w:sz="4" w:space="1" w:color="auto"/>
          <w:left w:val="single" w:sz="4" w:space="4" w:color="auto"/>
          <w:bottom w:val="single" w:sz="4" w:space="1" w:color="auto"/>
          <w:right w:val="single" w:sz="4" w:space="4" w:color="auto"/>
        </w:pBdr>
        <w:ind w:left="567"/>
        <w:jc w:val="center"/>
        <w:rPr>
          <w:rFonts w:ascii="Arial" w:hAnsi="Arial" w:cs="Arial"/>
          <w:b/>
          <w:sz w:val="20"/>
        </w:rPr>
      </w:pPr>
      <w:r>
        <w:rPr>
          <w:rFonts w:ascii="Arial" w:hAnsi="Arial" w:cs="Arial"/>
          <w:b/>
          <w:sz w:val="20"/>
        </w:rPr>
        <w:t>Breach of ambient PM</w:t>
      </w:r>
      <w:r w:rsidRPr="002237FF">
        <w:rPr>
          <w:rFonts w:ascii="Arial" w:hAnsi="Arial" w:cs="Arial"/>
          <w:b/>
          <w:sz w:val="20"/>
          <w:vertAlign w:val="subscript"/>
        </w:rPr>
        <w:t>10</w:t>
      </w:r>
      <w:r>
        <w:rPr>
          <w:rFonts w:ascii="Arial" w:hAnsi="Arial" w:cs="Arial"/>
          <w:b/>
          <w:sz w:val="20"/>
        </w:rPr>
        <w:t xml:space="preserve"> standard</w:t>
      </w:r>
      <w:r w:rsidRPr="00D93B7C">
        <w:rPr>
          <w:rFonts w:ascii="Arial" w:hAnsi="Arial" w:cs="Arial"/>
          <w:b/>
          <w:sz w:val="20"/>
        </w:rPr>
        <w:t xml:space="preserve"> [</w:t>
      </w:r>
      <w:r>
        <w:rPr>
          <w:rFonts w:ascii="Arial" w:hAnsi="Arial" w:cs="Arial"/>
          <w:b/>
          <w:sz w:val="20"/>
        </w:rPr>
        <w:t>Model</w:t>
      </w:r>
      <w:r w:rsidRPr="00D93B7C">
        <w:rPr>
          <w:rFonts w:ascii="Arial" w:hAnsi="Arial" w:cs="Arial"/>
          <w:b/>
          <w:sz w:val="20"/>
        </w:rPr>
        <w:t xml:space="preserve"> Airshed]]</w:t>
      </w:r>
    </w:p>
    <w:p w14:paraId="575A9F5A"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p>
    <w:p w14:paraId="4AA02034"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The [</w:t>
      </w:r>
      <w:r>
        <w:rPr>
          <w:rFonts w:ascii="Arial" w:hAnsi="Arial" w:cs="Arial"/>
          <w:i/>
          <w:sz w:val="20"/>
        </w:rPr>
        <w:t>Want to be Clean</w:t>
      </w:r>
      <w:r w:rsidRPr="00D93B7C">
        <w:rPr>
          <w:rFonts w:ascii="Arial" w:hAnsi="Arial" w:cs="Arial"/>
          <w:i/>
          <w:sz w:val="20"/>
        </w:rPr>
        <w:t xml:space="preserve"> Air Regional Council</w:t>
      </w:r>
      <w:r w:rsidRPr="00D93B7C">
        <w:rPr>
          <w:rFonts w:ascii="Arial" w:hAnsi="Arial" w:cs="Arial"/>
          <w:sz w:val="20"/>
        </w:rPr>
        <w:t xml:space="preserve">] in accordance with the Resource Management (National Environmental Standards for Air Quality) Regulations 2004 is </w:t>
      </w:r>
      <w:r>
        <w:rPr>
          <w:rFonts w:ascii="Arial" w:hAnsi="Arial" w:cs="Arial"/>
          <w:sz w:val="20"/>
        </w:rPr>
        <w:t>giving notice</w:t>
      </w:r>
      <w:r w:rsidRPr="00D93B7C">
        <w:rPr>
          <w:rFonts w:ascii="Arial" w:hAnsi="Arial" w:cs="Arial"/>
          <w:sz w:val="20"/>
        </w:rPr>
        <w:t xml:space="preserve"> pursuant </w:t>
      </w:r>
      <w:r>
        <w:rPr>
          <w:rFonts w:ascii="Arial" w:hAnsi="Arial" w:cs="Arial"/>
          <w:sz w:val="20"/>
        </w:rPr>
        <w:t xml:space="preserve">Regulation 16 </w:t>
      </w:r>
      <w:r w:rsidRPr="00D93B7C">
        <w:rPr>
          <w:rFonts w:ascii="Arial" w:hAnsi="Arial" w:cs="Arial"/>
          <w:sz w:val="20"/>
        </w:rPr>
        <w:t>that on [</w:t>
      </w:r>
      <w:r w:rsidRPr="00D93B7C">
        <w:rPr>
          <w:rFonts w:ascii="Arial" w:hAnsi="Arial" w:cs="Arial"/>
          <w:i/>
          <w:sz w:val="20"/>
        </w:rPr>
        <w:t>date</w:t>
      </w:r>
      <w:r w:rsidRPr="00D93B7C">
        <w:rPr>
          <w:rFonts w:ascii="Arial" w:hAnsi="Arial" w:cs="Arial"/>
          <w:sz w:val="20"/>
        </w:rPr>
        <w:t>] at [</w:t>
      </w:r>
      <w:r w:rsidRPr="00D93B7C">
        <w:rPr>
          <w:rFonts w:ascii="Arial" w:hAnsi="Arial" w:cs="Arial"/>
          <w:i/>
          <w:sz w:val="20"/>
        </w:rPr>
        <w:t>monitoring</w:t>
      </w:r>
      <w:r w:rsidRPr="00D93B7C">
        <w:rPr>
          <w:rFonts w:ascii="Arial" w:hAnsi="Arial" w:cs="Arial"/>
          <w:sz w:val="20"/>
        </w:rPr>
        <w:t xml:space="preserve"> </w:t>
      </w:r>
      <w:r w:rsidRPr="00D93B7C">
        <w:rPr>
          <w:rFonts w:ascii="Arial" w:hAnsi="Arial" w:cs="Arial"/>
          <w:i/>
          <w:sz w:val="20"/>
        </w:rPr>
        <w:t>station</w:t>
      </w:r>
      <w:r w:rsidRPr="00D93B7C">
        <w:rPr>
          <w:rFonts w:ascii="Arial" w:hAnsi="Arial" w:cs="Arial"/>
          <w:sz w:val="20"/>
        </w:rPr>
        <w:t xml:space="preserve"> </w:t>
      </w:r>
      <w:r w:rsidRPr="00D93B7C">
        <w:rPr>
          <w:rFonts w:ascii="Arial" w:hAnsi="Arial" w:cs="Arial"/>
          <w:i/>
          <w:sz w:val="20"/>
        </w:rPr>
        <w:t>location</w:t>
      </w:r>
      <w:r w:rsidRPr="00D93B7C">
        <w:rPr>
          <w:rFonts w:ascii="Arial" w:hAnsi="Arial" w:cs="Arial"/>
          <w:sz w:val="20"/>
        </w:rPr>
        <w:t>] in [</w:t>
      </w:r>
      <w:r>
        <w:rPr>
          <w:rFonts w:ascii="Arial" w:hAnsi="Arial" w:cs="Arial"/>
          <w:i/>
          <w:sz w:val="20"/>
        </w:rPr>
        <w:t>Model</w:t>
      </w:r>
      <w:r w:rsidRPr="00D93B7C">
        <w:rPr>
          <w:rFonts w:ascii="Arial" w:hAnsi="Arial" w:cs="Arial"/>
          <w:i/>
          <w:sz w:val="20"/>
        </w:rPr>
        <w:t xml:space="preserve"> Airshed</w:t>
      </w:r>
      <w:r w:rsidRPr="00D93B7C">
        <w:rPr>
          <w:rFonts w:ascii="Arial" w:hAnsi="Arial" w:cs="Arial"/>
          <w:sz w:val="20"/>
        </w:rPr>
        <w:t>], a measurement of [</w:t>
      </w:r>
      <w:r w:rsidRPr="00D93B7C">
        <w:rPr>
          <w:rFonts w:ascii="Arial" w:hAnsi="Arial" w:cs="Arial"/>
          <w:i/>
          <w:sz w:val="20"/>
        </w:rPr>
        <w:t xml:space="preserve">x </w:t>
      </w:r>
      <w:r w:rsidRPr="00085592">
        <w:rPr>
          <w:rFonts w:ascii="Symbol" w:hAnsi="Symbol" w:cs="Arial"/>
          <w:i/>
          <w:sz w:val="20"/>
        </w:rPr>
        <w:t></w:t>
      </w:r>
      <w:r w:rsidRPr="00D93B7C">
        <w:rPr>
          <w:rFonts w:ascii="Arial" w:hAnsi="Arial" w:cs="Arial"/>
          <w:i/>
          <w:sz w:val="20"/>
        </w:rPr>
        <w:t>g.m</w:t>
      </w:r>
      <w:r w:rsidRPr="00D93B7C">
        <w:rPr>
          <w:rFonts w:ascii="Arial" w:hAnsi="Arial" w:cs="Arial"/>
          <w:i/>
          <w:sz w:val="20"/>
          <w:vertAlign w:val="superscript"/>
        </w:rPr>
        <w:t>-3</w:t>
      </w:r>
      <w:r w:rsidRPr="00D93B7C">
        <w:rPr>
          <w:rFonts w:ascii="Arial" w:hAnsi="Arial" w:cs="Arial"/>
          <w:sz w:val="20"/>
        </w:rPr>
        <w:t>] was recorded at [</w:t>
      </w:r>
      <w:r w:rsidRPr="00D93B7C">
        <w:rPr>
          <w:rFonts w:ascii="Arial" w:hAnsi="Arial" w:cs="Arial"/>
          <w:i/>
          <w:sz w:val="20"/>
        </w:rPr>
        <w:t>time</w:t>
      </w:r>
      <w:r w:rsidRPr="00D93B7C">
        <w:rPr>
          <w:rFonts w:ascii="Arial" w:hAnsi="Arial" w:cs="Arial"/>
          <w:sz w:val="20"/>
        </w:rPr>
        <w:t xml:space="preserve">].  This </w:t>
      </w:r>
      <w:r>
        <w:rPr>
          <w:rFonts w:ascii="Arial" w:hAnsi="Arial" w:cs="Arial"/>
          <w:sz w:val="20"/>
        </w:rPr>
        <w:t xml:space="preserve">is </w:t>
      </w:r>
      <w:r w:rsidRPr="00D93B7C">
        <w:rPr>
          <w:rFonts w:ascii="Arial" w:hAnsi="Arial" w:cs="Arial"/>
          <w:sz w:val="20"/>
        </w:rPr>
        <w:t>[</w:t>
      </w:r>
      <w:r w:rsidRPr="002237FF">
        <w:rPr>
          <w:rFonts w:ascii="Arial" w:hAnsi="Arial" w:cs="Arial"/>
          <w:i/>
          <w:sz w:val="20"/>
        </w:rPr>
        <w:t>a</w:t>
      </w:r>
      <w:r>
        <w:rPr>
          <w:rFonts w:ascii="Arial" w:hAnsi="Arial" w:cs="Arial"/>
          <w:sz w:val="20"/>
        </w:rPr>
        <w:t>/</w:t>
      </w:r>
      <w:r w:rsidRPr="00D93B7C">
        <w:rPr>
          <w:rFonts w:ascii="Arial" w:hAnsi="Arial" w:cs="Arial"/>
          <w:i/>
          <w:sz w:val="20"/>
        </w:rPr>
        <w:t xml:space="preserve">the </w:t>
      </w:r>
      <w:r>
        <w:rPr>
          <w:rFonts w:ascii="Arial" w:hAnsi="Arial" w:cs="Arial"/>
          <w:i/>
          <w:sz w:val="20"/>
        </w:rPr>
        <w:t>insert number</w:t>
      </w:r>
      <w:r w:rsidRPr="00D93B7C">
        <w:rPr>
          <w:rFonts w:ascii="Arial" w:hAnsi="Arial" w:cs="Arial"/>
          <w:sz w:val="20"/>
        </w:rPr>
        <w:t>] breach of the ambient standard for PM</w:t>
      </w:r>
      <w:r w:rsidRPr="00D93B7C">
        <w:rPr>
          <w:rFonts w:ascii="Arial" w:hAnsi="Arial" w:cs="Arial"/>
          <w:sz w:val="20"/>
          <w:vertAlign w:val="subscript"/>
        </w:rPr>
        <w:t>10</w:t>
      </w:r>
      <w:r w:rsidRPr="00D93B7C">
        <w:rPr>
          <w:rFonts w:ascii="Arial" w:hAnsi="Arial" w:cs="Arial"/>
          <w:sz w:val="20"/>
        </w:rPr>
        <w:t xml:space="preserve"> of 50 </w:t>
      </w:r>
      <w:r w:rsidRPr="00085592">
        <w:rPr>
          <w:rFonts w:ascii="Symbol" w:hAnsi="Symbol" w:cs="Arial"/>
          <w:sz w:val="20"/>
        </w:rPr>
        <w:t></w:t>
      </w:r>
      <w:r w:rsidRPr="00D93B7C">
        <w:rPr>
          <w:rFonts w:ascii="Arial" w:hAnsi="Arial" w:cs="Arial"/>
          <w:sz w:val="20"/>
        </w:rPr>
        <w:t>g.m</w:t>
      </w:r>
      <w:r w:rsidRPr="00D93B7C">
        <w:rPr>
          <w:rFonts w:ascii="Arial" w:hAnsi="Arial" w:cs="Arial"/>
          <w:sz w:val="20"/>
          <w:vertAlign w:val="superscript"/>
        </w:rPr>
        <w:t>-3</w:t>
      </w:r>
      <w:r w:rsidRPr="00D93B7C">
        <w:rPr>
          <w:rFonts w:ascii="Arial" w:hAnsi="Arial" w:cs="Arial"/>
          <w:sz w:val="20"/>
        </w:rPr>
        <w:t xml:space="preserve"> </w:t>
      </w:r>
      <w:r>
        <w:rPr>
          <w:rFonts w:ascii="Arial" w:hAnsi="Arial" w:cs="Arial"/>
          <w:sz w:val="20"/>
        </w:rPr>
        <w:t>as a 24-hour average</w:t>
      </w:r>
      <w:r w:rsidRPr="00D93B7C">
        <w:rPr>
          <w:rFonts w:ascii="Arial" w:hAnsi="Arial" w:cs="Arial"/>
          <w:sz w:val="20"/>
        </w:rPr>
        <w:t>.</w:t>
      </w:r>
    </w:p>
    <w:p w14:paraId="7C0042EE"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p>
    <w:p w14:paraId="31148EB6"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 xml:space="preserve">For more information relating to this notice, </w:t>
      </w:r>
      <w:r>
        <w:rPr>
          <w:rFonts w:ascii="Arial" w:hAnsi="Arial" w:cs="Arial"/>
          <w:sz w:val="20"/>
        </w:rPr>
        <w:t xml:space="preserve">please contact [contact name] or </w:t>
      </w:r>
      <w:r w:rsidRPr="00D93B7C">
        <w:rPr>
          <w:rFonts w:ascii="Arial" w:hAnsi="Arial" w:cs="Arial"/>
          <w:sz w:val="20"/>
        </w:rPr>
        <w:t>see our website [</w:t>
      </w:r>
      <w:r w:rsidRPr="00D93B7C">
        <w:rPr>
          <w:rFonts w:ascii="Arial" w:hAnsi="Arial" w:cs="Arial"/>
          <w:i/>
          <w:sz w:val="20"/>
        </w:rPr>
        <w:t>website address</w:t>
      </w:r>
      <w:r w:rsidRPr="00D93B7C">
        <w:rPr>
          <w:rFonts w:ascii="Arial" w:hAnsi="Arial" w:cs="Arial"/>
          <w:sz w:val="20"/>
        </w:rPr>
        <w:t>].</w:t>
      </w:r>
    </w:p>
    <w:p w14:paraId="7CB3A578"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p>
    <w:p w14:paraId="12DFE621" w14:textId="77777777" w:rsidR="005C020D"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r>
        <w:rPr>
          <w:rFonts w:ascii="Arial" w:hAnsi="Arial" w:cs="Arial"/>
          <w:sz w:val="20"/>
        </w:rPr>
        <w:t>CEO Name</w:t>
      </w:r>
    </w:p>
    <w:p w14:paraId="328C4B71"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r>
        <w:rPr>
          <w:rFonts w:ascii="Arial" w:hAnsi="Arial" w:cs="Arial"/>
          <w:sz w:val="20"/>
        </w:rPr>
        <w:t xml:space="preserve">Want to be </w:t>
      </w:r>
      <w:r w:rsidRPr="00D93B7C">
        <w:rPr>
          <w:rFonts w:ascii="Arial" w:hAnsi="Arial" w:cs="Arial"/>
          <w:sz w:val="20"/>
        </w:rPr>
        <w:t>Clean Air Regional Council</w:t>
      </w:r>
    </w:p>
    <w:p w14:paraId="4B370485" w14:textId="77777777" w:rsidR="005C020D" w:rsidRPr="00D93B7C" w:rsidRDefault="005C020D" w:rsidP="005C020D">
      <w:pPr>
        <w:pBdr>
          <w:top w:val="single" w:sz="4" w:space="1" w:color="auto"/>
          <w:left w:val="single" w:sz="4" w:space="4" w:color="auto"/>
          <w:bottom w:val="single" w:sz="4" w:space="1" w:color="auto"/>
          <w:right w:val="single" w:sz="4" w:space="4" w:color="auto"/>
        </w:pBdr>
        <w:ind w:left="567"/>
        <w:rPr>
          <w:rFonts w:ascii="Arial" w:hAnsi="Arial" w:cs="Arial"/>
          <w:sz w:val="20"/>
        </w:rPr>
      </w:pPr>
      <w:r>
        <w:rPr>
          <w:rFonts w:ascii="Arial" w:hAnsi="Arial" w:cs="Arial"/>
          <w:sz w:val="20"/>
        </w:rPr>
        <w:t>HAPPY</w:t>
      </w:r>
      <w:r w:rsidRPr="00D93B7C">
        <w:rPr>
          <w:rFonts w:ascii="Arial" w:hAnsi="Arial" w:cs="Arial"/>
          <w:sz w:val="20"/>
        </w:rPr>
        <w:t xml:space="preserve"> CITY</w:t>
      </w:r>
    </w:p>
    <w:p w14:paraId="18B52D53" w14:textId="77777777" w:rsidR="005C020D" w:rsidRPr="00CB1B41" w:rsidRDefault="005C020D" w:rsidP="005C020D">
      <w:pPr>
        <w:pStyle w:val="BodyText"/>
      </w:pPr>
    </w:p>
    <w:p w14:paraId="799875CE" w14:textId="77777777" w:rsidR="00816286" w:rsidRPr="005C020D" w:rsidRDefault="00816286" w:rsidP="0090025D">
      <w:pPr>
        <w:rPr>
          <w:b/>
        </w:rPr>
      </w:pPr>
      <w:bookmarkStart w:id="363" w:name="_Toc222291840"/>
      <w:bookmarkStart w:id="364" w:name="_Toc222292186"/>
      <w:bookmarkStart w:id="365" w:name="_Toc222292274"/>
      <w:bookmarkStart w:id="366" w:name="_Toc242861997"/>
      <w:r w:rsidRPr="005C020D">
        <w:rPr>
          <w:b/>
        </w:rPr>
        <w:t>Notes:</w:t>
      </w:r>
    </w:p>
    <w:p w14:paraId="68EC69ED" w14:textId="77777777" w:rsidR="00816286" w:rsidRDefault="00816286" w:rsidP="0090025D"/>
    <w:p w14:paraId="50A8A04F" w14:textId="77777777" w:rsidR="00816286" w:rsidRPr="006B04A5" w:rsidRDefault="00816286" w:rsidP="0090025D">
      <w:r w:rsidRPr="006B04A5">
        <w:t>1.</w:t>
      </w:r>
      <w:r w:rsidRPr="006B04A5">
        <w:rPr>
          <w:b/>
        </w:rPr>
        <w:tab/>
      </w:r>
      <w:r w:rsidRPr="006B04A5">
        <w:t xml:space="preserve">This notice must be given within </w:t>
      </w:r>
      <w:r w:rsidRPr="006B04A5">
        <w:rPr>
          <w:b/>
        </w:rPr>
        <w:t>one month</w:t>
      </w:r>
      <w:r w:rsidRPr="006B04A5">
        <w:t xml:space="preserve"> of the exceedance.</w:t>
      </w:r>
    </w:p>
    <w:p w14:paraId="701AD029" w14:textId="77777777" w:rsidR="00816286" w:rsidRPr="006B04A5" w:rsidRDefault="00816286" w:rsidP="0090025D"/>
    <w:p w14:paraId="4FB0B073" w14:textId="77777777" w:rsidR="00816286" w:rsidRPr="006B04A5" w:rsidRDefault="00816286" w:rsidP="0090025D">
      <w:r w:rsidRPr="006B04A5">
        <w:t>2.</w:t>
      </w:r>
      <w:r w:rsidRPr="006B04A5">
        <w:tab/>
        <w:t xml:space="preserve">This notice must be given in accordance with the requirement for public notices in the </w:t>
      </w:r>
      <w:r w:rsidR="005C020D">
        <w:tab/>
      </w:r>
      <w:r w:rsidRPr="006B04A5">
        <w:t>RMA (discussed in detail in section 3.7).</w:t>
      </w:r>
    </w:p>
    <w:p w14:paraId="486E19D9" w14:textId="77777777" w:rsidR="00816286" w:rsidRPr="006B04A5" w:rsidRDefault="00816286" w:rsidP="0090025D"/>
    <w:p w14:paraId="42E26D27" w14:textId="77777777" w:rsidR="00816286" w:rsidRDefault="00816286" w:rsidP="0090025D">
      <w:pPr>
        <w:rPr>
          <w:b/>
        </w:rPr>
      </w:pPr>
      <w:r w:rsidRPr="006B04A5">
        <w:t>3.</w:t>
      </w:r>
      <w:r w:rsidRPr="006B04A5">
        <w:tab/>
        <w:t xml:space="preserve">The information shown is the minimum required by law. Councils may wish to add other </w:t>
      </w:r>
      <w:r w:rsidR="005C020D">
        <w:tab/>
      </w:r>
      <w:r w:rsidRPr="006B04A5">
        <w:t xml:space="preserve">information or to bring the exceedance or its implications to the attention of the public in </w:t>
      </w:r>
      <w:r w:rsidR="005C020D">
        <w:tab/>
      </w:r>
      <w:r w:rsidRPr="006B04A5">
        <w:t>additional ways.</w:t>
      </w:r>
    </w:p>
    <w:p w14:paraId="03824A69" w14:textId="77777777" w:rsidR="00816286" w:rsidRDefault="00816286" w:rsidP="0090025D"/>
    <w:p w14:paraId="386D5E6F" w14:textId="77777777" w:rsidR="001A685A" w:rsidRDefault="001A685A" w:rsidP="0090025D">
      <w:pPr>
        <w:pStyle w:val="BodyText"/>
      </w:pPr>
    </w:p>
    <w:p w14:paraId="56CC9C51" w14:textId="77777777" w:rsidR="003E4255" w:rsidRDefault="003E4255" w:rsidP="0090025D">
      <w:pPr>
        <w:pStyle w:val="BodyText"/>
        <w:sectPr w:rsidR="003E4255" w:rsidSect="001C7B5E">
          <w:pgSz w:w="11907" w:h="16840" w:code="9"/>
          <w:pgMar w:top="1701" w:right="1417" w:bottom="1701" w:left="1418" w:header="567" w:footer="567" w:gutter="567"/>
          <w:cols w:space="720"/>
        </w:sectPr>
      </w:pPr>
    </w:p>
    <w:p w14:paraId="0295C105" w14:textId="77777777" w:rsidR="0074717E" w:rsidRPr="003979C3" w:rsidRDefault="00432F87" w:rsidP="001F54F4">
      <w:pPr>
        <w:pStyle w:val="Heading2"/>
        <w:spacing w:before="0"/>
      </w:pPr>
      <w:bookmarkStart w:id="367" w:name="_Toc300856646"/>
      <w:r>
        <w:t xml:space="preserve">Appendix </w:t>
      </w:r>
      <w:r w:rsidR="00871718">
        <w:t>4</w:t>
      </w:r>
      <w:r w:rsidR="0074717E" w:rsidRPr="003979C3">
        <w:t xml:space="preserve">: </w:t>
      </w:r>
      <w:r w:rsidR="0074717E">
        <w:t>PM</w:t>
      </w:r>
      <w:r w:rsidR="0074717E" w:rsidRPr="00E14216">
        <w:rPr>
          <w:vertAlign w:val="subscript"/>
        </w:rPr>
        <w:t>10</w:t>
      </w:r>
      <w:r w:rsidR="0074717E" w:rsidRPr="003979C3">
        <w:t xml:space="preserve"> Monitoring Methods</w:t>
      </w:r>
      <w:bookmarkEnd w:id="357"/>
      <w:bookmarkEnd w:id="358"/>
      <w:bookmarkEnd w:id="363"/>
      <w:bookmarkEnd w:id="364"/>
      <w:bookmarkEnd w:id="365"/>
      <w:bookmarkEnd w:id="366"/>
      <w:bookmarkEnd w:id="367"/>
    </w:p>
    <w:p w14:paraId="461A9E61" w14:textId="77777777" w:rsidR="0074717E" w:rsidRPr="003D70EA" w:rsidRDefault="00CF02F2" w:rsidP="0090025D">
      <w:r>
        <w:t>Current as</w:t>
      </w:r>
      <w:r w:rsidR="0074717E" w:rsidRPr="003D70EA">
        <w:t xml:space="preserve"> at </w:t>
      </w:r>
      <w:r w:rsidR="003D70EA" w:rsidRPr="003D70EA">
        <w:t>1</w:t>
      </w:r>
      <w:r w:rsidR="000431F7">
        <w:t xml:space="preserve"> April</w:t>
      </w:r>
      <w:r w:rsidR="003D70EA" w:rsidRPr="003D70EA">
        <w:t xml:space="preserve"> 2011</w:t>
      </w:r>
    </w:p>
    <w:p w14:paraId="063AC69C" w14:textId="77777777" w:rsidR="0074717E" w:rsidRPr="003D70EA" w:rsidRDefault="0074717E" w:rsidP="0090025D"/>
    <w:p w14:paraId="17E21136" w14:textId="77777777" w:rsidR="0074717E" w:rsidRPr="003979C3" w:rsidRDefault="0074717E" w:rsidP="0090025D">
      <w:r w:rsidRPr="003D70EA">
        <w:t>For an updated list of acceptable methods refer to the Ministry for the Environment website.</w:t>
      </w:r>
    </w:p>
    <w:p w14:paraId="56BB037B" w14:textId="77777777" w:rsidR="0074717E" w:rsidRPr="003979C3" w:rsidRDefault="0074717E" w:rsidP="0090025D">
      <w:pPr>
        <w:pStyle w:val="Heading3"/>
      </w:pPr>
      <w:bookmarkStart w:id="368" w:name="_Toc88024866"/>
      <w:bookmarkStart w:id="369" w:name="_Toc222291841"/>
      <w:bookmarkStart w:id="370" w:name="_Toc222292187"/>
      <w:bookmarkStart w:id="371" w:name="_Toc222292275"/>
      <w:bookmarkStart w:id="372" w:name="_Toc242861998"/>
      <w:r w:rsidRPr="003979C3">
        <w:t>A</w:t>
      </w:r>
      <w:r w:rsidR="00871718">
        <w:t>4</w:t>
      </w:r>
      <w:r w:rsidR="00A83175">
        <w:t>.1</w:t>
      </w:r>
      <w:r w:rsidRPr="003979C3">
        <w:tab/>
        <w:t>Australian</w:t>
      </w:r>
      <w:r w:rsidR="003D70EA">
        <w:t xml:space="preserve"> and New Zealand </w:t>
      </w:r>
      <w:r w:rsidRPr="003979C3">
        <w:t>standard methods</w:t>
      </w:r>
      <w:bookmarkEnd w:id="368"/>
      <w:bookmarkEnd w:id="369"/>
      <w:bookmarkEnd w:id="370"/>
      <w:bookmarkEnd w:id="371"/>
      <w:bookmarkEnd w:id="372"/>
    </w:p>
    <w:p w14:paraId="5F816EBB" w14:textId="77777777" w:rsidR="0074717E" w:rsidRPr="003979C3" w:rsidRDefault="0074717E" w:rsidP="0090025D">
      <w:pPr>
        <w:pStyle w:val="Heading4"/>
      </w:pPr>
      <w:r w:rsidRPr="003979C3">
        <w:t>AS</w:t>
      </w:r>
      <w:r w:rsidR="003D70EA">
        <w:t>/NZS</w:t>
      </w:r>
      <w:r w:rsidRPr="003979C3">
        <w:t xml:space="preserve"> 3580.9.6</w:t>
      </w:r>
      <w:r w:rsidR="003D70EA">
        <w:t>:2003</w:t>
      </w:r>
      <w:r w:rsidRPr="003979C3">
        <w:t xml:space="preserve"> High volume sampler</w:t>
      </w:r>
    </w:p>
    <w:p w14:paraId="0381EF1A" w14:textId="77777777" w:rsidR="0074717E" w:rsidRPr="003979C3" w:rsidRDefault="0074717E" w:rsidP="0090025D">
      <w:r w:rsidRPr="003979C3">
        <w:t>Continuous high volume sampling in accordance with AS</w:t>
      </w:r>
      <w:r w:rsidR="003D70EA">
        <w:t>/NZS</w:t>
      </w:r>
      <w:r w:rsidRPr="003979C3">
        <w:t xml:space="preserve"> 3580.9.6</w:t>
      </w:r>
      <w:r w:rsidR="003D70EA">
        <w:t>:2003</w:t>
      </w:r>
      <w:r w:rsidRPr="003979C3">
        <w:t xml:space="preserve"> “Methods for sampling and analysis of ambient air – Determination of suspended particulate matter </w:t>
      </w:r>
      <w:r w:rsidR="003D70EA">
        <w:t xml:space="preserve">- </w:t>
      </w:r>
      <w:r w:rsidRPr="003979C3">
        <w:t>PM</w:t>
      </w:r>
      <w:r w:rsidRPr="003979C3">
        <w:rPr>
          <w:vertAlign w:val="subscript"/>
        </w:rPr>
        <w:t>10</w:t>
      </w:r>
      <w:r w:rsidRPr="003979C3">
        <w:t xml:space="preserve"> high volume sampler with size selective inlet – Gravimetric method”.</w:t>
      </w:r>
    </w:p>
    <w:p w14:paraId="2ABE72E4" w14:textId="77777777" w:rsidR="0074717E" w:rsidRPr="003979C3" w:rsidRDefault="0074717E" w:rsidP="0090025D">
      <w:pPr>
        <w:pStyle w:val="Heading4"/>
      </w:pPr>
      <w:r w:rsidRPr="003979C3">
        <w:t>AS 3580.9.8</w:t>
      </w:r>
      <w:r w:rsidR="003D70EA">
        <w:t>:2008</w:t>
      </w:r>
      <w:r w:rsidRPr="003979C3">
        <w:t xml:space="preserve"> TEOM</w:t>
      </w:r>
    </w:p>
    <w:p w14:paraId="674A6260" w14:textId="77777777" w:rsidR="0074717E" w:rsidRPr="003979C3" w:rsidRDefault="0074717E" w:rsidP="0090025D">
      <w:r w:rsidRPr="003979C3">
        <w:t xml:space="preserve">Continuous sampling in accordance with AS 3580.9.8 “Methods for sampling and analysis of ambient air – Determination of suspended particulate matter </w:t>
      </w:r>
      <w:r w:rsidR="003D70EA">
        <w:t xml:space="preserve">- </w:t>
      </w:r>
      <w:r w:rsidRPr="003979C3">
        <w:t>PM</w:t>
      </w:r>
      <w:r w:rsidRPr="003979C3">
        <w:rPr>
          <w:vertAlign w:val="subscript"/>
        </w:rPr>
        <w:t>10</w:t>
      </w:r>
      <w:r w:rsidRPr="003979C3">
        <w:t xml:space="preserve"> continuous direct mass method using a tapered element oscillating microbalance analyser</w:t>
      </w:r>
      <w:r w:rsidR="003D70EA">
        <w:t>”.</w:t>
      </w:r>
    </w:p>
    <w:p w14:paraId="2BACFD01" w14:textId="77777777" w:rsidR="0074717E" w:rsidRPr="003979C3" w:rsidRDefault="0074717E" w:rsidP="0090025D">
      <w:pPr>
        <w:pStyle w:val="Heading4"/>
      </w:pPr>
      <w:r w:rsidRPr="003979C3">
        <w:t>AS</w:t>
      </w:r>
      <w:r w:rsidR="003D70EA">
        <w:t>/NZS 3580.9.11:2008</w:t>
      </w:r>
      <w:r w:rsidRPr="003979C3">
        <w:t xml:space="preserve"> </w:t>
      </w:r>
      <w:r w:rsidR="003D70EA">
        <w:t>Beta Gauge</w:t>
      </w:r>
    </w:p>
    <w:p w14:paraId="2672DA12" w14:textId="77777777" w:rsidR="0074717E" w:rsidRPr="003979C3" w:rsidRDefault="0074717E" w:rsidP="0090025D">
      <w:r w:rsidRPr="003979C3">
        <w:t>Continuous sampling in accordance with AS</w:t>
      </w:r>
      <w:r w:rsidR="003D70EA">
        <w:t>/NZS</w:t>
      </w:r>
      <w:r w:rsidRPr="003979C3">
        <w:t xml:space="preserve"> 3580.9.</w:t>
      </w:r>
      <w:r w:rsidR="003D70EA">
        <w:t>11</w:t>
      </w:r>
      <w:r w:rsidRPr="003979C3">
        <w:t xml:space="preserve"> “Methods for sampling and analysis of ambient air – Determination of suspended particulate matter </w:t>
      </w:r>
      <w:r w:rsidR="003D70EA">
        <w:t xml:space="preserve">- </w:t>
      </w:r>
      <w:r w:rsidRPr="003979C3">
        <w:t>PM</w:t>
      </w:r>
      <w:r w:rsidRPr="003979C3">
        <w:rPr>
          <w:vertAlign w:val="subscript"/>
        </w:rPr>
        <w:t>10</w:t>
      </w:r>
      <w:r w:rsidRPr="003979C3">
        <w:t xml:space="preserve"> </w:t>
      </w:r>
      <w:r w:rsidR="003D70EA">
        <w:t>beta attenuation monitors</w:t>
      </w:r>
      <w:r w:rsidRPr="003979C3">
        <w:t>”.</w:t>
      </w:r>
    </w:p>
    <w:p w14:paraId="1F249BB0" w14:textId="77777777" w:rsidR="0074717E" w:rsidRDefault="0074717E" w:rsidP="0090025D">
      <w:pPr>
        <w:pStyle w:val="Heading3"/>
      </w:pPr>
      <w:bookmarkStart w:id="373" w:name="_Toc88024867"/>
      <w:bookmarkStart w:id="374" w:name="_Toc222291842"/>
      <w:bookmarkStart w:id="375" w:name="_Toc222292188"/>
      <w:bookmarkStart w:id="376" w:name="_Toc222292276"/>
      <w:bookmarkStart w:id="377" w:name="_Toc242861999"/>
      <w:r>
        <w:t>A</w:t>
      </w:r>
      <w:r w:rsidR="00871718">
        <w:t>4</w:t>
      </w:r>
      <w:r w:rsidR="00A83175">
        <w:t>.2</w:t>
      </w:r>
      <w:r>
        <w:tab/>
      </w:r>
      <w:r w:rsidRPr="006B56FC">
        <w:t xml:space="preserve">US </w:t>
      </w:r>
      <w:r>
        <w:t>m</w:t>
      </w:r>
      <w:r w:rsidRPr="006B56FC">
        <w:t>ethods</w:t>
      </w:r>
      <w:bookmarkEnd w:id="373"/>
      <w:bookmarkEnd w:id="374"/>
      <w:bookmarkEnd w:id="375"/>
      <w:bookmarkEnd w:id="376"/>
      <w:bookmarkEnd w:id="377"/>
    </w:p>
    <w:p w14:paraId="5A757CC9" w14:textId="77777777" w:rsidR="00972CD1" w:rsidRDefault="00972CD1" w:rsidP="0090025D">
      <w:pPr>
        <w:pStyle w:val="Heading5"/>
      </w:pPr>
      <w:r>
        <w:t>USEPA National Exposure Research Laboratory – Human Health &amp; Atmospheric Sciences Division</w:t>
      </w:r>
    </w:p>
    <w:p w14:paraId="684120A8" w14:textId="77777777" w:rsidR="00972CD1" w:rsidRDefault="00972CD1" w:rsidP="0090025D">
      <w:pPr>
        <w:pStyle w:val="Heading5"/>
        <w:rPr>
          <w:szCs w:val="22"/>
        </w:rPr>
      </w:pPr>
      <w:r>
        <w:t xml:space="preserve">List of Designated Reference and Equivalent Methods </w:t>
      </w:r>
      <w:r>
        <w:rPr>
          <w:szCs w:val="22"/>
        </w:rPr>
        <w:t>(</w:t>
      </w:r>
      <w:hyperlink r:id="rId68" w:history="1">
        <w:r w:rsidRPr="0005641E">
          <w:rPr>
            <w:rStyle w:val="Hyperlink"/>
            <w:szCs w:val="22"/>
          </w:rPr>
          <w:t>www.epa.gov/ttn/amtic/criteria.html</w:t>
        </w:r>
      </w:hyperlink>
      <w:r>
        <w:rPr>
          <w:szCs w:val="22"/>
        </w:rPr>
        <w:t>)</w:t>
      </w:r>
    </w:p>
    <w:p w14:paraId="258EAD9E" w14:textId="77777777" w:rsidR="00972CD1" w:rsidRPr="00972CD1" w:rsidRDefault="00972CD1" w:rsidP="0090025D">
      <w:r w:rsidRPr="00972CD1">
        <w:rPr>
          <w:iCs/>
        </w:rPr>
        <w:t>Issue Date</w:t>
      </w:r>
      <w:r w:rsidRPr="00972CD1">
        <w:t xml:space="preserve">: April 1, 2011 </w:t>
      </w:r>
    </w:p>
    <w:p w14:paraId="6DA73F0B" w14:textId="77777777" w:rsidR="00972CD1" w:rsidRDefault="00972CD1" w:rsidP="0090025D"/>
    <w:p w14:paraId="442A6F20" w14:textId="77777777" w:rsidR="00972CD1" w:rsidRPr="00972CD1" w:rsidRDefault="00972CD1" w:rsidP="0090025D">
      <w:pPr>
        <w:rPr>
          <w:lang w:eastAsia="en-NZ"/>
        </w:rPr>
      </w:pPr>
      <w:r w:rsidRPr="00972CD1">
        <w:rPr>
          <w:lang w:eastAsia="en-NZ"/>
        </w:rPr>
        <w:t>These methods for measuring ambient concentrations of specified air pollutants have been designated as "reference methods" or "equivalent methods" in accordance with Title 40, Part 53 of the Code of Federal Regulations (40 CFR Part 53). Subject to any limitations (e.g., operating range or temperature range) specified in the applicable designation, each method is acceptable for use in state or local air quality surveillance systems under 40 CFR Part 58 unless the applicable designation is subsequently cancel</w:t>
      </w:r>
      <w:r>
        <w:rPr>
          <w:lang w:eastAsia="en-NZ"/>
        </w:rPr>
        <w:t>l</w:t>
      </w:r>
      <w:r w:rsidRPr="00972CD1">
        <w:rPr>
          <w:lang w:eastAsia="en-NZ"/>
        </w:rPr>
        <w:t>ed. Automated methods for pollutants other than PM</w:t>
      </w:r>
      <w:r w:rsidRPr="002504E1">
        <w:rPr>
          <w:vertAlign w:val="subscript"/>
          <w:lang w:eastAsia="en-NZ"/>
        </w:rPr>
        <w:t>10</w:t>
      </w:r>
      <w:r w:rsidRPr="00972CD1">
        <w:rPr>
          <w:lang w:eastAsia="en-NZ"/>
        </w:rPr>
        <w:t xml:space="preserve"> are acceptable for use only at shelter temperatures between 20°C and 30°C and line voltages between 105 and 125 volts unless wider limits are specified in the method description. </w:t>
      </w:r>
    </w:p>
    <w:p w14:paraId="2AF5E848" w14:textId="77777777" w:rsidR="00972CD1" w:rsidRDefault="00972CD1" w:rsidP="0090025D">
      <w:pPr>
        <w:rPr>
          <w:lang w:eastAsia="en-NZ"/>
        </w:rPr>
      </w:pPr>
    </w:p>
    <w:p w14:paraId="36DCDAD6" w14:textId="77777777" w:rsidR="00972CD1" w:rsidRPr="00972CD1" w:rsidRDefault="00972CD1" w:rsidP="0090025D">
      <w:pPr>
        <w:rPr>
          <w:lang w:eastAsia="en-NZ"/>
        </w:rPr>
      </w:pPr>
      <w:r w:rsidRPr="00972CD1">
        <w:rPr>
          <w:lang w:eastAsia="en-NZ"/>
        </w:rPr>
        <w:t xml:space="preserve">Prospective users of the methods listed should note (1) that each method must be used in strict accordance with its associated operation or instruction manual and with applicable quality assurance procedures, and (2) that modification of a method by its vendor or user may cause the pertinent designation to be inapplicable to the method as modified. (See Section 2.8 of Appendix C, 40 CFR Part 58 for approval of modifications to any of these methods by users.) </w:t>
      </w:r>
    </w:p>
    <w:p w14:paraId="51C424EC" w14:textId="77777777" w:rsidR="00972CD1" w:rsidRDefault="00972CD1" w:rsidP="0090025D">
      <w:pPr>
        <w:rPr>
          <w:lang w:eastAsia="en-NZ"/>
        </w:rPr>
      </w:pPr>
    </w:p>
    <w:p w14:paraId="6CC96220" w14:textId="77777777" w:rsidR="00972CD1" w:rsidRPr="00972CD1" w:rsidRDefault="00972CD1" w:rsidP="0090025D">
      <w:pPr>
        <w:rPr>
          <w:lang w:eastAsia="en-NZ"/>
        </w:rPr>
      </w:pPr>
      <w:r w:rsidRPr="00972CD1">
        <w:rPr>
          <w:lang w:eastAsia="en-NZ"/>
        </w:rPr>
        <w:t xml:space="preserve">Further information concerning particular designations may be found in the </w:t>
      </w:r>
      <w:r w:rsidRPr="00972CD1">
        <w:rPr>
          <w:i/>
          <w:iCs/>
          <w:lang w:eastAsia="en-NZ"/>
        </w:rPr>
        <w:t xml:space="preserve">Federal Register </w:t>
      </w:r>
      <w:r w:rsidRPr="00972CD1">
        <w:rPr>
          <w:lang w:eastAsia="en-NZ"/>
        </w:rPr>
        <w:t>notice cited for each method or by writing to the National Exposure Research Laboratory, Human Exposure and Atmospheric Sciences Division (MD-D205-03), U.S. Environmental Protection Agency, Research Triangle Park, North Carolina 27711. Technical information concerning the methods should be obtained by contacting the source listed for each method. Source addresses are listed at the end of the listing of methods, except for the addresses for lead method sources, which are given with the method. New analyzers or PM</w:t>
      </w:r>
      <w:r w:rsidRPr="002504E1">
        <w:rPr>
          <w:vertAlign w:val="subscript"/>
          <w:lang w:eastAsia="en-NZ"/>
        </w:rPr>
        <w:t>10</w:t>
      </w:r>
      <w:r w:rsidRPr="00972CD1">
        <w:rPr>
          <w:lang w:eastAsia="en-NZ"/>
        </w:rPr>
        <w:t xml:space="preserve"> samplers sold as reference or equivalent methods must carry a label or sticker identifying them as designated methods. For analyzers or PM</w:t>
      </w:r>
      <w:r w:rsidRPr="002504E1">
        <w:rPr>
          <w:vertAlign w:val="subscript"/>
          <w:lang w:eastAsia="en-NZ"/>
        </w:rPr>
        <w:t>10</w:t>
      </w:r>
      <w:r w:rsidRPr="00972CD1">
        <w:rPr>
          <w:lang w:eastAsia="en-NZ"/>
        </w:rPr>
        <w:t xml:space="preserve"> or samplers sold prior to the designation of a method with the same or similar model number, the model number does not necessarily identify an analyzer or sampler as a designated method. Consult the manufacturer or seller to determine if a previously sold analyzer or sampler can be considered a designated method or if it can be upgraded to designation status. Analyzer users who experience operational or other difficulties with a designated analyzer or sampler and are unable to resolve the problem directly with the instrument manufacturer may contact EPA (preferably in writing) at the above address for assistance. </w:t>
      </w:r>
    </w:p>
    <w:p w14:paraId="04C65127" w14:textId="77777777" w:rsidR="00972CD1" w:rsidRDefault="00972CD1" w:rsidP="0090025D">
      <w:pPr>
        <w:rPr>
          <w:lang w:eastAsia="en-NZ"/>
        </w:rPr>
      </w:pPr>
    </w:p>
    <w:p w14:paraId="4723EB75" w14:textId="77777777" w:rsidR="00972CD1" w:rsidRPr="00972CD1" w:rsidRDefault="00972CD1" w:rsidP="0090025D">
      <w:r w:rsidRPr="00972CD1">
        <w:rPr>
          <w:lang w:eastAsia="en-NZ"/>
        </w:rPr>
        <w:t>This list will be revised as necessary to reflect any new designations or any cancellation of a designation currently in effect. The most current revision of the list will be available for inspection at EPA's Regional Offices, and copies may be obtained at the Internet site identified above or by writing to the National Exposure Research Laboratory at the address specified above.</w:t>
      </w:r>
    </w:p>
    <w:p w14:paraId="480CBA60" w14:textId="77777777" w:rsidR="00972CD1" w:rsidRPr="00972CD1" w:rsidRDefault="00972CD1" w:rsidP="0090025D"/>
    <w:p w14:paraId="2B56CAAB" w14:textId="77777777" w:rsidR="00972CD1" w:rsidRPr="001F54F4" w:rsidRDefault="00972CD1" w:rsidP="0090025D">
      <w:pPr>
        <w:rPr>
          <w:b/>
          <w:lang w:eastAsia="en-NZ"/>
        </w:rPr>
      </w:pPr>
      <w:r w:rsidRPr="001F54F4">
        <w:rPr>
          <w:b/>
          <w:lang w:eastAsia="en-NZ"/>
        </w:rPr>
        <w:t>Andersen Model RAAS10-100 PM</w:t>
      </w:r>
      <w:r w:rsidRPr="001F54F4">
        <w:rPr>
          <w:b/>
          <w:vertAlign w:val="subscript"/>
          <w:lang w:eastAsia="en-NZ"/>
        </w:rPr>
        <w:t>10</w:t>
      </w:r>
      <w:r w:rsidRPr="001F54F4">
        <w:rPr>
          <w:b/>
          <w:lang w:eastAsia="en-NZ"/>
        </w:rPr>
        <w:t xml:space="preserve"> Single Channel PM</w:t>
      </w:r>
      <w:r w:rsidRPr="001F54F4">
        <w:rPr>
          <w:b/>
          <w:vertAlign w:val="subscript"/>
          <w:lang w:eastAsia="en-NZ"/>
        </w:rPr>
        <w:t>10</w:t>
      </w:r>
      <w:r w:rsidRPr="001F54F4">
        <w:rPr>
          <w:b/>
          <w:lang w:eastAsia="en-NZ"/>
        </w:rPr>
        <w:t xml:space="preserve"> Sampler </w:t>
      </w:r>
    </w:p>
    <w:p w14:paraId="3BA9DB23" w14:textId="77777777" w:rsidR="00972CD1" w:rsidRPr="001F54F4" w:rsidRDefault="00972CD1" w:rsidP="0090025D">
      <w:pPr>
        <w:rPr>
          <w:i/>
        </w:rPr>
      </w:pPr>
      <w:r w:rsidRPr="001F54F4">
        <w:rPr>
          <w:i/>
        </w:rPr>
        <w:t xml:space="preserve">Manual Reference Method: RFPS-0699-130 </w:t>
      </w:r>
    </w:p>
    <w:p w14:paraId="7E489F75" w14:textId="77777777" w:rsidR="00972CD1" w:rsidRDefault="00972CD1" w:rsidP="0090025D">
      <w:pPr>
        <w:rPr>
          <w:lang w:eastAsia="en-NZ"/>
        </w:rPr>
      </w:pPr>
      <w:r w:rsidRPr="00972CD1">
        <w:rPr>
          <w:lang w:eastAsia="en-NZ"/>
        </w:rPr>
        <w:t>“Andersen Instruments, Incorporated Model RAAS10-100 Single Channel Reference Method PM</w:t>
      </w:r>
      <w:r w:rsidRPr="002504E1">
        <w:rPr>
          <w:vertAlign w:val="subscript"/>
          <w:lang w:eastAsia="en-NZ"/>
        </w:rPr>
        <w:t>10</w:t>
      </w:r>
      <w:r w:rsidRPr="00972CD1">
        <w:rPr>
          <w:lang w:eastAsia="en-NZ"/>
        </w:rPr>
        <w:t xml:space="preserve"> Sampler,” with RAAS-10 PM</w:t>
      </w:r>
      <w:r w:rsidRPr="002504E1">
        <w:rPr>
          <w:vertAlign w:val="subscript"/>
          <w:lang w:eastAsia="en-NZ"/>
        </w:rPr>
        <w:t>10</w:t>
      </w:r>
      <w:r w:rsidRPr="00972CD1">
        <w:rPr>
          <w:lang w:eastAsia="en-NZ"/>
        </w:rPr>
        <w:t xml:space="preserve"> inlet or the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at a flow rate of 16.67 liters/ minute, and in accordance with</w:t>
      </w:r>
      <w:r w:rsidR="005F2B84">
        <w:rPr>
          <w:lang w:eastAsia="en-NZ"/>
        </w:rPr>
        <w:t xml:space="preserve"> the Model RAAS105-100 Operator’</w:t>
      </w:r>
      <w:r w:rsidRPr="00972CD1">
        <w:rPr>
          <w:lang w:eastAsia="en-NZ"/>
        </w:rPr>
        <w:t xml:space="preserve">s Manual and with the requirements and sample collection filters specified in 40 CFR Part 50, Appendix J or Appendix M. </w:t>
      </w:r>
    </w:p>
    <w:p w14:paraId="431A523A" w14:textId="77777777" w:rsidR="00972CD1" w:rsidRPr="00B96A3E" w:rsidRDefault="00972CD1" w:rsidP="0090025D">
      <w:pPr>
        <w:rPr>
          <w:i/>
          <w:lang w:eastAsia="en-NZ"/>
        </w:rPr>
      </w:pPr>
      <w:r w:rsidRPr="00B96A3E">
        <w:rPr>
          <w:i/>
          <w:lang w:eastAsia="en-NZ"/>
        </w:rPr>
        <w:t xml:space="preserve">Federal Register: Vol. 64, page 33481, 06/23/99 </w:t>
      </w:r>
    </w:p>
    <w:p w14:paraId="63D14553" w14:textId="77777777" w:rsidR="00A44535" w:rsidRPr="00972CD1" w:rsidRDefault="00A44535" w:rsidP="0090025D">
      <w:pPr>
        <w:rPr>
          <w:lang w:eastAsia="en-NZ"/>
        </w:rPr>
      </w:pPr>
    </w:p>
    <w:p w14:paraId="6E5D5B37" w14:textId="77777777" w:rsidR="00972CD1" w:rsidRPr="00B96A3E" w:rsidRDefault="00972CD1" w:rsidP="0090025D">
      <w:pPr>
        <w:rPr>
          <w:b/>
          <w:lang w:eastAsia="en-NZ"/>
        </w:rPr>
      </w:pPr>
      <w:r w:rsidRPr="00B96A3E">
        <w:rPr>
          <w:b/>
          <w:lang w:eastAsia="en-NZ"/>
        </w:rPr>
        <w:t>Andersen Model RAAS10-200 PM</w:t>
      </w:r>
      <w:r w:rsidRPr="00B96A3E">
        <w:rPr>
          <w:b/>
          <w:vertAlign w:val="subscript"/>
          <w:lang w:eastAsia="en-NZ"/>
        </w:rPr>
        <w:t>10</w:t>
      </w:r>
      <w:r w:rsidRPr="00B96A3E">
        <w:rPr>
          <w:b/>
          <w:lang w:eastAsia="en-NZ"/>
        </w:rPr>
        <w:t xml:space="preserve"> Single Channel PM</w:t>
      </w:r>
      <w:r w:rsidRPr="00B96A3E">
        <w:rPr>
          <w:b/>
          <w:vertAlign w:val="subscript"/>
          <w:lang w:eastAsia="en-NZ"/>
        </w:rPr>
        <w:t>10</w:t>
      </w:r>
      <w:r w:rsidRPr="00B96A3E">
        <w:rPr>
          <w:b/>
          <w:lang w:eastAsia="en-NZ"/>
        </w:rPr>
        <w:t xml:space="preserve"> Audit Sampler </w:t>
      </w:r>
    </w:p>
    <w:p w14:paraId="0E813390" w14:textId="77777777" w:rsidR="00972CD1" w:rsidRPr="00B96A3E" w:rsidRDefault="00972CD1" w:rsidP="0090025D">
      <w:pPr>
        <w:rPr>
          <w:i/>
        </w:rPr>
      </w:pPr>
      <w:r w:rsidRPr="00B96A3E">
        <w:rPr>
          <w:i/>
        </w:rPr>
        <w:t xml:space="preserve">Manual Reference Method: RFPS-0699-131 </w:t>
      </w:r>
    </w:p>
    <w:p w14:paraId="0DA3C20E" w14:textId="77777777" w:rsidR="00972CD1" w:rsidRPr="00972CD1" w:rsidRDefault="00972CD1" w:rsidP="0090025D">
      <w:pPr>
        <w:rPr>
          <w:lang w:eastAsia="en-NZ"/>
        </w:rPr>
      </w:pPr>
      <w:r w:rsidRPr="00972CD1">
        <w:rPr>
          <w:lang w:eastAsia="en-NZ"/>
        </w:rPr>
        <w:t>“Andersen Instruments, Incorporated Model RAAS10-200 Single Channel Reference Method PM</w:t>
      </w:r>
      <w:r w:rsidRPr="002504E1">
        <w:rPr>
          <w:vertAlign w:val="subscript"/>
          <w:lang w:eastAsia="en-NZ"/>
        </w:rPr>
        <w:t>10</w:t>
      </w:r>
      <w:r w:rsidRPr="00972CD1">
        <w:rPr>
          <w:lang w:eastAsia="en-NZ"/>
        </w:rPr>
        <w:t xml:space="preserve"> Audit Sampler,” with RAAS-10 PM</w:t>
      </w:r>
      <w:r w:rsidRPr="002504E1">
        <w:rPr>
          <w:vertAlign w:val="subscript"/>
          <w:lang w:eastAsia="en-NZ"/>
        </w:rPr>
        <w:t>10</w:t>
      </w:r>
      <w:r w:rsidRPr="00972CD1">
        <w:rPr>
          <w:lang w:eastAsia="en-NZ"/>
        </w:rPr>
        <w:t xml:space="preserve"> inlet or the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at a flow rate of 16.67 liters/minute, and in accordance with</w:t>
      </w:r>
      <w:r w:rsidR="005F2B84">
        <w:rPr>
          <w:lang w:eastAsia="en-NZ"/>
        </w:rPr>
        <w:t xml:space="preserve"> the Model RAAS105-200 Operator’</w:t>
      </w:r>
      <w:r w:rsidRPr="00972CD1">
        <w:rPr>
          <w:lang w:eastAsia="en-NZ"/>
        </w:rPr>
        <w:t xml:space="preserve">s Manual and with the requirements and sample collection filters specified in 40 CFR Part 50, Appendix J or Appendix M. </w:t>
      </w:r>
    </w:p>
    <w:p w14:paraId="5E58430A" w14:textId="77777777" w:rsidR="00972CD1" w:rsidRPr="00B96A3E" w:rsidRDefault="00972CD1" w:rsidP="0090025D">
      <w:pPr>
        <w:rPr>
          <w:i/>
          <w:lang w:eastAsia="en-NZ"/>
        </w:rPr>
      </w:pPr>
      <w:r w:rsidRPr="00B96A3E">
        <w:rPr>
          <w:i/>
          <w:lang w:eastAsia="en-NZ"/>
        </w:rPr>
        <w:t xml:space="preserve">Federal Register: Vol. 64, page 33481, 06/23/99 </w:t>
      </w:r>
    </w:p>
    <w:p w14:paraId="7B10BA0F" w14:textId="77777777" w:rsidR="00A44535" w:rsidRPr="00972CD1" w:rsidRDefault="00A44535" w:rsidP="0090025D">
      <w:pPr>
        <w:rPr>
          <w:lang w:eastAsia="en-NZ"/>
        </w:rPr>
      </w:pPr>
    </w:p>
    <w:p w14:paraId="4BBED313" w14:textId="77777777" w:rsidR="00972CD1" w:rsidRPr="00B96A3E" w:rsidRDefault="00972CD1" w:rsidP="0090025D">
      <w:pPr>
        <w:rPr>
          <w:b/>
          <w:lang w:eastAsia="en-NZ"/>
        </w:rPr>
      </w:pPr>
      <w:r w:rsidRPr="00B96A3E">
        <w:rPr>
          <w:b/>
          <w:lang w:eastAsia="en-NZ"/>
        </w:rPr>
        <w:t>Andersen Model RAAS10-300 PM</w:t>
      </w:r>
      <w:r w:rsidRPr="00B96A3E">
        <w:rPr>
          <w:b/>
          <w:vertAlign w:val="subscript"/>
          <w:lang w:eastAsia="en-NZ"/>
        </w:rPr>
        <w:t>10</w:t>
      </w:r>
      <w:r w:rsidRPr="00B96A3E">
        <w:rPr>
          <w:b/>
          <w:lang w:eastAsia="en-NZ"/>
        </w:rPr>
        <w:t xml:space="preserve"> Multi Channel PM</w:t>
      </w:r>
      <w:r w:rsidRPr="00B96A3E">
        <w:rPr>
          <w:b/>
          <w:vertAlign w:val="subscript"/>
          <w:lang w:eastAsia="en-NZ"/>
        </w:rPr>
        <w:t>10</w:t>
      </w:r>
      <w:r w:rsidRPr="00B96A3E">
        <w:rPr>
          <w:b/>
          <w:lang w:eastAsia="en-NZ"/>
        </w:rPr>
        <w:t xml:space="preserve"> Sampler </w:t>
      </w:r>
    </w:p>
    <w:p w14:paraId="72B46308" w14:textId="77777777" w:rsidR="00972CD1" w:rsidRPr="00B96A3E" w:rsidRDefault="00972CD1" w:rsidP="0090025D">
      <w:pPr>
        <w:rPr>
          <w:i/>
        </w:rPr>
      </w:pPr>
      <w:r w:rsidRPr="00B96A3E">
        <w:rPr>
          <w:i/>
        </w:rPr>
        <w:t xml:space="preserve">Manual Reference Method: RFPS-0699-132 </w:t>
      </w:r>
    </w:p>
    <w:p w14:paraId="0D480FAA" w14:textId="77777777" w:rsidR="00972CD1" w:rsidRDefault="00972CD1" w:rsidP="0090025D">
      <w:pPr>
        <w:rPr>
          <w:lang w:eastAsia="en-NZ"/>
        </w:rPr>
      </w:pPr>
      <w:r w:rsidRPr="00972CD1">
        <w:rPr>
          <w:lang w:eastAsia="en-NZ"/>
        </w:rPr>
        <w:t>“Andersen Instruments, Incorporated Model RAAS10-300 Multi Channel Sequential Reference Method PM</w:t>
      </w:r>
      <w:r w:rsidRPr="002504E1">
        <w:rPr>
          <w:vertAlign w:val="subscript"/>
          <w:lang w:eastAsia="en-NZ"/>
        </w:rPr>
        <w:t>10</w:t>
      </w:r>
      <w:r w:rsidRPr="00972CD1">
        <w:rPr>
          <w:lang w:eastAsia="en-NZ"/>
        </w:rPr>
        <w:t xml:space="preserve"> Sampler,” with RAAS-10 PM</w:t>
      </w:r>
      <w:r w:rsidRPr="002504E1">
        <w:rPr>
          <w:vertAlign w:val="subscript"/>
          <w:lang w:eastAsia="en-NZ"/>
        </w:rPr>
        <w:t>10</w:t>
      </w:r>
      <w:r w:rsidRPr="00972CD1">
        <w:rPr>
          <w:lang w:eastAsia="en-NZ"/>
        </w:rPr>
        <w:t xml:space="preserve"> inlet or the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at a flow rate of 16.67 liters/minute, and in accordance with the Model RAAS105-300 Operator</w:t>
      </w:r>
      <w:r w:rsidR="00A44535">
        <w:rPr>
          <w:lang w:eastAsia="en-NZ"/>
        </w:rPr>
        <w:t>’</w:t>
      </w:r>
      <w:r w:rsidRPr="00972CD1">
        <w:rPr>
          <w:lang w:eastAsia="en-NZ"/>
        </w:rPr>
        <w:t xml:space="preserve">s Manual and with the requirements and sample collection filters specified in 40 CFR Part 50, Appendix J or Appendix M. </w:t>
      </w:r>
    </w:p>
    <w:p w14:paraId="208D93A6" w14:textId="77777777" w:rsidR="00972CD1" w:rsidRPr="00B96A3E" w:rsidRDefault="00972CD1" w:rsidP="0090025D">
      <w:pPr>
        <w:rPr>
          <w:i/>
          <w:lang w:eastAsia="en-NZ"/>
        </w:rPr>
      </w:pPr>
      <w:r w:rsidRPr="00B96A3E">
        <w:rPr>
          <w:i/>
          <w:lang w:eastAsia="en-NZ"/>
        </w:rPr>
        <w:t xml:space="preserve">Federal Register: Vol. 64, page 33481, 06/23/99 </w:t>
      </w:r>
    </w:p>
    <w:p w14:paraId="72660531" w14:textId="77777777" w:rsidR="00A44535" w:rsidRPr="00972CD1" w:rsidRDefault="00A44535" w:rsidP="0090025D">
      <w:pPr>
        <w:rPr>
          <w:lang w:eastAsia="en-NZ"/>
        </w:rPr>
      </w:pPr>
    </w:p>
    <w:p w14:paraId="4EE22A5A" w14:textId="77777777" w:rsidR="00B96A3E" w:rsidRDefault="00B96A3E">
      <w:pPr>
        <w:jc w:val="left"/>
        <w:rPr>
          <w:b/>
          <w:lang w:eastAsia="en-NZ"/>
        </w:rPr>
      </w:pPr>
      <w:r>
        <w:rPr>
          <w:b/>
          <w:lang w:eastAsia="en-NZ"/>
        </w:rPr>
        <w:br w:type="page"/>
      </w:r>
    </w:p>
    <w:p w14:paraId="557F9AC8" w14:textId="77777777" w:rsidR="00972CD1" w:rsidRPr="00B96A3E" w:rsidRDefault="00972CD1" w:rsidP="0090025D">
      <w:pPr>
        <w:rPr>
          <w:b/>
          <w:lang w:eastAsia="en-NZ"/>
        </w:rPr>
      </w:pPr>
      <w:r w:rsidRPr="00B96A3E">
        <w:rPr>
          <w:b/>
          <w:lang w:eastAsia="en-NZ"/>
        </w:rPr>
        <w:t xml:space="preserve">BGI Incorporated Model PQ100 Air Sampler </w:t>
      </w:r>
    </w:p>
    <w:p w14:paraId="1B61CD90" w14:textId="77777777" w:rsidR="00972CD1" w:rsidRPr="00B96A3E" w:rsidRDefault="00972CD1" w:rsidP="0090025D">
      <w:pPr>
        <w:rPr>
          <w:i/>
        </w:rPr>
      </w:pPr>
      <w:r w:rsidRPr="00B96A3E">
        <w:rPr>
          <w:i/>
        </w:rPr>
        <w:t xml:space="preserve">Manual Reference Method: RFPS-1298-124 </w:t>
      </w:r>
    </w:p>
    <w:p w14:paraId="1217DE2A" w14:textId="77777777" w:rsidR="00972CD1" w:rsidRPr="00972CD1" w:rsidRDefault="00972CD1" w:rsidP="0090025D">
      <w:pPr>
        <w:rPr>
          <w:lang w:eastAsia="en-NZ"/>
        </w:rPr>
      </w:pPr>
      <w:r w:rsidRPr="00972CD1">
        <w:rPr>
          <w:lang w:eastAsia="en-NZ"/>
        </w:rPr>
        <w:t>“BGI Incorporated Model PQ100 Air Sampler,” with BGI 16.7 Inlet Kit or the louvered inlet specified in 40 CFR 50 Appendix L, Figs. L-2 thru L-19, configured as a PM</w:t>
      </w:r>
      <w:r w:rsidRPr="002504E1">
        <w:rPr>
          <w:vertAlign w:val="subscript"/>
          <w:lang w:eastAsia="en-NZ"/>
        </w:rPr>
        <w:t>10</w:t>
      </w:r>
      <w:r w:rsidRPr="00972CD1">
        <w:rPr>
          <w:lang w:eastAsia="en-NZ"/>
        </w:rPr>
        <w:t xml:space="preserve"> reference method, for 24-hour continuous sample periods at a flow rate of 16.7 liters/minute, with original firmware Version 5.X and lower or new firmware version 6.0 and higher, operated in accordance with the original Model PQ100 Instruction Manual or manual revision Version 7.0, as appropriate, and with the requirements specified in 40 CFR Part 50, Appendix J or Appendix M, using either the original or the newer PQ200-type filter cassettes, and with or without the optional Solar Panel Power Supply. </w:t>
      </w:r>
    </w:p>
    <w:p w14:paraId="38B2A45C" w14:textId="77777777" w:rsidR="00972CD1" w:rsidRPr="00B96A3E" w:rsidRDefault="00972CD1" w:rsidP="0090025D">
      <w:pPr>
        <w:rPr>
          <w:i/>
          <w:lang w:eastAsia="en-NZ"/>
        </w:rPr>
      </w:pPr>
      <w:r w:rsidRPr="00B96A3E">
        <w:rPr>
          <w:i/>
          <w:lang w:eastAsia="en-NZ"/>
        </w:rPr>
        <w:t xml:space="preserve">Federal Register: Vol. 63, page 69625, 12/17/98 </w:t>
      </w:r>
    </w:p>
    <w:p w14:paraId="3858329E" w14:textId="77777777" w:rsidR="00972CD1" w:rsidRPr="00B96A3E" w:rsidRDefault="00972CD1" w:rsidP="0090025D">
      <w:pPr>
        <w:rPr>
          <w:i/>
          <w:lang w:eastAsia="en-NZ"/>
        </w:rPr>
      </w:pPr>
      <w:r w:rsidRPr="00B96A3E">
        <w:rPr>
          <w:i/>
          <w:lang w:eastAsia="en-NZ"/>
        </w:rPr>
        <w:t xml:space="preserve">Latest modification: 01/2009 </w:t>
      </w:r>
    </w:p>
    <w:p w14:paraId="2A9A9F08" w14:textId="77777777" w:rsidR="00A44535" w:rsidRPr="00972CD1" w:rsidRDefault="00A44535" w:rsidP="0090025D">
      <w:pPr>
        <w:rPr>
          <w:lang w:eastAsia="en-NZ"/>
        </w:rPr>
      </w:pPr>
    </w:p>
    <w:p w14:paraId="08D3C243" w14:textId="77777777" w:rsidR="00972CD1" w:rsidRPr="00B96A3E" w:rsidRDefault="00972CD1" w:rsidP="0090025D">
      <w:pPr>
        <w:rPr>
          <w:b/>
          <w:lang w:eastAsia="en-NZ"/>
        </w:rPr>
      </w:pPr>
      <w:r w:rsidRPr="00B96A3E">
        <w:rPr>
          <w:b/>
          <w:lang w:eastAsia="en-NZ"/>
        </w:rPr>
        <w:t xml:space="preserve">BGI Incorporated Model PQ200 Air Sampler </w:t>
      </w:r>
    </w:p>
    <w:p w14:paraId="3ED03B56" w14:textId="77777777" w:rsidR="00972CD1" w:rsidRPr="00B96A3E" w:rsidRDefault="00972CD1" w:rsidP="0090025D">
      <w:pPr>
        <w:rPr>
          <w:i/>
        </w:rPr>
      </w:pPr>
      <w:r w:rsidRPr="00B96A3E">
        <w:rPr>
          <w:i/>
        </w:rPr>
        <w:t xml:space="preserve">Manual Reference Method: RFPS-1298-125 </w:t>
      </w:r>
    </w:p>
    <w:p w14:paraId="55813885" w14:textId="77777777" w:rsidR="00972CD1" w:rsidRPr="00972CD1" w:rsidRDefault="00972CD1" w:rsidP="0090025D">
      <w:pPr>
        <w:rPr>
          <w:lang w:eastAsia="en-NZ"/>
        </w:rPr>
      </w:pPr>
      <w:r w:rsidRPr="00972CD1">
        <w:rPr>
          <w:lang w:eastAsia="en-NZ"/>
        </w:rPr>
        <w:t>“BGI Incorporated Model PQ200 Air Sampler,” with “flat plate” PM</w:t>
      </w:r>
      <w:r w:rsidRPr="002504E1">
        <w:rPr>
          <w:vertAlign w:val="subscript"/>
          <w:lang w:eastAsia="en-NZ"/>
        </w:rPr>
        <w:t>10</w:t>
      </w:r>
      <w:r w:rsidRPr="00972CD1">
        <w:rPr>
          <w:lang w:eastAsia="en-NZ"/>
        </w:rPr>
        <w:t xml:space="preserve"> inlet or the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in accordance with the Model PQ200 Instruction Manual and with the requirements specified in 40 CFR Part 50, Appendix J or Appendix M, and with or without the optional Solar Panel Power Supply. </w:t>
      </w:r>
    </w:p>
    <w:p w14:paraId="59621DD5" w14:textId="77777777" w:rsidR="00972CD1" w:rsidRPr="00B96A3E" w:rsidRDefault="00972CD1" w:rsidP="0090025D">
      <w:pPr>
        <w:rPr>
          <w:i/>
          <w:lang w:eastAsia="en-NZ"/>
        </w:rPr>
      </w:pPr>
      <w:r w:rsidRPr="00B96A3E">
        <w:rPr>
          <w:i/>
          <w:lang w:eastAsia="en-NZ"/>
        </w:rPr>
        <w:t xml:space="preserve">Federal Register: Vol. 63, page 69625, 12/17/98 </w:t>
      </w:r>
    </w:p>
    <w:p w14:paraId="241F5437" w14:textId="77777777" w:rsidR="00A44535" w:rsidRPr="00972CD1" w:rsidRDefault="00A44535" w:rsidP="0090025D">
      <w:pPr>
        <w:rPr>
          <w:lang w:eastAsia="en-NZ"/>
        </w:rPr>
      </w:pPr>
    </w:p>
    <w:p w14:paraId="60EE81AB" w14:textId="77777777" w:rsidR="00972CD1" w:rsidRPr="00B96A3E" w:rsidRDefault="00972CD1" w:rsidP="0090025D">
      <w:pPr>
        <w:rPr>
          <w:b/>
          <w:lang w:eastAsia="en-NZ"/>
        </w:rPr>
      </w:pPr>
      <w:r w:rsidRPr="00B96A3E">
        <w:rPr>
          <w:b/>
          <w:lang w:eastAsia="en-NZ"/>
        </w:rPr>
        <w:t>DKK-TOA Models FPM-222/222C, FPM223/223C, and DUB-222(S)/223(S) PM</w:t>
      </w:r>
      <w:r w:rsidRPr="00B96A3E">
        <w:rPr>
          <w:b/>
          <w:vertAlign w:val="subscript"/>
          <w:lang w:eastAsia="en-NZ"/>
        </w:rPr>
        <w:t>10</w:t>
      </w:r>
      <w:r w:rsidRPr="00B96A3E">
        <w:rPr>
          <w:b/>
          <w:lang w:eastAsia="en-NZ"/>
        </w:rPr>
        <w:t xml:space="preserve"> Monitor </w:t>
      </w:r>
    </w:p>
    <w:p w14:paraId="38F16619" w14:textId="77777777" w:rsidR="00972CD1" w:rsidRPr="00B96A3E" w:rsidRDefault="00972CD1" w:rsidP="0090025D">
      <w:pPr>
        <w:rPr>
          <w:i/>
        </w:rPr>
      </w:pPr>
      <w:r w:rsidRPr="00B96A3E">
        <w:rPr>
          <w:i/>
        </w:rPr>
        <w:t xml:space="preserve">Automated Equivalent Method: EQPM-0905-156 </w:t>
      </w:r>
    </w:p>
    <w:p w14:paraId="1FE692EB" w14:textId="77777777" w:rsidR="00972CD1" w:rsidRPr="00972CD1" w:rsidRDefault="00972CD1" w:rsidP="0090025D">
      <w:pPr>
        <w:rPr>
          <w:lang w:eastAsia="en-NZ"/>
        </w:rPr>
      </w:pPr>
      <w:r w:rsidRPr="00972CD1">
        <w:rPr>
          <w:lang w:eastAsia="en-NZ"/>
        </w:rPr>
        <w:t>“DKK-TOA Models FPM-222, FPM-222C, FPM-223, FPM-223C, DUB-222(S), and DUB-223(S) Particulate Monitor,” for monitoring PM</w:t>
      </w:r>
      <w:r w:rsidRPr="002504E1">
        <w:rPr>
          <w:vertAlign w:val="subscript"/>
          <w:lang w:eastAsia="en-NZ"/>
        </w:rPr>
        <w:t>10</w:t>
      </w:r>
      <w:r w:rsidRPr="00972CD1">
        <w:rPr>
          <w:lang w:eastAsia="en-NZ"/>
        </w:rPr>
        <w:t xml:space="preserve"> in Ambient Air (beta attenuation monitor), configured for PM</w:t>
      </w:r>
      <w:r w:rsidRPr="002504E1">
        <w:rPr>
          <w:vertAlign w:val="subscript"/>
          <w:lang w:eastAsia="en-NZ"/>
        </w:rPr>
        <w:t>10</w:t>
      </w:r>
      <w:r w:rsidRPr="00972CD1">
        <w:rPr>
          <w:lang w:eastAsia="en-NZ"/>
        </w:rPr>
        <w:t xml:space="preserve">, with Firmware Version DUB4-658355, Corrected Slope Factor (FACT SLOPE) set to 1.232, Corrected Zero Value (FACT ZERO) set to 1.8, and with or without any of the following options: Auto Check and Serial Recorder. </w:t>
      </w:r>
    </w:p>
    <w:p w14:paraId="6B9EFFEF" w14:textId="77777777" w:rsidR="00972CD1" w:rsidRPr="00B96A3E" w:rsidRDefault="00972CD1" w:rsidP="0090025D">
      <w:pPr>
        <w:rPr>
          <w:i/>
          <w:lang w:eastAsia="en-NZ"/>
        </w:rPr>
      </w:pPr>
      <w:r w:rsidRPr="00B96A3E">
        <w:rPr>
          <w:i/>
          <w:lang w:eastAsia="en-NZ"/>
        </w:rPr>
        <w:t xml:space="preserve">Federal Register: Vol. 70, page 56684, 09/28/05 </w:t>
      </w:r>
    </w:p>
    <w:p w14:paraId="4DCD675D" w14:textId="77777777" w:rsidR="00C726C4" w:rsidRDefault="00C726C4" w:rsidP="0090025D">
      <w:pPr>
        <w:rPr>
          <w:lang w:eastAsia="en-NZ"/>
        </w:rPr>
      </w:pPr>
    </w:p>
    <w:p w14:paraId="5C033838" w14:textId="77777777" w:rsidR="00972CD1" w:rsidRPr="00C726C4" w:rsidRDefault="00972CD1" w:rsidP="0090025D">
      <w:pPr>
        <w:rPr>
          <w:lang w:eastAsia="en-NZ"/>
        </w:rPr>
      </w:pPr>
      <w:r w:rsidRPr="00C726C4">
        <w:rPr>
          <w:lang w:eastAsia="en-NZ"/>
        </w:rPr>
        <w:t>Ecotech Model 3000 PM</w:t>
      </w:r>
      <w:r w:rsidRPr="002504E1">
        <w:rPr>
          <w:vertAlign w:val="subscript"/>
          <w:lang w:eastAsia="en-NZ"/>
        </w:rPr>
        <w:t>10</w:t>
      </w:r>
      <w:r w:rsidRPr="00C726C4">
        <w:rPr>
          <w:lang w:eastAsia="en-NZ"/>
        </w:rPr>
        <w:t xml:space="preserve"> High Volume Air Sampler </w:t>
      </w:r>
    </w:p>
    <w:p w14:paraId="0290A998" w14:textId="77777777" w:rsidR="00972CD1" w:rsidRPr="00C726C4" w:rsidRDefault="00972CD1" w:rsidP="0090025D">
      <w:r w:rsidRPr="00C726C4">
        <w:t xml:space="preserve">Manual Reference Method: RFPS-0706-162 </w:t>
      </w:r>
    </w:p>
    <w:p w14:paraId="02C6D941" w14:textId="77777777" w:rsidR="00972CD1" w:rsidRPr="00972CD1" w:rsidRDefault="00972CD1" w:rsidP="0090025D">
      <w:pPr>
        <w:rPr>
          <w:lang w:eastAsia="en-NZ"/>
        </w:rPr>
      </w:pPr>
      <w:r w:rsidRPr="00972CD1">
        <w:rPr>
          <w:lang w:eastAsia="en-NZ"/>
        </w:rPr>
        <w:t>“Ecotech Pty. Ltd. Model 3000 PM</w:t>
      </w:r>
      <w:r w:rsidRPr="002504E1">
        <w:rPr>
          <w:vertAlign w:val="subscript"/>
          <w:lang w:eastAsia="en-NZ"/>
        </w:rPr>
        <w:t>10</w:t>
      </w:r>
      <w:r w:rsidRPr="00972CD1">
        <w:rPr>
          <w:lang w:eastAsia="en-NZ"/>
        </w:rPr>
        <w:t xml:space="preserve"> High Volume Air Sampler,” configured with the Ecotech PM</w:t>
      </w:r>
      <w:r w:rsidRPr="002504E1">
        <w:rPr>
          <w:vertAlign w:val="subscript"/>
          <w:lang w:eastAsia="en-NZ"/>
        </w:rPr>
        <w:t>10</w:t>
      </w:r>
      <w:r w:rsidRPr="00972CD1">
        <w:rPr>
          <w:lang w:eastAsia="en-NZ"/>
        </w:rPr>
        <w:t xml:space="preserve"> Size-Selective Inlet (SSI)(P-ECO-HVS3000-02), with the flow rate set to 1.13 m</w:t>
      </w:r>
      <w:r w:rsidRPr="005F2B84">
        <w:rPr>
          <w:vertAlign w:val="superscript"/>
          <w:lang w:eastAsia="en-NZ"/>
        </w:rPr>
        <w:t>3</w:t>
      </w:r>
      <w:r w:rsidRPr="00972CD1">
        <w:rPr>
          <w:lang w:eastAsia="en-NZ"/>
        </w:rPr>
        <w:t>/min (67.8 m</w:t>
      </w:r>
      <w:r w:rsidRPr="005F2B84">
        <w:rPr>
          <w:vertAlign w:val="superscript"/>
          <w:lang w:eastAsia="en-NZ"/>
        </w:rPr>
        <w:t>3</w:t>
      </w:r>
      <w:r w:rsidRPr="00972CD1">
        <w:rPr>
          <w:lang w:eastAsia="en-NZ"/>
        </w:rPr>
        <w:t xml:space="preserve">/hour). </w:t>
      </w:r>
    </w:p>
    <w:p w14:paraId="21894C76" w14:textId="77777777" w:rsidR="00972CD1" w:rsidRPr="00A44535" w:rsidRDefault="00972CD1" w:rsidP="0090025D">
      <w:pPr>
        <w:rPr>
          <w:lang w:eastAsia="en-NZ"/>
        </w:rPr>
      </w:pPr>
      <w:r w:rsidRPr="00A44535">
        <w:rPr>
          <w:lang w:eastAsia="en-NZ"/>
        </w:rPr>
        <w:t xml:space="preserve">Federal Register: Vol. 71, page 42089, 07/25/06 </w:t>
      </w:r>
    </w:p>
    <w:p w14:paraId="2B471E09" w14:textId="77777777" w:rsidR="00A44535" w:rsidRPr="00972CD1" w:rsidRDefault="00A44535" w:rsidP="0090025D">
      <w:pPr>
        <w:rPr>
          <w:lang w:eastAsia="en-NZ"/>
        </w:rPr>
      </w:pPr>
    </w:p>
    <w:p w14:paraId="625802EE" w14:textId="77777777" w:rsidR="00972CD1" w:rsidRPr="00B96A3E" w:rsidRDefault="00972CD1" w:rsidP="0090025D">
      <w:pPr>
        <w:rPr>
          <w:b/>
          <w:lang w:eastAsia="en-NZ"/>
        </w:rPr>
      </w:pPr>
      <w:r w:rsidRPr="00B96A3E">
        <w:rPr>
          <w:b/>
          <w:lang w:eastAsia="en-NZ"/>
        </w:rPr>
        <w:t>Environnement S.A. Model MP101M PM</w:t>
      </w:r>
      <w:r w:rsidRPr="00B96A3E">
        <w:rPr>
          <w:b/>
          <w:vertAlign w:val="subscript"/>
          <w:lang w:eastAsia="en-NZ"/>
        </w:rPr>
        <w:t>10</w:t>
      </w:r>
      <w:r w:rsidRPr="00B96A3E">
        <w:rPr>
          <w:b/>
          <w:lang w:eastAsia="en-NZ"/>
        </w:rPr>
        <w:t xml:space="preserve"> Monitor </w:t>
      </w:r>
    </w:p>
    <w:p w14:paraId="65753F1F" w14:textId="77777777" w:rsidR="00972CD1" w:rsidRPr="00B96A3E" w:rsidRDefault="00972CD1" w:rsidP="0090025D">
      <w:pPr>
        <w:rPr>
          <w:i/>
        </w:rPr>
      </w:pPr>
      <w:r w:rsidRPr="00B96A3E">
        <w:rPr>
          <w:i/>
        </w:rPr>
        <w:t xml:space="preserve">Automated Equivalent Method: EQPM-0404-151 </w:t>
      </w:r>
    </w:p>
    <w:p w14:paraId="5E038038" w14:textId="77777777" w:rsidR="00972CD1" w:rsidRPr="00972CD1" w:rsidRDefault="00972CD1" w:rsidP="0090025D">
      <w:pPr>
        <w:rPr>
          <w:lang w:eastAsia="en-NZ"/>
        </w:rPr>
      </w:pPr>
      <w:r w:rsidRPr="00972CD1">
        <w:rPr>
          <w:lang w:eastAsia="en-NZ"/>
        </w:rPr>
        <w:t>“Environnement S. A. Model MP101M PM</w:t>
      </w:r>
      <w:r w:rsidRPr="002504E1">
        <w:rPr>
          <w:vertAlign w:val="subscript"/>
          <w:lang w:eastAsia="en-NZ"/>
        </w:rPr>
        <w:t>10</w:t>
      </w:r>
      <w:r w:rsidRPr="00972CD1">
        <w:rPr>
          <w:lang w:eastAsia="en-NZ"/>
        </w:rPr>
        <w:t xml:space="preserve"> Beta Gauge Monitor,” configured with the louvered PM</w:t>
      </w:r>
      <w:r w:rsidRPr="002504E1">
        <w:rPr>
          <w:vertAlign w:val="subscript"/>
          <w:lang w:eastAsia="en-NZ"/>
        </w:rPr>
        <w:t>10</w:t>
      </w:r>
      <w:r w:rsidRPr="00972CD1">
        <w:rPr>
          <w:lang w:eastAsia="en-NZ"/>
        </w:rPr>
        <w:t xml:space="preserve"> inlet specified in 40 CFR 50 Appendix L or its flat-topped predecessor version and one of the three optional temperature-regulated sampling tubes (RST), and operated with a full scale measurement range of 0 - 0.500 mg/m</w:t>
      </w:r>
      <w:r w:rsidRPr="005F2B84">
        <w:rPr>
          <w:vertAlign w:val="superscript"/>
          <w:lang w:eastAsia="en-NZ"/>
        </w:rPr>
        <w:t>3</w:t>
      </w:r>
      <w:r w:rsidRPr="00972CD1">
        <w:rPr>
          <w:lang w:eastAsia="en-NZ"/>
        </w:rPr>
        <w:t xml:space="preserve"> (0 - 500 g/m</w:t>
      </w:r>
      <w:r w:rsidRPr="005F2B84">
        <w:rPr>
          <w:vertAlign w:val="superscript"/>
          <w:lang w:eastAsia="en-NZ"/>
        </w:rPr>
        <w:t>3</w:t>
      </w:r>
      <w:r w:rsidRPr="00972CD1">
        <w:rPr>
          <w:lang w:eastAsia="en-NZ"/>
        </w:rPr>
        <w:t>), with the sample flow rate set to 1.00 m</w:t>
      </w:r>
      <w:r w:rsidRPr="005F2B84">
        <w:rPr>
          <w:vertAlign w:val="superscript"/>
          <w:lang w:eastAsia="en-NZ"/>
        </w:rPr>
        <w:t>3</w:t>
      </w:r>
      <w:r w:rsidRPr="00972CD1">
        <w:rPr>
          <w:lang w:eastAsia="en-NZ"/>
        </w:rPr>
        <w:t>/h and flow regulation set to yes, the “norms selection” set to m</w:t>
      </w:r>
      <w:r w:rsidRPr="005F2B84">
        <w:rPr>
          <w:vertAlign w:val="superscript"/>
          <w:lang w:eastAsia="en-NZ"/>
        </w:rPr>
        <w:t>3</w:t>
      </w:r>
      <w:r w:rsidRPr="00972CD1">
        <w:rPr>
          <w:lang w:eastAsia="en-NZ"/>
        </w:rPr>
        <w:t xml:space="preserve"> (actual volume), the “cycle” set to 24 hours, the “period” set to none, and the “counting time” set to 200 seconds. </w:t>
      </w:r>
    </w:p>
    <w:p w14:paraId="475ADD21" w14:textId="77777777" w:rsidR="00972CD1" w:rsidRPr="00B96A3E" w:rsidRDefault="00972CD1" w:rsidP="0090025D">
      <w:pPr>
        <w:rPr>
          <w:i/>
          <w:lang w:eastAsia="en-NZ"/>
        </w:rPr>
      </w:pPr>
      <w:r w:rsidRPr="00B96A3E">
        <w:rPr>
          <w:i/>
          <w:lang w:eastAsia="en-NZ"/>
        </w:rPr>
        <w:t xml:space="preserve">Federal Register: Vol. 69, page 18569, 4/8/04 </w:t>
      </w:r>
    </w:p>
    <w:p w14:paraId="03E20D57" w14:textId="77777777" w:rsidR="00A44535" w:rsidRPr="00972CD1" w:rsidRDefault="00A44535" w:rsidP="0090025D">
      <w:pPr>
        <w:rPr>
          <w:lang w:eastAsia="en-NZ"/>
        </w:rPr>
      </w:pPr>
    </w:p>
    <w:p w14:paraId="122667A0" w14:textId="77777777" w:rsidR="00972CD1" w:rsidRPr="00B96A3E" w:rsidRDefault="00972CD1" w:rsidP="0090025D">
      <w:pPr>
        <w:rPr>
          <w:b/>
          <w:lang w:eastAsia="en-NZ"/>
        </w:rPr>
      </w:pPr>
      <w:r w:rsidRPr="00B96A3E">
        <w:rPr>
          <w:b/>
          <w:lang w:eastAsia="en-NZ"/>
        </w:rPr>
        <w:t xml:space="preserve">Graseby Andersen/GMW Model 1200 High-Volume Air Sampler </w:t>
      </w:r>
    </w:p>
    <w:p w14:paraId="66620E42" w14:textId="77777777" w:rsidR="00972CD1" w:rsidRPr="00B96A3E" w:rsidRDefault="00972CD1" w:rsidP="0090025D">
      <w:pPr>
        <w:rPr>
          <w:i/>
        </w:rPr>
      </w:pPr>
      <w:r w:rsidRPr="00B96A3E">
        <w:rPr>
          <w:i/>
        </w:rPr>
        <w:t xml:space="preserve">Manual Reference Method: RFPS-1287-063 </w:t>
      </w:r>
    </w:p>
    <w:p w14:paraId="5AC9EF76" w14:textId="77777777" w:rsidR="00972CD1" w:rsidRPr="00972CD1" w:rsidRDefault="00972CD1" w:rsidP="0090025D">
      <w:pPr>
        <w:rPr>
          <w:lang w:eastAsia="en-NZ"/>
        </w:rPr>
      </w:pPr>
      <w:r w:rsidRPr="00972CD1">
        <w:rPr>
          <w:lang w:eastAsia="en-NZ"/>
        </w:rPr>
        <w:t>“Sierra-Andersen or General Metal Works Model 1200 PM</w:t>
      </w:r>
      <w:r w:rsidRPr="002504E1">
        <w:rPr>
          <w:vertAlign w:val="subscript"/>
          <w:lang w:eastAsia="en-NZ"/>
        </w:rPr>
        <w:t>10</w:t>
      </w:r>
      <w:r w:rsidRPr="00972CD1">
        <w:rPr>
          <w:lang w:eastAsia="en-NZ"/>
        </w:rPr>
        <w:t xml:space="preserve"> High-Volume Air Sampler System," consisting of a Sierra-Andersen or General Metal Works Model 1200 PM</w:t>
      </w:r>
      <w:r w:rsidRPr="002504E1">
        <w:rPr>
          <w:vertAlign w:val="subscript"/>
          <w:lang w:eastAsia="en-NZ"/>
        </w:rPr>
        <w:t>10</w:t>
      </w:r>
      <w:r w:rsidRPr="00972CD1">
        <w:rPr>
          <w:lang w:eastAsia="en-NZ"/>
        </w:rPr>
        <w:t xml:space="preserve"> Size-Selective Inlet and any of the high-volume air samplers identified as SAUV-10H, SAUV-11H, GMW-IP-10, GMW-IP-10-70, GMW-IP-10-801, or GMW-IP-10-8000, which include the following components: Anodized aluminum high-volume shelter with either acrylonitrile butadiene styrene plastic filter holder and motor/blower housing or stainless steel filter holder and phenolic plastic motor/blower housing; 0.6 hp motor/blower; pressure transducer flow recorder; either an electronic mass flow controller or a volumetric flow controller; either a digital timer/programmer, seven-day mechanical timer, six-day timer/programmer, or solid-state timer/programmer; elapsed time indicator; and filter cartridge. </w:t>
      </w:r>
    </w:p>
    <w:p w14:paraId="0FF47AE1" w14:textId="77777777" w:rsidR="00972CD1" w:rsidRPr="00B96A3E" w:rsidRDefault="00972CD1" w:rsidP="0090025D">
      <w:pPr>
        <w:rPr>
          <w:i/>
          <w:lang w:eastAsia="en-NZ"/>
        </w:rPr>
      </w:pPr>
      <w:r w:rsidRPr="00B96A3E">
        <w:rPr>
          <w:i/>
          <w:lang w:eastAsia="en-NZ"/>
        </w:rPr>
        <w:t xml:space="preserve">Federal Register: Vol. 52, page 45684, 12/01/87 and Vol. 53, page 1062, 01/15/88 </w:t>
      </w:r>
    </w:p>
    <w:p w14:paraId="311ACAA1" w14:textId="77777777" w:rsidR="00A44535" w:rsidRPr="00972CD1" w:rsidRDefault="00A44535" w:rsidP="0090025D">
      <w:pPr>
        <w:rPr>
          <w:lang w:eastAsia="en-NZ"/>
        </w:rPr>
      </w:pPr>
    </w:p>
    <w:p w14:paraId="6BDC4180" w14:textId="77777777" w:rsidR="00972CD1" w:rsidRPr="00B96A3E" w:rsidRDefault="00972CD1" w:rsidP="0090025D">
      <w:pPr>
        <w:rPr>
          <w:b/>
          <w:lang w:eastAsia="en-NZ"/>
        </w:rPr>
      </w:pPr>
      <w:r w:rsidRPr="00B96A3E">
        <w:rPr>
          <w:b/>
          <w:lang w:eastAsia="en-NZ"/>
        </w:rPr>
        <w:t xml:space="preserve">Graseby Andersen/GMW Model 321-B High-Volume Air Sampler </w:t>
      </w:r>
    </w:p>
    <w:p w14:paraId="7BC9C27C" w14:textId="77777777" w:rsidR="00972CD1" w:rsidRPr="00B96A3E" w:rsidRDefault="00972CD1" w:rsidP="0090025D">
      <w:pPr>
        <w:rPr>
          <w:i/>
        </w:rPr>
      </w:pPr>
      <w:r w:rsidRPr="00B96A3E">
        <w:rPr>
          <w:i/>
        </w:rPr>
        <w:t xml:space="preserve">Manual Reference Method: RFPS-1287-064 </w:t>
      </w:r>
    </w:p>
    <w:p w14:paraId="0636F9F9" w14:textId="77777777" w:rsidR="00972CD1" w:rsidRPr="00972CD1" w:rsidRDefault="00972CD1" w:rsidP="0090025D">
      <w:pPr>
        <w:rPr>
          <w:lang w:eastAsia="en-NZ"/>
        </w:rPr>
      </w:pPr>
      <w:r w:rsidRPr="00972CD1">
        <w:rPr>
          <w:lang w:eastAsia="en-NZ"/>
        </w:rPr>
        <w:t>"Sierra-Andersen or General Metal Works Model 321-B PM</w:t>
      </w:r>
      <w:r w:rsidRPr="002504E1">
        <w:rPr>
          <w:vertAlign w:val="subscript"/>
          <w:lang w:eastAsia="en-NZ"/>
        </w:rPr>
        <w:t>10</w:t>
      </w:r>
      <w:r w:rsidRPr="00972CD1">
        <w:rPr>
          <w:lang w:eastAsia="en-NZ"/>
        </w:rPr>
        <w:t xml:space="preserve"> High-Volume Air Sampler System," consisting of a Sierra-Andersen or General Metal Works Model 321-B PM</w:t>
      </w:r>
      <w:r w:rsidRPr="002504E1">
        <w:rPr>
          <w:vertAlign w:val="subscript"/>
          <w:lang w:eastAsia="en-NZ"/>
        </w:rPr>
        <w:t>10</w:t>
      </w:r>
      <w:r w:rsidRPr="00972CD1">
        <w:rPr>
          <w:lang w:eastAsia="en-NZ"/>
        </w:rPr>
        <w:t xml:space="preserve"> Size-Selective Inlet and any of the high-volume air samplers identified as SAUV-10H, SAUV-11H, GMW-IP-10, GMW-IP-10-70, GMW-IP-10-801, or GMW-IP-10-8000, which include the following components: Anodized aluminum high-volume shelter with either acrylonitrile butadiene styrene plastic filter holder and motor/blower housing or stainless steel filter holder and phenolic plastic motor/blower housing; 0.6 hp motor/blower; pressure transducer flow recorder; either an electronic mass flow controller or a volumetric flow controller; either a digital timer/programmer, seven-day mechanical timer, six-day timer/programmer, or solid-state timer/programmer; elapsed time indicator; and filter cartridge. </w:t>
      </w:r>
    </w:p>
    <w:p w14:paraId="062080BB" w14:textId="77777777" w:rsidR="00972CD1" w:rsidRPr="00B96A3E" w:rsidRDefault="00972CD1" w:rsidP="0090025D">
      <w:pPr>
        <w:rPr>
          <w:i/>
          <w:lang w:eastAsia="en-NZ"/>
        </w:rPr>
      </w:pPr>
      <w:r w:rsidRPr="00B96A3E">
        <w:rPr>
          <w:i/>
          <w:lang w:eastAsia="en-NZ"/>
        </w:rPr>
        <w:t xml:space="preserve">Federal Register: Vol. 52, page 45684, 12/01/87 and Vol. 53, page 1062, 01/15/88 </w:t>
      </w:r>
    </w:p>
    <w:p w14:paraId="27F72D0C" w14:textId="77777777" w:rsidR="00A44535" w:rsidRPr="00972CD1" w:rsidRDefault="00A44535" w:rsidP="0090025D">
      <w:pPr>
        <w:rPr>
          <w:lang w:eastAsia="en-NZ"/>
        </w:rPr>
      </w:pPr>
    </w:p>
    <w:p w14:paraId="5087F828" w14:textId="77777777" w:rsidR="00972CD1" w:rsidRPr="00766732" w:rsidRDefault="00972CD1" w:rsidP="0090025D">
      <w:pPr>
        <w:rPr>
          <w:b/>
          <w:lang w:eastAsia="en-NZ"/>
        </w:rPr>
      </w:pPr>
      <w:r w:rsidRPr="00766732">
        <w:rPr>
          <w:b/>
          <w:lang w:eastAsia="en-NZ"/>
        </w:rPr>
        <w:t xml:space="preserve">Graseby Andersen/GMW Model 321-C High-Volume Air Sampler </w:t>
      </w:r>
    </w:p>
    <w:p w14:paraId="0B47E55C" w14:textId="77777777" w:rsidR="00972CD1" w:rsidRPr="00766732" w:rsidRDefault="00972CD1" w:rsidP="0090025D">
      <w:pPr>
        <w:rPr>
          <w:i/>
        </w:rPr>
      </w:pPr>
      <w:r w:rsidRPr="00766732">
        <w:rPr>
          <w:i/>
        </w:rPr>
        <w:t xml:space="preserve">Manual Reference Method: RFPS-1287-065 </w:t>
      </w:r>
    </w:p>
    <w:p w14:paraId="6036B131" w14:textId="77777777" w:rsidR="00972CD1" w:rsidRPr="00972CD1" w:rsidRDefault="00972CD1" w:rsidP="0090025D">
      <w:pPr>
        <w:rPr>
          <w:lang w:eastAsia="en-NZ"/>
        </w:rPr>
      </w:pPr>
      <w:r w:rsidRPr="00972CD1">
        <w:rPr>
          <w:lang w:eastAsia="en-NZ"/>
        </w:rPr>
        <w:t>"Sierra-Andersen or General Metal Works Model 321-C PM</w:t>
      </w:r>
      <w:r w:rsidRPr="002504E1">
        <w:rPr>
          <w:vertAlign w:val="subscript"/>
          <w:lang w:eastAsia="en-NZ"/>
        </w:rPr>
        <w:t>10</w:t>
      </w:r>
      <w:r w:rsidRPr="00972CD1">
        <w:rPr>
          <w:lang w:eastAsia="en-NZ"/>
        </w:rPr>
        <w:t xml:space="preserve"> High-Volume Air Sampler System," consisting of a Sierra-Andersen General Metal Works Model 321-C PM</w:t>
      </w:r>
      <w:r w:rsidRPr="002504E1">
        <w:rPr>
          <w:vertAlign w:val="subscript"/>
          <w:lang w:eastAsia="en-NZ"/>
        </w:rPr>
        <w:t>10</w:t>
      </w:r>
      <w:r w:rsidRPr="00972CD1">
        <w:rPr>
          <w:lang w:eastAsia="en-NZ"/>
        </w:rPr>
        <w:t xml:space="preserve"> or Size-Selective Inlet and any of the high-volume air samplers identified as SAUV-10H, SAUV-11H, GMW-IP-10, GMW-IP-10-70, GMW-IP-10-801, or GMW-IP-10-8000, which include the following components: Anodized aluminum high-volume shelter with either acrylonitrile butadiene styrene plastic filter holder and motor/blower housing or stainless steel filter holder and phenolic plastic motor/blower housing; 0.6 hp motor/blower; pressure transducer flow recorder; either an electronic mass flow controller or a volumetric flow controller; either a digital timer/programmer, seven-day mechanical timer, six-day timer/programmer, or solid-state timer/programmer; elapsed time indicator; and filter cartridge. </w:t>
      </w:r>
    </w:p>
    <w:p w14:paraId="2D389C8A" w14:textId="77777777" w:rsidR="00A44535" w:rsidRPr="00766732" w:rsidRDefault="00972CD1" w:rsidP="0090025D">
      <w:pPr>
        <w:rPr>
          <w:i/>
          <w:lang w:eastAsia="en-NZ"/>
        </w:rPr>
      </w:pPr>
      <w:r w:rsidRPr="00766732">
        <w:rPr>
          <w:i/>
          <w:lang w:eastAsia="en-NZ"/>
        </w:rPr>
        <w:t>Federal Register: Vol. 52, page 45684, 12/01/87 and Vol. 53, page 1062, 01/15/88</w:t>
      </w:r>
    </w:p>
    <w:p w14:paraId="6FDA17A5" w14:textId="77777777" w:rsidR="00A44535" w:rsidRDefault="00A44535" w:rsidP="0090025D">
      <w:pPr>
        <w:rPr>
          <w:lang w:eastAsia="en-NZ"/>
        </w:rPr>
      </w:pPr>
    </w:p>
    <w:p w14:paraId="1CCA1A04" w14:textId="77777777" w:rsidR="00972CD1" w:rsidRPr="00766732" w:rsidRDefault="00972CD1" w:rsidP="0090025D">
      <w:pPr>
        <w:rPr>
          <w:b/>
          <w:lang w:eastAsia="en-NZ"/>
        </w:rPr>
      </w:pPr>
      <w:r w:rsidRPr="00766732">
        <w:rPr>
          <w:b/>
          <w:lang w:eastAsia="en-NZ"/>
        </w:rPr>
        <w:t xml:space="preserve">Graseby Andersen/GMW Models SA241 and SA241M Dichotomous Sampler </w:t>
      </w:r>
    </w:p>
    <w:p w14:paraId="1054D5B6" w14:textId="77777777" w:rsidR="00972CD1" w:rsidRPr="00766732" w:rsidRDefault="00972CD1" w:rsidP="0090025D">
      <w:pPr>
        <w:rPr>
          <w:i/>
        </w:rPr>
      </w:pPr>
      <w:r w:rsidRPr="00766732">
        <w:rPr>
          <w:i/>
        </w:rPr>
        <w:t xml:space="preserve">Manual Reference Method: RFPS-0789-073 </w:t>
      </w:r>
    </w:p>
    <w:p w14:paraId="21975AD2" w14:textId="77777777" w:rsidR="00972CD1" w:rsidRPr="00972CD1" w:rsidRDefault="00972CD1" w:rsidP="0090025D">
      <w:pPr>
        <w:rPr>
          <w:lang w:eastAsia="en-NZ"/>
        </w:rPr>
      </w:pPr>
      <w:r w:rsidRPr="00972CD1">
        <w:rPr>
          <w:lang w:eastAsia="en-NZ"/>
        </w:rPr>
        <w:t>“Sierra-Andersen Models SA241 and SA241M or General Metal Works Models G241 and G241M PM</w:t>
      </w:r>
      <w:r w:rsidRPr="002504E1">
        <w:rPr>
          <w:vertAlign w:val="subscript"/>
          <w:lang w:eastAsia="en-NZ"/>
        </w:rPr>
        <w:t>10</w:t>
      </w:r>
      <w:r w:rsidRPr="00972CD1">
        <w:rPr>
          <w:lang w:eastAsia="en-NZ"/>
        </w:rPr>
        <w:t xml:space="preserve"> Dichotomous Samplers,” consisting of the following components: Sampling Module with SA246b or G246b 10 m inlet or the louvered inlet specified in 40 CFR 50 Appendix L, Figs. L-2 thru L-19, 2.5 m virtual impactor assembly, 37 mm coarse and fine particulate filter holders, and tripod mount; Control Module with diaphragm vacuum pump, pneumatic constant flow controller, total and coarse flow rotameters and vacuum gauges, pressure switch (optional), 24-hour flow/event recorder, digital timer/programmer or 7-day skip timer, and elapsed time indicator. </w:t>
      </w:r>
    </w:p>
    <w:p w14:paraId="4683EA81" w14:textId="77777777" w:rsidR="00972CD1" w:rsidRPr="00766732" w:rsidRDefault="00972CD1" w:rsidP="0090025D">
      <w:pPr>
        <w:rPr>
          <w:i/>
          <w:lang w:eastAsia="en-NZ"/>
        </w:rPr>
      </w:pPr>
      <w:r w:rsidRPr="00766732">
        <w:rPr>
          <w:i/>
          <w:lang w:eastAsia="en-NZ"/>
        </w:rPr>
        <w:t xml:space="preserve">Federal Register: Vol. 54, page 31247, 07/27/89 </w:t>
      </w:r>
    </w:p>
    <w:p w14:paraId="4DC823E4" w14:textId="77777777" w:rsidR="00A44535" w:rsidRPr="00972CD1" w:rsidRDefault="00A44535" w:rsidP="0090025D">
      <w:pPr>
        <w:rPr>
          <w:lang w:eastAsia="en-NZ"/>
        </w:rPr>
      </w:pPr>
    </w:p>
    <w:p w14:paraId="1215B12E" w14:textId="77777777" w:rsidR="00972CD1" w:rsidRPr="00766732" w:rsidRDefault="00972CD1" w:rsidP="0090025D">
      <w:pPr>
        <w:rPr>
          <w:b/>
          <w:lang w:eastAsia="en-NZ"/>
        </w:rPr>
      </w:pPr>
      <w:r w:rsidRPr="00766732">
        <w:rPr>
          <w:b/>
          <w:lang w:eastAsia="en-NZ"/>
        </w:rPr>
        <w:t xml:space="preserve">Graseby Andersen/GMW Model FH621-N Beta Monitor </w:t>
      </w:r>
    </w:p>
    <w:p w14:paraId="653AF2E6" w14:textId="77777777" w:rsidR="00972CD1" w:rsidRPr="00766732" w:rsidRDefault="00972CD1" w:rsidP="0090025D">
      <w:pPr>
        <w:rPr>
          <w:i/>
        </w:rPr>
      </w:pPr>
      <w:r w:rsidRPr="00766732">
        <w:rPr>
          <w:i/>
        </w:rPr>
        <w:t xml:space="preserve">Automated Equivalent Method: EQPM-0990-076 </w:t>
      </w:r>
    </w:p>
    <w:p w14:paraId="21853C72" w14:textId="77777777" w:rsidR="00972CD1" w:rsidRPr="00972CD1" w:rsidRDefault="00972CD1" w:rsidP="0090025D">
      <w:pPr>
        <w:rPr>
          <w:lang w:eastAsia="en-NZ"/>
        </w:rPr>
      </w:pPr>
      <w:r w:rsidRPr="00972CD1">
        <w:rPr>
          <w:lang w:eastAsia="en-NZ"/>
        </w:rPr>
        <w:t>“Andersen Instruments Model FH62I-N PM</w:t>
      </w:r>
      <w:r w:rsidRPr="002504E1">
        <w:rPr>
          <w:vertAlign w:val="subscript"/>
          <w:lang w:eastAsia="en-NZ"/>
        </w:rPr>
        <w:t>10</w:t>
      </w:r>
      <w:r w:rsidRPr="00972CD1">
        <w:rPr>
          <w:lang w:eastAsia="en-NZ"/>
        </w:rPr>
        <w:t xml:space="preserve"> Beta Attenuation Monitor,” consisting of the following components: FH101 Vacuum Pump Assembly; FH102 Accessory Kit; FH107 Roof Flange Kit; FH125 Zero and Span PM</w:t>
      </w:r>
      <w:r w:rsidRPr="002504E1">
        <w:rPr>
          <w:vertAlign w:val="subscript"/>
          <w:lang w:eastAsia="en-NZ"/>
        </w:rPr>
        <w:t>10</w:t>
      </w:r>
      <w:r w:rsidRPr="00972CD1">
        <w:rPr>
          <w:lang w:eastAsia="en-NZ"/>
        </w:rPr>
        <w:t xml:space="preserve"> Mass Foil Calibration Kit; FH62I Beta Attenuation 19-inch Control Module; SA246b PM</w:t>
      </w:r>
      <w:r w:rsidRPr="002504E1">
        <w:rPr>
          <w:vertAlign w:val="subscript"/>
          <w:lang w:eastAsia="en-NZ"/>
        </w:rPr>
        <w:t>10</w:t>
      </w:r>
      <w:r w:rsidRPr="00972CD1">
        <w:rPr>
          <w:lang w:eastAsia="en-NZ"/>
        </w:rPr>
        <w:t xml:space="preserve"> Inlet (16.7 liter/min) or the louvered inlet specified in 40 CFR 50 Appendix L, Figs. L-2 thru L-19; operated for 24-hour average measurements, with an observing time of 60 minutes, the calibration factor set to 2400, a glass fiber filter tape, an automatic filter advance after each 24-hour sample period, and with or without either of the following options: FH0P1 Indoor Cabinet; FH0P2 Outdoor Shelter Assembly. </w:t>
      </w:r>
    </w:p>
    <w:p w14:paraId="0F6CA18E" w14:textId="77777777" w:rsidR="00972CD1" w:rsidRPr="00766732" w:rsidRDefault="00972CD1" w:rsidP="0090025D">
      <w:pPr>
        <w:rPr>
          <w:i/>
          <w:lang w:eastAsia="en-NZ"/>
        </w:rPr>
      </w:pPr>
      <w:r w:rsidRPr="00766732">
        <w:rPr>
          <w:i/>
          <w:lang w:eastAsia="en-NZ"/>
        </w:rPr>
        <w:t xml:space="preserve">Federal Register: Vol. 55, page 38387, 09/18/90 </w:t>
      </w:r>
    </w:p>
    <w:p w14:paraId="557E8AA5" w14:textId="77777777" w:rsidR="00A44535" w:rsidRPr="00972CD1" w:rsidRDefault="00A44535" w:rsidP="0090025D">
      <w:pPr>
        <w:rPr>
          <w:lang w:eastAsia="en-NZ"/>
        </w:rPr>
      </w:pPr>
    </w:p>
    <w:p w14:paraId="7299AF69" w14:textId="77777777" w:rsidR="00972CD1" w:rsidRPr="00766732" w:rsidRDefault="00972CD1" w:rsidP="0090025D">
      <w:pPr>
        <w:rPr>
          <w:b/>
          <w:lang w:eastAsia="en-NZ"/>
        </w:rPr>
      </w:pPr>
      <w:r w:rsidRPr="00766732">
        <w:rPr>
          <w:b/>
          <w:lang w:eastAsia="en-NZ"/>
        </w:rPr>
        <w:t xml:space="preserve">Met One or Sibata Models BAM/GBAM 1020, BAM/GBAM 1020-1 or Horiba APDA-371 </w:t>
      </w:r>
    </w:p>
    <w:p w14:paraId="0CEB3653" w14:textId="77777777" w:rsidR="00972CD1" w:rsidRPr="00766732" w:rsidRDefault="00972CD1" w:rsidP="0090025D">
      <w:pPr>
        <w:rPr>
          <w:i/>
        </w:rPr>
      </w:pPr>
      <w:r w:rsidRPr="00766732">
        <w:rPr>
          <w:i/>
        </w:rPr>
        <w:t xml:space="preserve">Automated Equivalent Method: EQPM-0798-122 </w:t>
      </w:r>
    </w:p>
    <w:p w14:paraId="368FC646" w14:textId="77777777" w:rsidR="00972CD1" w:rsidRPr="00972CD1" w:rsidRDefault="00972CD1" w:rsidP="0090025D">
      <w:pPr>
        <w:rPr>
          <w:lang w:eastAsia="en-NZ"/>
        </w:rPr>
      </w:pPr>
      <w:r w:rsidRPr="00972CD1">
        <w:rPr>
          <w:lang w:eastAsia="en-NZ"/>
        </w:rPr>
        <w:t>“Met One Instruments or Sibata Scientific Technology Models BAM 1020, GBAM 1020, BAM 1020-1, GBAM 1020-1, and Horiba APDA-371 PM</w:t>
      </w:r>
      <w:r w:rsidRPr="002504E1">
        <w:rPr>
          <w:vertAlign w:val="subscript"/>
          <w:lang w:eastAsia="en-NZ"/>
        </w:rPr>
        <w:t>10</w:t>
      </w:r>
      <w:r w:rsidRPr="00972CD1">
        <w:rPr>
          <w:lang w:eastAsia="en-NZ"/>
        </w:rPr>
        <w:t xml:space="preserve"> Beta Attenuation Monitor,” including the BX-802 sampling inlet, operated for 24-hour average measurements, with a filter change frequency of one hour, with glass fiber filter tape, and with or without any of the following options: BX-823, tube extension; BX-825, heater kit; BX-826, 230 VAC heater kit; BX-827 “Smart Heater” set for maintaining moisture between 35% and 45% and no ΔT control; BX-828, roof tripod; BX-902, exterior enclosure; BX-903, exterior enclosure with temperature control; BX-961, mass flow controller; BX-967, internal calibration device, BX-970 touch-screen display with USB interface. For software (firmware) versions V3.0 or higher, a user-selectable measurement time (COUNT TIME) of 4, 6, 8 or 10 minutes selected, along with appropriate sample time (BAM SAMPLE) setting of 50, 46, 42 or 38 minutes, respectively, to maintain a 60-minute measurement cycle. For software (firmware) versions V3.5 or higher, user-selectable option to sample under actual conditions (Flow Type: ACTUAL) and report under standard conditions (Reporting: STD), which requires the use of P/N BX-592 external temperature sensor or P/N BX-596 external temperature/barometric pressure sensor. The user may also sample under standard conditions (Flow Type: STD) and report under standard conditions (Reporting: STD) with any software/firmware 2.0 or higher. Instrument must be operated in accordance with the appropriate instrument manual. </w:t>
      </w:r>
    </w:p>
    <w:p w14:paraId="44B64724" w14:textId="77777777" w:rsidR="00972CD1" w:rsidRPr="00766732" w:rsidRDefault="00972CD1" w:rsidP="0090025D">
      <w:pPr>
        <w:rPr>
          <w:i/>
          <w:lang w:eastAsia="en-NZ"/>
        </w:rPr>
      </w:pPr>
      <w:r w:rsidRPr="00766732">
        <w:rPr>
          <w:i/>
          <w:lang w:eastAsia="en-NZ"/>
        </w:rPr>
        <w:t xml:space="preserve">Federal Register: Vol. 63, page 41253, 08/03/98 </w:t>
      </w:r>
    </w:p>
    <w:p w14:paraId="1FD41682" w14:textId="77777777" w:rsidR="00972CD1" w:rsidRPr="00766732" w:rsidRDefault="00972CD1" w:rsidP="0090025D">
      <w:pPr>
        <w:rPr>
          <w:i/>
          <w:lang w:eastAsia="en-NZ"/>
        </w:rPr>
      </w:pPr>
      <w:r w:rsidRPr="00766732">
        <w:rPr>
          <w:i/>
          <w:lang w:eastAsia="en-NZ"/>
        </w:rPr>
        <w:t xml:space="preserve">Latest modifications: 06/2009; 07/2010; 8/2010 </w:t>
      </w:r>
    </w:p>
    <w:p w14:paraId="26703851" w14:textId="77777777" w:rsidR="00A44535" w:rsidRPr="00972CD1" w:rsidRDefault="00A44535" w:rsidP="0090025D">
      <w:pPr>
        <w:rPr>
          <w:lang w:eastAsia="en-NZ"/>
        </w:rPr>
      </w:pPr>
    </w:p>
    <w:p w14:paraId="3A2D5305" w14:textId="77777777" w:rsidR="00972CD1" w:rsidRPr="00766732" w:rsidRDefault="00972CD1" w:rsidP="0090025D">
      <w:pPr>
        <w:rPr>
          <w:b/>
          <w:lang w:eastAsia="en-NZ"/>
        </w:rPr>
      </w:pPr>
      <w:r w:rsidRPr="00766732">
        <w:rPr>
          <w:b/>
          <w:lang w:eastAsia="en-NZ"/>
        </w:rPr>
        <w:t>Opsis Model SM200 PM</w:t>
      </w:r>
      <w:r w:rsidRPr="00766732">
        <w:rPr>
          <w:b/>
          <w:vertAlign w:val="subscript"/>
          <w:lang w:eastAsia="en-NZ"/>
        </w:rPr>
        <w:t>10</w:t>
      </w:r>
      <w:r w:rsidRPr="00766732">
        <w:rPr>
          <w:b/>
          <w:lang w:eastAsia="en-NZ"/>
        </w:rPr>
        <w:t xml:space="preserve"> Monitor </w:t>
      </w:r>
    </w:p>
    <w:p w14:paraId="77D6A740" w14:textId="77777777" w:rsidR="00972CD1" w:rsidRPr="00766732" w:rsidRDefault="00972CD1" w:rsidP="0090025D">
      <w:pPr>
        <w:rPr>
          <w:i/>
        </w:rPr>
      </w:pPr>
      <w:r w:rsidRPr="00766732">
        <w:rPr>
          <w:i/>
        </w:rPr>
        <w:t xml:space="preserve">Automated Equivalent Method: EQPM-0810-193 </w:t>
      </w:r>
    </w:p>
    <w:p w14:paraId="00DB4A8C" w14:textId="77777777" w:rsidR="00972CD1" w:rsidRPr="00972CD1" w:rsidRDefault="00972CD1" w:rsidP="0090025D">
      <w:pPr>
        <w:rPr>
          <w:lang w:eastAsia="en-NZ"/>
        </w:rPr>
      </w:pPr>
      <w:r w:rsidRPr="00972CD1">
        <w:rPr>
          <w:lang w:eastAsia="en-NZ"/>
        </w:rPr>
        <w:t>“Opsis Model SM200 Monitor,” beta gauge semi-continuous ambient particulate monitor operated for 24 hours at a flow rate of 16.67 LPM between 5° and 40°C using 47 mm PTFE membrane filter media, in the mass measurement range of 0 to 60 mg, configured with a BGI Model SSI25 PM</w:t>
      </w:r>
      <w:r w:rsidRPr="002504E1">
        <w:rPr>
          <w:vertAlign w:val="subscript"/>
          <w:lang w:eastAsia="en-NZ"/>
        </w:rPr>
        <w:t>10</w:t>
      </w:r>
      <w:r w:rsidRPr="00972CD1">
        <w:rPr>
          <w:lang w:eastAsia="en-NZ"/>
        </w:rPr>
        <w:t xml:space="preserve"> inlet meeting criteria specified in 40 CFR 50 Appendix L, with a roof mounting kit, and with or without an inlet tube heater (as recommended based on site RH conditions), according to the SM200 User</w:t>
      </w:r>
      <w:r w:rsidR="00766732">
        <w:rPr>
          <w:rFonts w:ascii="MS Mincho" w:eastAsia="MS Mincho" w:hAnsi="MS Mincho" w:cs="MS Mincho"/>
          <w:lang w:eastAsia="en-NZ"/>
        </w:rPr>
        <w:t>’</w:t>
      </w:r>
      <w:r w:rsidRPr="00972CD1">
        <w:rPr>
          <w:lang w:eastAsia="en-NZ"/>
        </w:rPr>
        <w:t xml:space="preserve">s Guide. </w:t>
      </w:r>
    </w:p>
    <w:p w14:paraId="77C79FEB" w14:textId="77777777" w:rsidR="00972CD1" w:rsidRPr="00766732" w:rsidRDefault="00972CD1" w:rsidP="0090025D">
      <w:pPr>
        <w:rPr>
          <w:i/>
          <w:lang w:eastAsia="en-NZ"/>
        </w:rPr>
      </w:pPr>
      <w:r w:rsidRPr="00766732">
        <w:rPr>
          <w:i/>
          <w:lang w:eastAsia="en-NZ"/>
        </w:rPr>
        <w:t xml:space="preserve">Federal Register: Vol. 75, page 51039, 08/18/10 </w:t>
      </w:r>
    </w:p>
    <w:p w14:paraId="404EEA04" w14:textId="77777777" w:rsidR="00A44535" w:rsidRPr="00972CD1" w:rsidRDefault="00A44535" w:rsidP="0090025D">
      <w:pPr>
        <w:rPr>
          <w:lang w:eastAsia="en-NZ"/>
        </w:rPr>
      </w:pPr>
    </w:p>
    <w:p w14:paraId="2E747332" w14:textId="77777777" w:rsidR="00972CD1" w:rsidRPr="00766732" w:rsidRDefault="00972CD1" w:rsidP="0090025D">
      <w:pPr>
        <w:rPr>
          <w:b/>
          <w:lang w:eastAsia="en-NZ"/>
        </w:rPr>
      </w:pPr>
      <w:r w:rsidRPr="00766732">
        <w:rPr>
          <w:b/>
          <w:lang w:eastAsia="en-NZ"/>
        </w:rPr>
        <w:t>Oregon DEQ Medium Volume PM</w:t>
      </w:r>
      <w:r w:rsidRPr="00261A2A">
        <w:rPr>
          <w:b/>
          <w:vertAlign w:val="subscript"/>
          <w:lang w:eastAsia="en-NZ"/>
        </w:rPr>
        <w:t>10</w:t>
      </w:r>
      <w:r w:rsidRPr="00766732">
        <w:rPr>
          <w:b/>
          <w:lang w:eastAsia="en-NZ"/>
        </w:rPr>
        <w:t xml:space="preserve"> Sampler </w:t>
      </w:r>
    </w:p>
    <w:p w14:paraId="4474138A" w14:textId="77777777" w:rsidR="00972CD1" w:rsidRPr="00766732" w:rsidRDefault="00972CD1" w:rsidP="0090025D">
      <w:pPr>
        <w:rPr>
          <w:i/>
        </w:rPr>
      </w:pPr>
      <w:r w:rsidRPr="00766732">
        <w:rPr>
          <w:i/>
        </w:rPr>
        <w:t xml:space="preserve">Manual Reference Method: RFPS-0389-071 </w:t>
      </w:r>
    </w:p>
    <w:p w14:paraId="341E6ED3" w14:textId="77777777" w:rsidR="00972CD1" w:rsidRPr="00972CD1" w:rsidRDefault="00972CD1" w:rsidP="0090025D">
      <w:pPr>
        <w:rPr>
          <w:lang w:eastAsia="en-NZ"/>
        </w:rPr>
      </w:pPr>
      <w:r w:rsidRPr="00972CD1">
        <w:rPr>
          <w:lang w:eastAsia="en-NZ"/>
        </w:rPr>
        <w:t>“Oregon DEQ Medium Volume PM</w:t>
      </w:r>
      <w:r w:rsidRPr="002504E1">
        <w:rPr>
          <w:vertAlign w:val="subscript"/>
          <w:lang w:eastAsia="en-NZ"/>
        </w:rPr>
        <w:t>10</w:t>
      </w:r>
      <w:r w:rsidRPr="00972CD1">
        <w:rPr>
          <w:lang w:eastAsia="en-NZ"/>
        </w:rPr>
        <w:t xml:space="preserve"> Sampler.” NOTE: This method is no longer commercially available. </w:t>
      </w:r>
    </w:p>
    <w:p w14:paraId="0E8E5864" w14:textId="77777777" w:rsidR="00972CD1" w:rsidRPr="00766732" w:rsidRDefault="00972CD1" w:rsidP="0090025D">
      <w:pPr>
        <w:rPr>
          <w:i/>
          <w:lang w:eastAsia="en-NZ"/>
        </w:rPr>
      </w:pPr>
      <w:r w:rsidRPr="00766732">
        <w:rPr>
          <w:i/>
          <w:lang w:eastAsia="en-NZ"/>
        </w:rPr>
        <w:t xml:space="preserve">Federal Register: Vol. 54, page 12273, 03/24/89 </w:t>
      </w:r>
    </w:p>
    <w:p w14:paraId="05E1AF9A" w14:textId="77777777" w:rsidR="00A44535" w:rsidRPr="00972CD1" w:rsidRDefault="00A44535" w:rsidP="0090025D">
      <w:pPr>
        <w:rPr>
          <w:lang w:eastAsia="en-NZ"/>
        </w:rPr>
      </w:pPr>
    </w:p>
    <w:p w14:paraId="3E1A4E0F" w14:textId="77777777" w:rsidR="00972CD1" w:rsidRPr="00C726C4" w:rsidRDefault="00972CD1" w:rsidP="0090025D">
      <w:pPr>
        <w:rPr>
          <w:lang w:eastAsia="en-NZ"/>
        </w:rPr>
      </w:pPr>
      <w:r w:rsidRPr="00766732">
        <w:rPr>
          <w:b/>
          <w:lang w:eastAsia="en-NZ"/>
        </w:rPr>
        <w:t>Thermo Andersen Series FH 62 C14 Continuous PM</w:t>
      </w:r>
      <w:r w:rsidRPr="00766732">
        <w:rPr>
          <w:b/>
          <w:vertAlign w:val="subscript"/>
          <w:lang w:eastAsia="en-NZ"/>
        </w:rPr>
        <w:t>10</w:t>
      </w:r>
      <w:r w:rsidRPr="00766732">
        <w:rPr>
          <w:b/>
          <w:lang w:eastAsia="en-NZ"/>
        </w:rPr>
        <w:t xml:space="preserve"> Monitor </w:t>
      </w:r>
      <w:r w:rsidR="00A44535" w:rsidRPr="00766732">
        <w:rPr>
          <w:b/>
          <w:lang w:eastAsia="en-NZ"/>
        </w:rPr>
        <w:t xml:space="preserve">or </w:t>
      </w:r>
      <w:r w:rsidRPr="00766732">
        <w:rPr>
          <w:b/>
          <w:lang w:eastAsia="en-NZ"/>
        </w:rPr>
        <w:t xml:space="preserve">Thermo Scientific Model 5014i Beta (5014i Beta), Continuous Ambient Particulate Monitor </w:t>
      </w:r>
    </w:p>
    <w:p w14:paraId="12316840" w14:textId="77777777" w:rsidR="00972CD1" w:rsidRPr="00766732" w:rsidRDefault="00972CD1" w:rsidP="0090025D">
      <w:pPr>
        <w:rPr>
          <w:i/>
        </w:rPr>
      </w:pPr>
      <w:r w:rsidRPr="00766732">
        <w:rPr>
          <w:i/>
        </w:rPr>
        <w:t xml:space="preserve">Automated Equivalent Method: EQPM-1102-150 </w:t>
      </w:r>
    </w:p>
    <w:p w14:paraId="0C7907B7" w14:textId="77777777" w:rsidR="00972CD1" w:rsidRPr="00972CD1" w:rsidRDefault="00972CD1" w:rsidP="0090025D">
      <w:pPr>
        <w:rPr>
          <w:lang w:eastAsia="en-NZ"/>
        </w:rPr>
      </w:pPr>
      <w:r w:rsidRPr="00972CD1">
        <w:rPr>
          <w:lang w:eastAsia="en-NZ"/>
        </w:rPr>
        <w:t>“Thermo Andersen Series FH 62 C14 Continuous PM</w:t>
      </w:r>
      <w:r w:rsidRPr="002504E1">
        <w:rPr>
          <w:vertAlign w:val="subscript"/>
          <w:lang w:eastAsia="en-NZ"/>
        </w:rPr>
        <w:t>10</w:t>
      </w:r>
      <w:r w:rsidRPr="00972CD1">
        <w:rPr>
          <w:lang w:eastAsia="en-NZ"/>
        </w:rPr>
        <w:t xml:space="preserve"> Ambient Particulate Monitor and Thermo Scientific Model 5014i Beta (5014i Beta), Continuous Ambient Particulate Monitor,” operated for 24-hour average measurements, with the specified 10-micron inlet, inlet connector, sample tube with heater, roof flange kit, mass foil kit, pump kit, sample filter tape; with operational settings of 1000 L/h (16.67 L/min) sample flow rate, daily filter change, auto filter change at volumetric flow &lt;950 L/h, auto filter change at mass &gt;1500 micrograms, and factory default calculation mode settings operated with software version 1.07. Operated, calibrated and serviced according to the appropriate Operator Manual. </w:t>
      </w:r>
    </w:p>
    <w:p w14:paraId="1A29AE41" w14:textId="77777777" w:rsidR="00972CD1" w:rsidRPr="00766732" w:rsidRDefault="00972CD1" w:rsidP="0090025D">
      <w:pPr>
        <w:rPr>
          <w:i/>
          <w:lang w:eastAsia="en-NZ"/>
        </w:rPr>
      </w:pPr>
      <w:r w:rsidRPr="00766732">
        <w:rPr>
          <w:i/>
          <w:lang w:eastAsia="en-NZ"/>
        </w:rPr>
        <w:t xml:space="preserve">Federal Register: Vol. 67, page 76174, 12/11/02 </w:t>
      </w:r>
    </w:p>
    <w:p w14:paraId="4C0EC4FC" w14:textId="77777777" w:rsidR="00972CD1" w:rsidRPr="00766732" w:rsidRDefault="00972CD1" w:rsidP="0090025D">
      <w:pPr>
        <w:rPr>
          <w:i/>
          <w:lang w:eastAsia="en-NZ"/>
        </w:rPr>
      </w:pPr>
      <w:r w:rsidRPr="00766732">
        <w:rPr>
          <w:i/>
          <w:lang w:eastAsia="en-NZ"/>
        </w:rPr>
        <w:t xml:space="preserve">Latest modification: 07/2009 </w:t>
      </w:r>
    </w:p>
    <w:p w14:paraId="6DA7DB6C" w14:textId="77777777" w:rsidR="00A44535" w:rsidRPr="00972CD1" w:rsidRDefault="00A44535" w:rsidP="0090025D">
      <w:pPr>
        <w:rPr>
          <w:lang w:eastAsia="en-NZ"/>
        </w:rPr>
      </w:pPr>
    </w:p>
    <w:p w14:paraId="5B99C34E" w14:textId="77777777" w:rsidR="00972CD1" w:rsidRPr="00766732" w:rsidRDefault="00972CD1" w:rsidP="0090025D">
      <w:pPr>
        <w:rPr>
          <w:b/>
          <w:lang w:eastAsia="en-NZ"/>
        </w:rPr>
      </w:pPr>
      <w:r w:rsidRPr="00766732">
        <w:rPr>
          <w:b/>
          <w:lang w:eastAsia="en-NZ"/>
        </w:rPr>
        <w:t xml:space="preserve">Thermo Scientific or Rupprecht &amp; Patashnick Partisol® Model 2000 Air Sampler </w:t>
      </w:r>
    </w:p>
    <w:p w14:paraId="34E677F4" w14:textId="77777777" w:rsidR="00972CD1" w:rsidRPr="00766732" w:rsidRDefault="00972CD1" w:rsidP="0090025D">
      <w:pPr>
        <w:rPr>
          <w:i/>
        </w:rPr>
      </w:pPr>
      <w:r w:rsidRPr="00766732">
        <w:rPr>
          <w:i/>
        </w:rPr>
        <w:t xml:space="preserve">Manual Reference Method: RFPS-0694-098 </w:t>
      </w:r>
    </w:p>
    <w:p w14:paraId="0894A5B5" w14:textId="77777777" w:rsidR="00972CD1" w:rsidRPr="00972CD1" w:rsidRDefault="00972CD1" w:rsidP="0090025D">
      <w:pPr>
        <w:rPr>
          <w:lang w:eastAsia="en-NZ"/>
        </w:rPr>
      </w:pPr>
      <w:r w:rsidRPr="00972CD1">
        <w:rPr>
          <w:lang w:eastAsia="en-NZ"/>
        </w:rPr>
        <w:t>“Thermo Scientific Partisol® 2000 Air Sampler” or “Rupprecht &amp; Patashnick Partisol® Model 2000 Air Sampler," consisting of a Hub Unit and 0, 1, 2, or 3 Satellite Units, with each sampling station used for PM</w:t>
      </w:r>
      <w:r w:rsidRPr="002504E1">
        <w:rPr>
          <w:vertAlign w:val="subscript"/>
          <w:lang w:eastAsia="en-NZ"/>
        </w:rPr>
        <w:t>10</w:t>
      </w:r>
      <w:r w:rsidRPr="00972CD1">
        <w:rPr>
          <w:lang w:eastAsia="en-NZ"/>
        </w:rPr>
        <w:t xml:space="preserve"> measurements equipped with a Rupprecht &amp; Patashnick PM</w:t>
      </w:r>
      <w:r w:rsidRPr="002504E1">
        <w:rPr>
          <w:vertAlign w:val="subscript"/>
          <w:lang w:eastAsia="en-NZ"/>
        </w:rPr>
        <w:t>10</w:t>
      </w:r>
      <w:r w:rsidRPr="00972CD1">
        <w:rPr>
          <w:lang w:eastAsia="en-NZ"/>
        </w:rPr>
        <w:t xml:space="preserve"> inlet and operated for continuous 24-hour periods using the Basic, Manual, Time, Analog Input, or Serial Input programming modes, and with or without any of the following options: PM</w:t>
      </w:r>
      <w:r w:rsidRPr="00D87D86">
        <w:rPr>
          <w:vertAlign w:val="subscript"/>
          <w:lang w:eastAsia="en-NZ"/>
        </w:rPr>
        <w:t>2.5</w:t>
      </w:r>
      <w:r w:rsidRPr="00972CD1">
        <w:rPr>
          <w:lang w:eastAsia="en-NZ"/>
        </w:rPr>
        <w:t xml:space="preserve">-style filter cassette holder; louvered inlet specified in 40 CFR 50 Appendix L, Figs. L-2 thru L-19 in lieu of standard inlet; 57-002320 Stand for Hub or Satellite; 59-002542 Advanced EPROM; 10-001403 Large Pump (1/4 hp); 120 VAC. Hardware for Indoor Installation consists of: 51-002638-xxxx Temperature Sensor (Extended Length); 55-001289 Roof Flange (1 1/4"); 57-000604 Support Tripod for Inlet; 57-002526-0001 Sample Tube Extension (1 m); 57-002526-0002 Sample Tube Extension (2 m). Hardware for Outdoor Installation in Extreme Cold Environments consists of: 10-002645 Insulating Jacket for Hub Unit. </w:t>
      </w:r>
    </w:p>
    <w:p w14:paraId="49A5D0F8" w14:textId="77777777" w:rsidR="00972CD1" w:rsidRPr="00766732" w:rsidRDefault="00972CD1" w:rsidP="0090025D">
      <w:pPr>
        <w:rPr>
          <w:i/>
          <w:lang w:eastAsia="en-NZ"/>
        </w:rPr>
      </w:pPr>
      <w:r w:rsidRPr="00766732">
        <w:rPr>
          <w:i/>
          <w:lang w:eastAsia="en-NZ"/>
        </w:rPr>
        <w:t xml:space="preserve">Federal Register: Vol. 59, page 35338, 07/11/94 </w:t>
      </w:r>
    </w:p>
    <w:p w14:paraId="794E871E" w14:textId="77777777" w:rsidR="00A44535" w:rsidRPr="00972CD1" w:rsidRDefault="00A44535" w:rsidP="0090025D">
      <w:pPr>
        <w:rPr>
          <w:lang w:eastAsia="en-NZ"/>
        </w:rPr>
      </w:pPr>
    </w:p>
    <w:p w14:paraId="54A27F9C" w14:textId="77777777" w:rsidR="00972CD1" w:rsidRPr="00766732" w:rsidRDefault="00972CD1" w:rsidP="0090025D">
      <w:pPr>
        <w:rPr>
          <w:b/>
          <w:lang w:eastAsia="en-NZ"/>
        </w:rPr>
      </w:pPr>
      <w:r w:rsidRPr="00766732">
        <w:rPr>
          <w:b/>
          <w:lang w:eastAsia="en-NZ"/>
        </w:rPr>
        <w:t xml:space="preserve">Thermo Scientific Partisol® 2000-D Dichotomous Air Sampler </w:t>
      </w:r>
    </w:p>
    <w:p w14:paraId="79066B4B" w14:textId="77777777" w:rsidR="00972CD1" w:rsidRPr="00766732" w:rsidRDefault="00972CD1" w:rsidP="0090025D">
      <w:pPr>
        <w:rPr>
          <w:i/>
        </w:rPr>
      </w:pPr>
      <w:r w:rsidRPr="00766732">
        <w:rPr>
          <w:i/>
        </w:rPr>
        <w:t xml:space="preserve">Manual Equivalent Method: EQPS-311-197 </w:t>
      </w:r>
    </w:p>
    <w:p w14:paraId="064F2478" w14:textId="77777777" w:rsidR="00972CD1" w:rsidRPr="00972CD1" w:rsidRDefault="00972CD1" w:rsidP="0090025D">
      <w:pPr>
        <w:rPr>
          <w:lang w:eastAsia="en-NZ"/>
        </w:rPr>
      </w:pPr>
      <w:r w:rsidRPr="00972CD1">
        <w:rPr>
          <w:lang w:eastAsia="en-NZ"/>
        </w:rPr>
        <w:t>“Thermo Scientific Partisol® 2000-D Dichotomous Air Sampler,” configured for dual-filter, single-event sampling of fine (PM</w:t>
      </w:r>
      <w:r w:rsidRPr="00D87D86">
        <w:rPr>
          <w:vertAlign w:val="subscript"/>
          <w:lang w:eastAsia="en-NZ"/>
        </w:rPr>
        <w:t>2.5</w:t>
      </w:r>
      <w:r w:rsidRPr="00972CD1">
        <w:rPr>
          <w:lang w:eastAsia="en-NZ"/>
        </w:rPr>
        <w:t>) and coarse (PM</w:t>
      </w:r>
      <w:r w:rsidRPr="002504E1">
        <w:rPr>
          <w:vertAlign w:val="subscript"/>
          <w:lang w:eastAsia="en-NZ"/>
        </w:rPr>
        <w:t>10-2.5</w:t>
      </w:r>
      <w:r w:rsidRPr="00972CD1">
        <w:rPr>
          <w:lang w:eastAsia="en-NZ"/>
        </w:rPr>
        <w:t xml:space="preserve">) particles, using a virtual impactor to separate fine and coarse PM into two samples for collection on two separate filter membranes, operated for a 24-hour sample period and in accordance with the Thermo Scientific Partisol® 2000-D Dichotomous Operating Manual. </w:t>
      </w:r>
    </w:p>
    <w:p w14:paraId="2536CBC3" w14:textId="77777777" w:rsidR="00972CD1" w:rsidRPr="00766732" w:rsidRDefault="00972CD1" w:rsidP="0090025D">
      <w:pPr>
        <w:rPr>
          <w:i/>
          <w:lang w:eastAsia="en-NZ"/>
        </w:rPr>
      </w:pPr>
      <w:r w:rsidRPr="00766732">
        <w:rPr>
          <w:i/>
          <w:lang w:eastAsia="en-NZ"/>
        </w:rPr>
        <w:t xml:space="preserve">Federal Register: Vol. 76, page 15974, 03/22/11 </w:t>
      </w:r>
    </w:p>
    <w:p w14:paraId="4233CC36" w14:textId="77777777" w:rsidR="00A44535" w:rsidRPr="00972CD1" w:rsidRDefault="00A44535" w:rsidP="0090025D">
      <w:pPr>
        <w:rPr>
          <w:lang w:eastAsia="en-NZ"/>
        </w:rPr>
      </w:pPr>
    </w:p>
    <w:p w14:paraId="582DFB53" w14:textId="77777777" w:rsidR="00972CD1" w:rsidRPr="00766732" w:rsidRDefault="00972CD1" w:rsidP="0090025D">
      <w:pPr>
        <w:rPr>
          <w:b/>
          <w:lang w:eastAsia="en-NZ"/>
        </w:rPr>
      </w:pPr>
      <w:r w:rsidRPr="00766732">
        <w:rPr>
          <w:b/>
          <w:lang w:eastAsia="en-NZ"/>
        </w:rPr>
        <w:t>Thermo Scientific Partisol® 2000-FRM PM</w:t>
      </w:r>
      <w:r w:rsidRPr="00766732">
        <w:rPr>
          <w:b/>
          <w:vertAlign w:val="subscript"/>
          <w:lang w:eastAsia="en-NZ"/>
        </w:rPr>
        <w:t>10</w:t>
      </w:r>
      <w:r w:rsidRPr="00766732">
        <w:rPr>
          <w:b/>
          <w:lang w:eastAsia="en-NZ"/>
        </w:rPr>
        <w:t xml:space="preserve"> Air Sampler or Rupprecht and Patashnick Partisol®-FRM 2000 PM</w:t>
      </w:r>
      <w:r w:rsidRPr="00766732">
        <w:rPr>
          <w:b/>
          <w:vertAlign w:val="subscript"/>
          <w:lang w:eastAsia="en-NZ"/>
        </w:rPr>
        <w:t>10</w:t>
      </w:r>
      <w:r w:rsidRPr="00766732">
        <w:rPr>
          <w:b/>
          <w:lang w:eastAsia="en-NZ"/>
        </w:rPr>
        <w:t xml:space="preserve"> Air Sampler </w:t>
      </w:r>
    </w:p>
    <w:p w14:paraId="770F7278" w14:textId="77777777" w:rsidR="00972CD1" w:rsidRPr="00766732" w:rsidRDefault="00972CD1" w:rsidP="0090025D">
      <w:pPr>
        <w:rPr>
          <w:i/>
        </w:rPr>
      </w:pPr>
      <w:r w:rsidRPr="00766732">
        <w:rPr>
          <w:i/>
        </w:rPr>
        <w:t xml:space="preserve">Manual Reference Method: RFPS-1298-126 </w:t>
      </w:r>
    </w:p>
    <w:p w14:paraId="26A76533" w14:textId="77777777" w:rsidR="00972CD1" w:rsidRPr="00972CD1" w:rsidRDefault="00972CD1" w:rsidP="0090025D">
      <w:pPr>
        <w:rPr>
          <w:lang w:eastAsia="en-NZ"/>
        </w:rPr>
      </w:pPr>
      <w:r w:rsidRPr="00972CD1">
        <w:rPr>
          <w:lang w:eastAsia="en-NZ"/>
        </w:rPr>
        <w:t>“Thermo Scientific Partisol® 2000-FRM PM</w:t>
      </w:r>
      <w:r w:rsidRPr="002504E1">
        <w:rPr>
          <w:vertAlign w:val="subscript"/>
          <w:lang w:eastAsia="en-NZ"/>
        </w:rPr>
        <w:t>10</w:t>
      </w:r>
      <w:r w:rsidRPr="00972CD1">
        <w:rPr>
          <w:lang w:eastAsia="en-NZ"/>
        </w:rPr>
        <w:t xml:space="preserve"> Air Sampler” or “Rupprecht and Patashnick Partisol®-FRM 2000 PM</w:t>
      </w:r>
      <w:r w:rsidRPr="002504E1">
        <w:rPr>
          <w:vertAlign w:val="subscript"/>
          <w:lang w:eastAsia="en-NZ"/>
        </w:rPr>
        <w:t xml:space="preserve">10 </w:t>
      </w:r>
      <w:r w:rsidRPr="00972CD1">
        <w:rPr>
          <w:lang w:eastAsia="en-NZ"/>
        </w:rPr>
        <w:t>Air Sampler,” with PM</w:t>
      </w:r>
      <w:r w:rsidRPr="002504E1">
        <w:rPr>
          <w:vertAlign w:val="subscript"/>
          <w:lang w:eastAsia="en-NZ"/>
        </w:rPr>
        <w:t>10</w:t>
      </w:r>
      <w:r w:rsidRPr="00972CD1">
        <w:rPr>
          <w:lang w:eastAsia="en-NZ"/>
        </w:rPr>
        <w:t xml:space="preserve"> inlet or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in accordance with the Model 2000 Instruction Manual and with the requirements specified in 40 CFR Part 50, Appendix J or Appendix M. </w:t>
      </w:r>
    </w:p>
    <w:p w14:paraId="7EE215E3" w14:textId="77777777" w:rsidR="00A44535" w:rsidRPr="00766732" w:rsidRDefault="00972CD1" w:rsidP="0090025D">
      <w:pPr>
        <w:rPr>
          <w:i/>
          <w:lang w:eastAsia="en-NZ"/>
        </w:rPr>
      </w:pPr>
      <w:r w:rsidRPr="00766732">
        <w:rPr>
          <w:i/>
          <w:lang w:eastAsia="en-NZ"/>
        </w:rPr>
        <w:t>Federal Register: Vol. 63, page 69625, 12/17/98</w:t>
      </w:r>
    </w:p>
    <w:p w14:paraId="426EA6CB" w14:textId="77777777" w:rsidR="00972CD1" w:rsidRPr="00972CD1" w:rsidRDefault="00972CD1" w:rsidP="0090025D">
      <w:pPr>
        <w:rPr>
          <w:lang w:eastAsia="en-NZ"/>
        </w:rPr>
      </w:pPr>
      <w:r w:rsidRPr="00972CD1">
        <w:rPr>
          <w:lang w:eastAsia="en-NZ"/>
        </w:rPr>
        <w:t xml:space="preserve"> </w:t>
      </w:r>
    </w:p>
    <w:p w14:paraId="2A018101" w14:textId="77777777" w:rsidR="00972CD1" w:rsidRPr="00766732" w:rsidRDefault="00972CD1" w:rsidP="0090025D">
      <w:pPr>
        <w:rPr>
          <w:b/>
          <w:lang w:eastAsia="en-NZ"/>
        </w:rPr>
      </w:pPr>
      <w:r w:rsidRPr="00766732">
        <w:rPr>
          <w:b/>
          <w:lang w:eastAsia="en-NZ"/>
        </w:rPr>
        <w:t>Thermo Scientific Partisol®-Plus 2025 PM</w:t>
      </w:r>
      <w:r w:rsidRPr="00766732">
        <w:rPr>
          <w:b/>
          <w:vertAlign w:val="subscript"/>
          <w:lang w:eastAsia="en-NZ"/>
        </w:rPr>
        <w:t>10</w:t>
      </w:r>
      <w:r w:rsidRPr="00766732">
        <w:rPr>
          <w:b/>
          <w:lang w:eastAsia="en-NZ"/>
        </w:rPr>
        <w:t xml:space="preserve"> Sequential Air Sampler or Rupprecht and Patashnick Partisol®-Plus 2025 PM</w:t>
      </w:r>
      <w:r w:rsidRPr="00766732">
        <w:rPr>
          <w:b/>
          <w:vertAlign w:val="subscript"/>
          <w:lang w:eastAsia="en-NZ"/>
        </w:rPr>
        <w:t>10</w:t>
      </w:r>
      <w:r w:rsidRPr="00766732">
        <w:rPr>
          <w:b/>
          <w:lang w:eastAsia="en-NZ"/>
        </w:rPr>
        <w:t xml:space="preserve"> Sequential Air Sampler </w:t>
      </w:r>
    </w:p>
    <w:p w14:paraId="16BED33D" w14:textId="77777777" w:rsidR="00972CD1" w:rsidRPr="00766732" w:rsidRDefault="00972CD1" w:rsidP="0090025D">
      <w:pPr>
        <w:rPr>
          <w:i/>
        </w:rPr>
      </w:pPr>
      <w:r w:rsidRPr="00766732">
        <w:rPr>
          <w:i/>
        </w:rPr>
        <w:t xml:space="preserve">Manual Reference Method: RFPS-1298-127 </w:t>
      </w:r>
    </w:p>
    <w:p w14:paraId="31BA96C4" w14:textId="77777777" w:rsidR="00972CD1" w:rsidRPr="00972CD1" w:rsidRDefault="00972CD1" w:rsidP="0090025D">
      <w:pPr>
        <w:rPr>
          <w:lang w:eastAsia="en-NZ"/>
        </w:rPr>
      </w:pPr>
      <w:r w:rsidRPr="00972CD1">
        <w:rPr>
          <w:lang w:eastAsia="en-NZ"/>
        </w:rPr>
        <w:t>“Thermo Scientific Partisol®-Plus 2025 Sequential Air Sampler” or “Rupprecht and Patashnick Company Partisol®-Plus Model 2025 PM</w:t>
      </w:r>
      <w:r w:rsidRPr="002504E1">
        <w:rPr>
          <w:vertAlign w:val="subscript"/>
          <w:lang w:eastAsia="en-NZ"/>
        </w:rPr>
        <w:t>10</w:t>
      </w:r>
      <w:r w:rsidRPr="00972CD1">
        <w:rPr>
          <w:lang w:eastAsia="en-NZ"/>
        </w:rPr>
        <w:t xml:space="preserve"> Sequential Air Sampler,” with PM</w:t>
      </w:r>
      <w:r w:rsidRPr="002504E1">
        <w:rPr>
          <w:vertAlign w:val="subscript"/>
          <w:lang w:eastAsia="en-NZ"/>
        </w:rPr>
        <w:t>10</w:t>
      </w:r>
      <w:r w:rsidRPr="00972CD1">
        <w:rPr>
          <w:lang w:eastAsia="en-NZ"/>
        </w:rPr>
        <w:t xml:space="preserve"> inlet or louvered inlet specified in 40 CFR 50 Appendix L, Figs. L-2 thru L-19, configured as a PM</w:t>
      </w:r>
      <w:r w:rsidRPr="002504E1">
        <w:rPr>
          <w:vertAlign w:val="subscript"/>
          <w:lang w:eastAsia="en-NZ"/>
        </w:rPr>
        <w:t>10</w:t>
      </w:r>
      <w:r w:rsidRPr="00972CD1">
        <w:rPr>
          <w:lang w:eastAsia="en-NZ"/>
        </w:rPr>
        <w:t xml:space="preserve"> reference method, and operated for 24-hour continuous sample periods in accordance with the Model 2025 Instruction Manual and with the requirements specified in 40 CFR Part 50, Appendix J or Appendix M. </w:t>
      </w:r>
    </w:p>
    <w:p w14:paraId="5E369B3E" w14:textId="77777777" w:rsidR="00A44535" w:rsidRPr="004B3770" w:rsidRDefault="00972CD1" w:rsidP="0090025D">
      <w:pPr>
        <w:rPr>
          <w:i/>
          <w:lang w:eastAsia="en-NZ"/>
        </w:rPr>
      </w:pPr>
      <w:r w:rsidRPr="004B3770">
        <w:rPr>
          <w:i/>
          <w:lang w:eastAsia="en-NZ"/>
        </w:rPr>
        <w:t xml:space="preserve">Federal Register: Vol. 63, page 69625, 12/17/98 </w:t>
      </w:r>
    </w:p>
    <w:p w14:paraId="6FEE82A5" w14:textId="77777777" w:rsidR="00A44535" w:rsidRDefault="00A44535" w:rsidP="0090025D">
      <w:pPr>
        <w:rPr>
          <w:lang w:eastAsia="en-NZ"/>
        </w:rPr>
      </w:pPr>
    </w:p>
    <w:p w14:paraId="2C16EE13" w14:textId="77777777" w:rsidR="00972CD1" w:rsidRPr="004B3770" w:rsidRDefault="00972CD1" w:rsidP="0090025D">
      <w:pPr>
        <w:rPr>
          <w:b/>
          <w:lang w:eastAsia="en-NZ"/>
        </w:rPr>
      </w:pPr>
      <w:r w:rsidRPr="004B3770">
        <w:rPr>
          <w:b/>
          <w:lang w:eastAsia="en-NZ"/>
        </w:rPr>
        <w:t xml:space="preserve">Thermo Scientific Dichotomous Partisol®-Plus Model 2025-D Sequential Air Sampler </w:t>
      </w:r>
    </w:p>
    <w:p w14:paraId="06B82BBE" w14:textId="77777777" w:rsidR="00972CD1" w:rsidRPr="004B3770" w:rsidRDefault="00972CD1" w:rsidP="0090025D">
      <w:pPr>
        <w:rPr>
          <w:i/>
        </w:rPr>
      </w:pPr>
      <w:r w:rsidRPr="004B3770">
        <w:rPr>
          <w:i/>
        </w:rPr>
        <w:t xml:space="preserve">Manual Equivalent Method: EQPS-0311-198 </w:t>
      </w:r>
    </w:p>
    <w:p w14:paraId="6272CD85" w14:textId="77777777" w:rsidR="00972CD1" w:rsidRPr="00972CD1" w:rsidRDefault="00972CD1" w:rsidP="0090025D">
      <w:pPr>
        <w:rPr>
          <w:lang w:eastAsia="en-NZ"/>
        </w:rPr>
      </w:pPr>
      <w:r w:rsidRPr="00972CD1">
        <w:rPr>
          <w:lang w:eastAsia="en-NZ"/>
        </w:rPr>
        <w:t>“Thermo Scientific Dichotomous Partisol®-Plus Model 2025-D Sequential Air Sampler,” configured for dual-filter sampling of fine (PM</w:t>
      </w:r>
      <w:r w:rsidRPr="00D87D86">
        <w:rPr>
          <w:vertAlign w:val="subscript"/>
          <w:lang w:eastAsia="en-NZ"/>
        </w:rPr>
        <w:t>2.5</w:t>
      </w:r>
      <w:r w:rsidRPr="00972CD1">
        <w:rPr>
          <w:lang w:eastAsia="en-NZ"/>
        </w:rPr>
        <w:t>) and coarse (PM</w:t>
      </w:r>
      <w:r w:rsidRPr="002504E1">
        <w:rPr>
          <w:vertAlign w:val="subscript"/>
          <w:lang w:eastAsia="en-NZ"/>
        </w:rPr>
        <w:t>10-2.5</w:t>
      </w:r>
      <w:r w:rsidRPr="00972CD1">
        <w:rPr>
          <w:lang w:eastAsia="en-NZ"/>
        </w:rPr>
        <w:t xml:space="preserve">) particles, using a virtual impactor to separate the fine and coarse PM into two samples for collection on two separate filter membranes, and operated with the modified filter shuttle mechanism implemented May 31, 2008 and firmware version 1.500, or later, for 24-hour continuous sample periods and in accordance with the Dichotomous Partisol®-Plus Model 2025-D Sequential Air Sampler Operating Manual. </w:t>
      </w:r>
    </w:p>
    <w:p w14:paraId="69435BAE" w14:textId="77777777" w:rsidR="00A44535" w:rsidRPr="004B3770" w:rsidRDefault="00972CD1" w:rsidP="0090025D">
      <w:pPr>
        <w:rPr>
          <w:i/>
          <w:lang w:eastAsia="en-NZ"/>
        </w:rPr>
      </w:pPr>
      <w:r w:rsidRPr="004B3770">
        <w:rPr>
          <w:i/>
          <w:lang w:eastAsia="en-NZ"/>
        </w:rPr>
        <w:t>Federal Register: Vol. 76, page 15975, 03/22/11</w:t>
      </w:r>
    </w:p>
    <w:p w14:paraId="5820FF6C" w14:textId="77777777" w:rsidR="00972CD1" w:rsidRPr="00972CD1" w:rsidRDefault="00972CD1" w:rsidP="0090025D">
      <w:pPr>
        <w:rPr>
          <w:lang w:eastAsia="en-NZ"/>
        </w:rPr>
      </w:pPr>
      <w:r w:rsidRPr="00972CD1">
        <w:rPr>
          <w:lang w:eastAsia="en-NZ"/>
        </w:rPr>
        <w:t xml:space="preserve"> </w:t>
      </w:r>
    </w:p>
    <w:p w14:paraId="04F3AA94" w14:textId="77777777" w:rsidR="00972CD1" w:rsidRPr="004B3770" w:rsidRDefault="00972CD1" w:rsidP="0090025D">
      <w:pPr>
        <w:rPr>
          <w:b/>
          <w:lang w:eastAsia="en-NZ"/>
        </w:rPr>
      </w:pPr>
      <w:r w:rsidRPr="004B3770">
        <w:rPr>
          <w:b/>
          <w:lang w:eastAsia="en-NZ"/>
        </w:rPr>
        <w:t>Thermo Scientific TEOM® 1400AB/TEOM® 1405 Ambient Particulate Monitor or Rupprecht &amp; Patashnick TEOM® Series 1400/1400a PM</w:t>
      </w:r>
      <w:r w:rsidRPr="004B3770">
        <w:rPr>
          <w:b/>
          <w:vertAlign w:val="subscript"/>
          <w:lang w:eastAsia="en-NZ"/>
        </w:rPr>
        <w:t>10</w:t>
      </w:r>
      <w:r w:rsidRPr="004B3770">
        <w:rPr>
          <w:b/>
          <w:lang w:eastAsia="en-NZ"/>
        </w:rPr>
        <w:t xml:space="preserve"> Monitors </w:t>
      </w:r>
    </w:p>
    <w:p w14:paraId="12E3A92A" w14:textId="77777777" w:rsidR="00972CD1" w:rsidRPr="004B3770" w:rsidRDefault="00972CD1" w:rsidP="0090025D">
      <w:pPr>
        <w:rPr>
          <w:i/>
        </w:rPr>
      </w:pPr>
      <w:r w:rsidRPr="004B3770">
        <w:rPr>
          <w:i/>
        </w:rPr>
        <w:t xml:space="preserve">Automated Equivalent Method: EQPM-1090-079 </w:t>
      </w:r>
    </w:p>
    <w:p w14:paraId="42DD68FB" w14:textId="77777777" w:rsidR="00972CD1" w:rsidRPr="00972CD1" w:rsidRDefault="00972CD1" w:rsidP="0090025D">
      <w:pPr>
        <w:rPr>
          <w:lang w:eastAsia="en-NZ"/>
        </w:rPr>
      </w:pPr>
      <w:r w:rsidRPr="00972CD1">
        <w:rPr>
          <w:lang w:eastAsia="en-NZ"/>
        </w:rPr>
        <w:t>“Thermo Scientific TEOM® 1400AB [PM</w:t>
      </w:r>
      <w:r w:rsidRPr="002504E1">
        <w:rPr>
          <w:vertAlign w:val="subscript"/>
          <w:lang w:eastAsia="en-NZ"/>
        </w:rPr>
        <w:t>10</w:t>
      </w:r>
      <w:r w:rsidRPr="00972CD1">
        <w:rPr>
          <w:lang w:eastAsia="en-NZ"/>
        </w:rPr>
        <w:t xml:space="preserve">] Ambient Particulate Monitor” or “Rupprecht &amp; Patashnick TEOM® Series 1400 and Series 1400a PM-10 Monitors,” (including serial number prefixes 1400, 140A, 140AA, 140AB, 140AT, and 140UP, 1405A), consisting of the following components: TEOM® Sensor Unit; TEOM® Control Unit; Flow Splitter (3 liter/min sample flow); Teflon-Coated Glass Fiber Filter Cartridges; Rupprecht &amp; Patashnick PM-10 Inlet (part number 57-00596), Sierra-Andersen Model 246b PM-10 Inlet (16.7 liter/min) or louvered inlet specified in 40 CFR 50 Appendix L, Figs. L-2 thru L-19; operated for 24-hour average measurements, with the total mass averaging time set at 300 seconds, the mass rate/mass concentration averaging time set at 300 seconds, the gate time set at 2 seconds, and with or without any of the following options: Tripod; Outdoor Enclosure; Automatic Cartridge Collection Unit (Series 1400a only); Flow Splitter Adapter (for 1 or 2 liter/min sample flow). Thermo Scientific TEOM® 1405 Ambient Particulate Monitor with combined sensor and control units and redesigned mass transducer and user interface, operated in accordance with the Thermo Scientific TEOM® 1405 instrument manual. </w:t>
      </w:r>
    </w:p>
    <w:p w14:paraId="43112BEB" w14:textId="77777777" w:rsidR="00972CD1" w:rsidRPr="004B3770" w:rsidRDefault="00972CD1" w:rsidP="0090025D">
      <w:pPr>
        <w:rPr>
          <w:i/>
          <w:lang w:eastAsia="en-NZ"/>
        </w:rPr>
      </w:pPr>
      <w:r w:rsidRPr="004B3770">
        <w:rPr>
          <w:i/>
          <w:lang w:eastAsia="en-NZ"/>
        </w:rPr>
        <w:t xml:space="preserve">Federal Register: Vol. 55, page 43406, 10/29/90 </w:t>
      </w:r>
    </w:p>
    <w:p w14:paraId="04CE9BD5" w14:textId="77777777" w:rsidR="00972CD1" w:rsidRPr="004B3770" w:rsidRDefault="00972CD1" w:rsidP="0090025D">
      <w:pPr>
        <w:rPr>
          <w:i/>
          <w:lang w:eastAsia="en-NZ"/>
        </w:rPr>
      </w:pPr>
      <w:r w:rsidRPr="004B3770">
        <w:rPr>
          <w:i/>
          <w:lang w:eastAsia="en-NZ"/>
        </w:rPr>
        <w:t xml:space="preserve">Latest modification: 12/2008 </w:t>
      </w:r>
    </w:p>
    <w:p w14:paraId="053CFC78" w14:textId="77777777" w:rsidR="0014425D" w:rsidRPr="00972CD1" w:rsidRDefault="0014425D" w:rsidP="0090025D">
      <w:pPr>
        <w:rPr>
          <w:lang w:eastAsia="en-NZ"/>
        </w:rPr>
      </w:pPr>
    </w:p>
    <w:p w14:paraId="0FAE4304" w14:textId="77777777" w:rsidR="00972CD1" w:rsidRPr="004B3770" w:rsidRDefault="00972CD1" w:rsidP="0090025D">
      <w:pPr>
        <w:rPr>
          <w:b/>
          <w:lang w:eastAsia="en-NZ"/>
        </w:rPr>
      </w:pPr>
      <w:r w:rsidRPr="004B3770">
        <w:rPr>
          <w:b/>
          <w:lang w:eastAsia="en-NZ"/>
        </w:rPr>
        <w:t>Tisch Environmental Model TE-6070 PM</w:t>
      </w:r>
      <w:r w:rsidRPr="004B3770">
        <w:rPr>
          <w:b/>
          <w:vertAlign w:val="subscript"/>
          <w:lang w:eastAsia="en-NZ"/>
        </w:rPr>
        <w:t>10</w:t>
      </w:r>
      <w:r w:rsidRPr="004B3770">
        <w:rPr>
          <w:b/>
          <w:lang w:eastAsia="en-NZ"/>
        </w:rPr>
        <w:t xml:space="preserve"> High-Volume Air Sampler or New Star Environmental Model NS-6070 PM</w:t>
      </w:r>
      <w:r w:rsidRPr="004B3770">
        <w:rPr>
          <w:b/>
          <w:vertAlign w:val="subscript"/>
          <w:lang w:eastAsia="en-NZ"/>
        </w:rPr>
        <w:t>10</w:t>
      </w:r>
      <w:r w:rsidRPr="004B3770">
        <w:rPr>
          <w:b/>
          <w:lang w:eastAsia="en-NZ"/>
        </w:rPr>
        <w:t xml:space="preserve"> High-Volume Air Sampler </w:t>
      </w:r>
    </w:p>
    <w:p w14:paraId="2B4DA581" w14:textId="77777777" w:rsidR="00972CD1" w:rsidRPr="004B3770" w:rsidRDefault="00972CD1" w:rsidP="0090025D">
      <w:pPr>
        <w:rPr>
          <w:i/>
        </w:rPr>
      </w:pPr>
      <w:r w:rsidRPr="004B3770">
        <w:rPr>
          <w:i/>
        </w:rPr>
        <w:t xml:space="preserve">Manual Reference Method: RFPS-0202-141 </w:t>
      </w:r>
    </w:p>
    <w:p w14:paraId="5CD3106A" w14:textId="77777777" w:rsidR="00972CD1" w:rsidRPr="00972CD1" w:rsidRDefault="00972CD1" w:rsidP="0090025D">
      <w:pPr>
        <w:rPr>
          <w:lang w:eastAsia="en-NZ"/>
        </w:rPr>
      </w:pPr>
      <w:r w:rsidRPr="00972CD1">
        <w:rPr>
          <w:lang w:eastAsia="en-NZ"/>
        </w:rPr>
        <w:t>“Tisch Environmental Model TE-6070 or New Star Environmental Model NS-6070 PM</w:t>
      </w:r>
      <w:r w:rsidRPr="002504E1">
        <w:rPr>
          <w:vertAlign w:val="subscript"/>
          <w:lang w:eastAsia="en-NZ"/>
        </w:rPr>
        <w:t>10</w:t>
      </w:r>
      <w:r w:rsidRPr="00972CD1">
        <w:rPr>
          <w:lang w:eastAsia="en-NZ"/>
        </w:rPr>
        <w:t xml:space="preserve"> High-Volume Air Sampler,” consisting of a TE-6001 PM</w:t>
      </w:r>
      <w:r w:rsidRPr="002504E1">
        <w:rPr>
          <w:vertAlign w:val="subscript"/>
          <w:lang w:eastAsia="en-NZ"/>
        </w:rPr>
        <w:t>10</w:t>
      </w:r>
      <w:r w:rsidRPr="00972CD1">
        <w:rPr>
          <w:lang w:eastAsia="en-NZ"/>
        </w:rPr>
        <w:t xml:space="preserve"> size-selective inlet, 8" x 10" filter holder, aluminum outdoor shelter, mass flow controller or volumetric flow controller with brush or brushless motor, 7-day mechanical off/on-elapsed timer or 11-day digital off/on-elapsed timer, and any of the high volume sampler variants identified as TE-6070-BL or NS-6070-BL, TE-6070D or NS-6070D, TE-6070D-BL or NS-6070-BL, TE-6070V or NS-6070V, TE-6070V-BL or NS-6070V-BL, TE-6070-DV or NS-6070-DV, or TE-6070DV-BL or NS-6070DV-BL, with or without the optional stainless steel filter media holder/filter cartridge or continuous flow/pressure recorder. </w:t>
      </w:r>
    </w:p>
    <w:p w14:paraId="2829A872" w14:textId="77777777" w:rsidR="00972CD1" w:rsidRPr="004B3770" w:rsidRDefault="00972CD1" w:rsidP="0090025D">
      <w:pPr>
        <w:rPr>
          <w:i/>
          <w:lang w:eastAsia="en-NZ"/>
        </w:rPr>
      </w:pPr>
      <w:r w:rsidRPr="004B3770">
        <w:rPr>
          <w:i/>
          <w:lang w:eastAsia="en-NZ"/>
        </w:rPr>
        <w:t xml:space="preserve">Federal Register: Vol. 67, page 15566, 04/02/02 </w:t>
      </w:r>
    </w:p>
    <w:p w14:paraId="612FF381" w14:textId="77777777" w:rsidR="0014425D" w:rsidRPr="00972CD1" w:rsidRDefault="0014425D" w:rsidP="0090025D">
      <w:pPr>
        <w:rPr>
          <w:lang w:eastAsia="en-NZ"/>
        </w:rPr>
      </w:pPr>
    </w:p>
    <w:p w14:paraId="079D90C1" w14:textId="77777777" w:rsidR="00972CD1" w:rsidRPr="004B3770" w:rsidRDefault="00972CD1" w:rsidP="0090025D">
      <w:pPr>
        <w:rPr>
          <w:b/>
          <w:lang w:eastAsia="en-NZ"/>
        </w:rPr>
      </w:pPr>
      <w:r w:rsidRPr="004B3770">
        <w:rPr>
          <w:b/>
          <w:lang w:eastAsia="en-NZ"/>
        </w:rPr>
        <w:t>Wedding &amp; Associates' or Thermo Environmental Instruments Inc. Model 600 PM</w:t>
      </w:r>
      <w:r w:rsidRPr="004B3770">
        <w:rPr>
          <w:b/>
          <w:vertAlign w:val="subscript"/>
          <w:lang w:eastAsia="en-NZ"/>
        </w:rPr>
        <w:t>10</w:t>
      </w:r>
      <w:r w:rsidRPr="004B3770">
        <w:rPr>
          <w:b/>
          <w:lang w:eastAsia="en-NZ"/>
        </w:rPr>
        <w:t xml:space="preserve"> High-Volume Sampler </w:t>
      </w:r>
    </w:p>
    <w:p w14:paraId="42C6FD60" w14:textId="77777777" w:rsidR="00972CD1" w:rsidRPr="004B3770" w:rsidRDefault="00972CD1" w:rsidP="0090025D">
      <w:pPr>
        <w:rPr>
          <w:i/>
        </w:rPr>
      </w:pPr>
      <w:r w:rsidRPr="004B3770">
        <w:rPr>
          <w:i/>
        </w:rPr>
        <w:t xml:space="preserve">Manual Reference Method: RFPS-1087-062 </w:t>
      </w:r>
    </w:p>
    <w:p w14:paraId="66F32DBB" w14:textId="77777777" w:rsidR="00972CD1" w:rsidRPr="00972CD1" w:rsidRDefault="00972CD1" w:rsidP="0090025D">
      <w:pPr>
        <w:rPr>
          <w:lang w:eastAsia="en-NZ"/>
        </w:rPr>
      </w:pPr>
      <w:r w:rsidRPr="00972CD1">
        <w:rPr>
          <w:lang w:eastAsia="en-NZ"/>
        </w:rPr>
        <w:t>"Wedding &amp; Associates' or Thermo Environmental Instruments, Inc. Model 600 PM</w:t>
      </w:r>
      <w:r w:rsidRPr="002504E1">
        <w:rPr>
          <w:vertAlign w:val="subscript"/>
          <w:lang w:eastAsia="en-NZ"/>
        </w:rPr>
        <w:t>10</w:t>
      </w:r>
      <w:r w:rsidRPr="00972CD1">
        <w:rPr>
          <w:lang w:eastAsia="en-NZ"/>
        </w:rPr>
        <w:t xml:space="preserve"> Critical Flow High-Volume Sampler," consisting of the following W&amp;A/TEII components: PM</w:t>
      </w:r>
      <w:r w:rsidRPr="002504E1">
        <w:rPr>
          <w:vertAlign w:val="subscript"/>
          <w:lang w:eastAsia="en-NZ"/>
        </w:rPr>
        <w:t>10</w:t>
      </w:r>
      <w:r w:rsidRPr="00972CD1">
        <w:rPr>
          <w:lang w:eastAsia="en-NZ"/>
        </w:rPr>
        <w:t xml:space="preserve"> Inlet; Critical Flow Device; Anodized Aluminum Shelter; Blower Motor Assembly for 115, 220 or 240 VAC and 50/60 Hz; Mechanical Timer; Elapsed Time Indicator; and Filter Cartridge/Cassette, and with or without the following options: Digital Timer, 6 or 7 Day Timer, and 1 or 7 Day Pressure Recorder. </w:t>
      </w:r>
    </w:p>
    <w:p w14:paraId="1A2E4151" w14:textId="77777777" w:rsidR="00972CD1" w:rsidRPr="004B3770" w:rsidRDefault="00972CD1" w:rsidP="0090025D">
      <w:pPr>
        <w:rPr>
          <w:i/>
          <w:lang w:eastAsia="en-NZ"/>
        </w:rPr>
      </w:pPr>
      <w:r w:rsidRPr="004B3770">
        <w:rPr>
          <w:i/>
          <w:lang w:eastAsia="en-NZ"/>
        </w:rPr>
        <w:t xml:space="preserve">Federal Register: Vol. 52, page 37366, 10/06/87 </w:t>
      </w:r>
    </w:p>
    <w:p w14:paraId="7B8C86DB" w14:textId="77777777" w:rsidR="0014425D" w:rsidRPr="00972CD1" w:rsidRDefault="0014425D" w:rsidP="0090025D">
      <w:pPr>
        <w:rPr>
          <w:lang w:eastAsia="en-NZ"/>
        </w:rPr>
      </w:pPr>
    </w:p>
    <w:p w14:paraId="591E75DF" w14:textId="77777777" w:rsidR="00972CD1" w:rsidRPr="004B3770" w:rsidRDefault="00972CD1" w:rsidP="0090025D">
      <w:pPr>
        <w:rPr>
          <w:b/>
          <w:lang w:eastAsia="en-NZ"/>
        </w:rPr>
      </w:pPr>
      <w:r w:rsidRPr="004B3770">
        <w:rPr>
          <w:b/>
          <w:lang w:eastAsia="en-NZ"/>
        </w:rPr>
        <w:t>Wedding &amp; Associates' or Thermo Environmental Instruments Inc. Model 650 PM</w:t>
      </w:r>
      <w:r w:rsidRPr="004B3770">
        <w:rPr>
          <w:b/>
          <w:vertAlign w:val="subscript"/>
          <w:lang w:eastAsia="en-NZ"/>
        </w:rPr>
        <w:t>10</w:t>
      </w:r>
      <w:r w:rsidRPr="004B3770">
        <w:rPr>
          <w:b/>
          <w:lang w:eastAsia="en-NZ"/>
        </w:rPr>
        <w:t xml:space="preserve"> Beta Gauge </w:t>
      </w:r>
    </w:p>
    <w:p w14:paraId="009CBEA9" w14:textId="77777777" w:rsidR="00972CD1" w:rsidRPr="004B3770" w:rsidRDefault="00972CD1" w:rsidP="0090025D">
      <w:pPr>
        <w:rPr>
          <w:i/>
        </w:rPr>
      </w:pPr>
      <w:r w:rsidRPr="004B3770">
        <w:rPr>
          <w:i/>
        </w:rPr>
        <w:t xml:space="preserve">Automated Equivalent Method: EQPM-0391-081 </w:t>
      </w:r>
    </w:p>
    <w:p w14:paraId="184B1A49" w14:textId="77777777" w:rsidR="00972CD1" w:rsidRPr="00972CD1" w:rsidRDefault="00972CD1" w:rsidP="0090025D">
      <w:pPr>
        <w:rPr>
          <w:lang w:eastAsia="en-NZ"/>
        </w:rPr>
      </w:pPr>
      <w:r w:rsidRPr="00972CD1">
        <w:rPr>
          <w:lang w:eastAsia="en-NZ"/>
        </w:rPr>
        <w:t>“Wedding &amp; Associates' or Thermo Environmental Instruments, Inc. Model 650 PM</w:t>
      </w:r>
      <w:r w:rsidRPr="0099462F">
        <w:rPr>
          <w:vertAlign w:val="subscript"/>
          <w:lang w:eastAsia="en-NZ"/>
        </w:rPr>
        <w:t>10</w:t>
      </w:r>
      <w:r w:rsidRPr="00972CD1">
        <w:rPr>
          <w:lang w:eastAsia="en-NZ"/>
        </w:rPr>
        <w:t xml:space="preserve"> Beta Gauge Automated Particle Sampler,” consisting of the following W&amp;A/TEII components: Particle Sampling Module, PM</w:t>
      </w:r>
      <w:r w:rsidRPr="0099462F">
        <w:rPr>
          <w:vertAlign w:val="subscript"/>
          <w:lang w:eastAsia="en-NZ"/>
        </w:rPr>
        <w:t>10</w:t>
      </w:r>
      <w:r w:rsidRPr="00972CD1">
        <w:rPr>
          <w:lang w:eastAsia="en-NZ"/>
        </w:rPr>
        <w:t xml:space="preserve"> Inlet (18.9 liter/min), Inlet Tube and Support Ring, Vacuum Pump (115, 220 or 240 VAC and 50/60 Hz); and operated for 24-hour average measurements with glass fiber filter tape. </w:t>
      </w:r>
    </w:p>
    <w:p w14:paraId="143C218A" w14:textId="77777777" w:rsidR="00972CD1" w:rsidRPr="004B3770" w:rsidRDefault="00972CD1" w:rsidP="0090025D">
      <w:pPr>
        <w:rPr>
          <w:i/>
        </w:rPr>
      </w:pPr>
      <w:r w:rsidRPr="004B3770">
        <w:rPr>
          <w:i/>
          <w:lang w:eastAsia="en-NZ"/>
        </w:rPr>
        <w:t>Federal Register: Vol. 56, page 9216, 03/05/91</w:t>
      </w:r>
    </w:p>
    <w:p w14:paraId="61DF60E4" w14:textId="77777777" w:rsidR="00871718" w:rsidRPr="004B3770" w:rsidRDefault="00871718" w:rsidP="0090025D">
      <w:pPr>
        <w:rPr>
          <w:i/>
        </w:rPr>
        <w:sectPr w:rsidR="00871718" w:rsidRPr="004B3770" w:rsidSect="0019591E">
          <w:pgSz w:w="11907" w:h="16840" w:code="9"/>
          <w:pgMar w:top="1701" w:right="1418" w:bottom="1701" w:left="1418" w:header="567" w:footer="567" w:gutter="567"/>
          <w:cols w:space="720"/>
        </w:sectPr>
      </w:pPr>
    </w:p>
    <w:p w14:paraId="51950466" w14:textId="77777777" w:rsidR="00871718" w:rsidRDefault="00871718" w:rsidP="004B3770">
      <w:pPr>
        <w:pStyle w:val="Heading2"/>
        <w:spacing w:before="0"/>
      </w:pPr>
      <w:bookmarkStart w:id="378" w:name="_Toc300856647"/>
      <w:r>
        <w:t xml:space="preserve">Appendix 5: Example </w:t>
      </w:r>
      <w:r w:rsidR="00D752E1">
        <w:t>Offset Consent Conditions</w:t>
      </w:r>
      <w:bookmarkEnd w:id="378"/>
    </w:p>
    <w:p w14:paraId="5CD69F0F" w14:textId="77777777" w:rsidR="00871718" w:rsidRPr="006B04A5" w:rsidRDefault="00EC442B" w:rsidP="0090025D">
      <w:r>
        <w:t>Section 4.10.3</w:t>
      </w:r>
      <w:r w:rsidR="00096E9D" w:rsidRPr="006B04A5">
        <w:t xml:space="preserve"> discusses consent conditions for offsetting PM</w:t>
      </w:r>
      <w:r w:rsidR="00096E9D" w:rsidRPr="006B04A5">
        <w:rPr>
          <w:vertAlign w:val="subscript"/>
        </w:rPr>
        <w:t>10</w:t>
      </w:r>
      <w:r w:rsidR="00096E9D" w:rsidRPr="006B04A5">
        <w:t xml:space="preserve"> emissions from substantial sources in more detail.</w:t>
      </w:r>
    </w:p>
    <w:p w14:paraId="30A0F2C5" w14:textId="77777777" w:rsidR="006C631C" w:rsidRPr="006B04A5" w:rsidRDefault="006C631C" w:rsidP="0090025D"/>
    <w:p w14:paraId="298E2DC2" w14:textId="77777777" w:rsidR="001D1824" w:rsidRDefault="00871718" w:rsidP="007F0860">
      <w:pPr>
        <w:shd w:val="clear" w:color="auto" w:fill="D9D9D9"/>
      </w:pPr>
      <w:r w:rsidRPr="006B04A5">
        <w:t xml:space="preserve">The example consent conditions below </w:t>
      </w:r>
      <w:r w:rsidR="005F5CCE" w:rsidRPr="006B04A5">
        <w:t xml:space="preserve">may </w:t>
      </w:r>
      <w:r w:rsidRPr="006B04A5">
        <w:t>be used as a reference a</w:t>
      </w:r>
      <w:r w:rsidR="005B6D80">
        <w:t>nd starting point for Councils.</w:t>
      </w:r>
      <w:r w:rsidRPr="006B04A5">
        <w:t xml:space="preserve"> </w:t>
      </w:r>
      <w:r w:rsidR="001D1824" w:rsidRPr="006B04A5">
        <w:t xml:space="preserve">However, </w:t>
      </w:r>
      <w:r w:rsidR="001D1824" w:rsidRPr="007F0860">
        <w:rPr>
          <w:b/>
        </w:rPr>
        <w:t>t</w:t>
      </w:r>
      <w:r w:rsidRPr="007F0860">
        <w:rPr>
          <w:b/>
        </w:rPr>
        <w:t xml:space="preserve">hey </w:t>
      </w:r>
      <w:r w:rsidR="001D1824" w:rsidRPr="007F0860">
        <w:rPr>
          <w:b/>
        </w:rPr>
        <w:t xml:space="preserve">only </w:t>
      </w:r>
      <w:r w:rsidRPr="007F0860">
        <w:rPr>
          <w:b/>
        </w:rPr>
        <w:t xml:space="preserve">provide guidance on </w:t>
      </w:r>
      <w:r w:rsidR="00AA1BFE" w:rsidRPr="007F0860">
        <w:rPr>
          <w:b/>
        </w:rPr>
        <w:t xml:space="preserve">the subject matter </w:t>
      </w:r>
      <w:r w:rsidR="00AA1BFE" w:rsidRPr="006B04A5">
        <w:t>that may</w:t>
      </w:r>
      <w:r w:rsidRPr="006B04A5">
        <w:t xml:space="preserve"> need to be </w:t>
      </w:r>
      <w:r w:rsidR="00C312C5" w:rsidRPr="006B04A5">
        <w:t>incorporat</w:t>
      </w:r>
      <w:r w:rsidRPr="006B04A5">
        <w:t>ed</w:t>
      </w:r>
      <w:r w:rsidR="005D4307" w:rsidRPr="006B04A5">
        <w:t xml:space="preserve"> </w:t>
      </w:r>
      <w:r w:rsidR="005F5CCE" w:rsidRPr="006B04A5">
        <w:t>to achieve</w:t>
      </w:r>
      <w:r w:rsidR="005D4307" w:rsidRPr="006B04A5">
        <w:t xml:space="preserve"> offsets</w:t>
      </w:r>
      <w:r w:rsidR="006C631C" w:rsidRPr="006B04A5">
        <w:t>.</w:t>
      </w:r>
      <w:r w:rsidRPr="006B04A5">
        <w:t xml:space="preserve"> </w:t>
      </w:r>
      <w:r w:rsidR="00DE75E7" w:rsidRPr="006B04A5">
        <w:t>Specialist l</w:t>
      </w:r>
      <w:r w:rsidR="001D1824" w:rsidRPr="006B04A5">
        <w:t xml:space="preserve">egal </w:t>
      </w:r>
      <w:r w:rsidR="00096E9D" w:rsidRPr="006B04A5">
        <w:t xml:space="preserve">and planning </w:t>
      </w:r>
      <w:r w:rsidR="001D1824" w:rsidRPr="006B04A5">
        <w:t>advice</w:t>
      </w:r>
      <w:r w:rsidR="00096E9D" w:rsidRPr="006B04A5">
        <w:t xml:space="preserve"> </w:t>
      </w:r>
      <w:r w:rsidR="001D1824" w:rsidRPr="006B04A5">
        <w:t>should be sought</w:t>
      </w:r>
      <w:r w:rsidR="008218BD" w:rsidRPr="006B04A5">
        <w:t xml:space="preserve"> to ensure that </w:t>
      </w:r>
      <w:r w:rsidR="00DE75E7" w:rsidRPr="006B04A5">
        <w:t xml:space="preserve">conditions are </w:t>
      </w:r>
      <w:r w:rsidR="008218BD" w:rsidRPr="006B04A5">
        <w:t xml:space="preserve">drafted in a manner that will be </w:t>
      </w:r>
      <w:r w:rsidR="00096E9D" w:rsidRPr="006B04A5">
        <w:t xml:space="preserve">effective, efficient and </w:t>
      </w:r>
      <w:r w:rsidR="006C631C" w:rsidRPr="006B04A5">
        <w:t>enforceable</w:t>
      </w:r>
      <w:r w:rsidR="008218BD" w:rsidRPr="006B04A5">
        <w:t xml:space="preserve"> i</w:t>
      </w:r>
      <w:r w:rsidR="00D038EB" w:rsidRPr="006B04A5">
        <w:t>n case of dispute</w:t>
      </w:r>
      <w:r w:rsidR="001D1824" w:rsidRPr="006B04A5">
        <w:t>.</w:t>
      </w:r>
    </w:p>
    <w:p w14:paraId="4E7E3C2C" w14:textId="77777777" w:rsidR="001D1824" w:rsidRDefault="001D1824" w:rsidP="0090025D">
      <w:pPr>
        <w:pStyle w:val="Heading4"/>
      </w:pPr>
      <w:r>
        <w:t>Number of offsets required</w:t>
      </w:r>
    </w:p>
    <w:p w14:paraId="5BD755E0" w14:textId="77777777" w:rsidR="004E1451" w:rsidRDefault="004E1451" w:rsidP="007F0860">
      <w:pPr>
        <w:ind w:left="1134" w:hanging="567"/>
      </w:pPr>
      <w:r>
        <w:t>A.</w:t>
      </w:r>
      <w:r>
        <w:tab/>
      </w:r>
      <w:r w:rsidR="002776E5">
        <w:t xml:space="preserve">For the </w:t>
      </w:r>
      <w:r w:rsidR="00CF02F2">
        <w:t>duration</w:t>
      </w:r>
      <w:r w:rsidR="002776E5">
        <w:t xml:space="preserve"> of </w:t>
      </w:r>
      <w:r w:rsidR="00D038EB">
        <w:t xml:space="preserve">this </w:t>
      </w:r>
      <w:r w:rsidR="002776E5">
        <w:t>consent</w:t>
      </w:r>
      <w:r w:rsidR="00D05AA6">
        <w:t>,</w:t>
      </w:r>
      <w:r w:rsidR="002776E5">
        <w:t xml:space="preserve"> the </w:t>
      </w:r>
      <w:r w:rsidR="00E677E7">
        <w:t xml:space="preserve">Consent Holder </w:t>
      </w:r>
      <w:r w:rsidR="002776E5">
        <w:t xml:space="preserve">shall </w:t>
      </w:r>
      <w:r w:rsidR="00D05AA6">
        <w:t xml:space="preserve">reduce a mass emission discharged from another source or sources (offset) of no less than </w:t>
      </w:r>
      <w:r w:rsidR="00D05AA6" w:rsidRPr="00654FE1">
        <w:rPr>
          <w:i/>
        </w:rPr>
        <w:t>x</w:t>
      </w:r>
      <w:r w:rsidR="00D05AA6">
        <w:t xml:space="preserve"> tonnes per annum of PM</w:t>
      </w:r>
      <w:r w:rsidR="00D05AA6" w:rsidRPr="00654FE1">
        <w:rPr>
          <w:vertAlign w:val="subscript"/>
        </w:rPr>
        <w:t>10</w:t>
      </w:r>
      <w:r w:rsidR="00D05AA6">
        <w:t xml:space="preserve"> (from 1 January to 31 December annually)</w:t>
      </w:r>
      <w:r w:rsidR="002F5755">
        <w:t>.</w:t>
      </w:r>
      <w:r w:rsidR="00D05AA6">
        <w:t xml:space="preserve"> </w:t>
      </w:r>
    </w:p>
    <w:p w14:paraId="6F064FCF" w14:textId="77777777" w:rsidR="004E1451" w:rsidRDefault="004E1451" w:rsidP="007F0860">
      <w:pPr>
        <w:ind w:left="1134" w:hanging="567"/>
      </w:pPr>
    </w:p>
    <w:p w14:paraId="6030A571" w14:textId="77777777" w:rsidR="004E1451" w:rsidRDefault="004E1451" w:rsidP="007F0860">
      <w:pPr>
        <w:ind w:left="1134" w:hanging="567"/>
      </w:pPr>
      <w:r>
        <w:t>B1.</w:t>
      </w:r>
      <w:r>
        <w:tab/>
        <w:t>For the purposes of this consent</w:t>
      </w:r>
      <w:r w:rsidR="002F5755">
        <w:t>,</w:t>
      </w:r>
      <w:r>
        <w:t xml:space="preserve"> </w:t>
      </w:r>
      <w:r w:rsidR="002F5755">
        <w:t>the requirement of</w:t>
      </w:r>
      <w:r>
        <w:t xml:space="preserve"> condition A shall equate to the removal of no less than </w:t>
      </w:r>
      <w:r w:rsidRPr="00654FE1">
        <w:rPr>
          <w:i/>
        </w:rPr>
        <w:t>x</w:t>
      </w:r>
      <w:r>
        <w:t xml:space="preserve"> open fires or </w:t>
      </w:r>
      <w:r w:rsidRPr="00654FE1">
        <w:rPr>
          <w:i/>
        </w:rPr>
        <w:t>y</w:t>
      </w:r>
      <w:r>
        <w:t xml:space="preserve"> woodburners of over 10 years old each year (from 1 January to 31 December) and the replacement of these fires/woodburners with heat pumps or other forms of heating that do not discharge PM</w:t>
      </w:r>
      <w:r w:rsidRPr="00654FE1">
        <w:rPr>
          <w:vertAlign w:val="subscript"/>
        </w:rPr>
        <w:t>10</w:t>
      </w:r>
      <w:r>
        <w:t xml:space="preserve"> to air.</w:t>
      </w:r>
    </w:p>
    <w:p w14:paraId="4547D9F6" w14:textId="77777777" w:rsidR="004E1451" w:rsidRDefault="004E1451" w:rsidP="007F0860">
      <w:pPr>
        <w:ind w:left="1134" w:hanging="567"/>
      </w:pPr>
    </w:p>
    <w:p w14:paraId="70817A25" w14:textId="77777777" w:rsidR="004E1451" w:rsidRDefault="00C94976" w:rsidP="007F0860">
      <w:pPr>
        <w:ind w:left="1134" w:hanging="567"/>
      </w:pPr>
      <w:r>
        <w:tab/>
      </w:r>
      <w:r w:rsidR="004E1451">
        <w:t>Or</w:t>
      </w:r>
    </w:p>
    <w:p w14:paraId="3237DE18" w14:textId="77777777" w:rsidR="004E1451" w:rsidRDefault="004E1451" w:rsidP="007F0860">
      <w:pPr>
        <w:ind w:left="1134" w:hanging="567"/>
      </w:pPr>
    </w:p>
    <w:p w14:paraId="245013EA" w14:textId="77777777" w:rsidR="004E1451" w:rsidRDefault="004E1451" w:rsidP="007F0860">
      <w:pPr>
        <w:ind w:left="1134" w:hanging="567"/>
      </w:pPr>
      <w:r>
        <w:t>B2.</w:t>
      </w:r>
      <w:r>
        <w:tab/>
        <w:t>For the purposes of this consent</w:t>
      </w:r>
      <w:r w:rsidR="002F5755">
        <w:t>,</w:t>
      </w:r>
      <w:r>
        <w:t xml:space="preserve"> the requirement of condition A shall equate to the installation of particle traps that meet </w:t>
      </w:r>
      <w:r w:rsidR="007139B0">
        <w:t>[insert relevant standard]</w:t>
      </w:r>
      <w:r>
        <w:t xml:space="preserve"> on no less than </w:t>
      </w:r>
      <w:r w:rsidRPr="00654FE1">
        <w:rPr>
          <w:i/>
        </w:rPr>
        <w:t>z</w:t>
      </w:r>
      <w:r>
        <w:t xml:space="preserve"> Euro 1, or Euro 2 buses</w:t>
      </w:r>
      <w:r w:rsidR="00E677E7">
        <w:t>.</w:t>
      </w:r>
    </w:p>
    <w:p w14:paraId="2F18BFA4" w14:textId="77777777" w:rsidR="00E677E7" w:rsidRDefault="00E677E7" w:rsidP="007F0860">
      <w:pPr>
        <w:ind w:left="1134" w:hanging="567"/>
      </w:pPr>
    </w:p>
    <w:p w14:paraId="637CC2EE" w14:textId="77777777" w:rsidR="00E677E7" w:rsidRDefault="00E677E7" w:rsidP="007F0860">
      <w:pPr>
        <w:ind w:left="1134" w:hanging="567"/>
      </w:pPr>
      <w:r>
        <w:tab/>
        <w:t>Or</w:t>
      </w:r>
    </w:p>
    <w:p w14:paraId="444F01D2" w14:textId="77777777" w:rsidR="00E677E7" w:rsidRDefault="00E677E7" w:rsidP="007F0860">
      <w:pPr>
        <w:ind w:left="1134" w:hanging="567"/>
      </w:pPr>
    </w:p>
    <w:p w14:paraId="2605BB91" w14:textId="77777777" w:rsidR="00E677E7" w:rsidRDefault="00E677E7" w:rsidP="007F0860">
      <w:pPr>
        <w:ind w:left="1134" w:hanging="567"/>
      </w:pPr>
      <w:r>
        <w:t>B3.</w:t>
      </w:r>
      <w:r>
        <w:tab/>
        <w:t>For the purposes of this consent</w:t>
      </w:r>
      <w:r w:rsidR="002F5755">
        <w:t>,</w:t>
      </w:r>
      <w:r>
        <w:t xml:space="preserve"> the requirement of condition A shall equate to the removal of no less than </w:t>
      </w:r>
      <w:r w:rsidRPr="001D0E86">
        <w:rPr>
          <w:i/>
        </w:rPr>
        <w:t>x</w:t>
      </w:r>
      <w:r>
        <w:t xml:space="preserve"> 2 MW coal fired boilers.</w:t>
      </w:r>
    </w:p>
    <w:p w14:paraId="44F98131" w14:textId="77777777" w:rsidR="004E1451" w:rsidRDefault="004E1451" w:rsidP="007F0860">
      <w:pPr>
        <w:ind w:left="1134" w:hanging="567"/>
      </w:pPr>
    </w:p>
    <w:p w14:paraId="32DE14A3" w14:textId="77777777" w:rsidR="004E1451" w:rsidRDefault="004E1451" w:rsidP="007F0860">
      <w:pPr>
        <w:ind w:left="1134" w:hanging="567"/>
      </w:pPr>
      <w:r>
        <w:t>C.</w:t>
      </w:r>
      <w:r>
        <w:tab/>
        <w:t xml:space="preserve">Should the </w:t>
      </w:r>
      <w:r w:rsidR="00E677E7">
        <w:t xml:space="preserve">Consent Holder </w:t>
      </w:r>
      <w:r>
        <w:t>wish to undertake a combination of offset measures calculations shall be provided to council detailing how many woodburners, open fires</w:t>
      </w:r>
      <w:r w:rsidR="00E677E7">
        <w:t xml:space="preserve">, coal boilers </w:t>
      </w:r>
      <w:r>
        <w:t xml:space="preserve">and/or particle traps on buses will </w:t>
      </w:r>
      <w:r w:rsidR="00E677E7">
        <w:t xml:space="preserve">need </w:t>
      </w:r>
      <w:r>
        <w:t xml:space="preserve">be </w:t>
      </w:r>
      <w:r w:rsidR="00E677E7">
        <w:t>replaced</w:t>
      </w:r>
      <w:r>
        <w:t xml:space="preserve"> and how many </w:t>
      </w:r>
      <w:r w:rsidR="00E677E7">
        <w:t xml:space="preserve">of each </w:t>
      </w:r>
      <w:r>
        <w:t>form of heating that do discharge PM</w:t>
      </w:r>
      <w:r w:rsidRPr="001D0E86">
        <w:rPr>
          <w:vertAlign w:val="subscript"/>
        </w:rPr>
        <w:t>10</w:t>
      </w:r>
      <w:r>
        <w:t xml:space="preserve"> to air (eg, NES compliant woodburners) will be used as replacements.</w:t>
      </w:r>
      <w:r w:rsidR="001D0E86">
        <w:t xml:space="preserve"> </w:t>
      </w:r>
      <w:r w:rsidR="007139B0">
        <w:t>These calculations shall be undertaken using the emission factors given in [insert reference].</w:t>
      </w:r>
    </w:p>
    <w:p w14:paraId="0CCA70E8" w14:textId="77777777" w:rsidR="004E1451" w:rsidRDefault="004E1451" w:rsidP="007F0860">
      <w:pPr>
        <w:ind w:left="1134" w:hanging="567"/>
      </w:pPr>
    </w:p>
    <w:p w14:paraId="4D5A36E4" w14:textId="77777777" w:rsidR="001D1824" w:rsidRDefault="004E1451" w:rsidP="007F0860">
      <w:pPr>
        <w:ind w:left="1134" w:hanging="567"/>
      </w:pPr>
      <w:r>
        <w:t>Note: Realistically</w:t>
      </w:r>
      <w:r w:rsidR="00E677E7">
        <w:t>,</w:t>
      </w:r>
      <w:r>
        <w:t xml:space="preserve"> once regional councils have developed their own emission factors for offsets</w:t>
      </w:r>
      <w:r w:rsidR="00E677E7">
        <w:t>,</w:t>
      </w:r>
      <w:r>
        <w:t xml:space="preserve"> it is likely that </w:t>
      </w:r>
      <w:r w:rsidRPr="001D0E86">
        <w:rPr>
          <w:b/>
        </w:rPr>
        <w:t>how</w:t>
      </w:r>
      <w:r>
        <w:t xml:space="preserve"> the offsets are to be undertaken will be developed during the consent application process and that the consent conditions will be more a record of these outcomes</w:t>
      </w:r>
      <w:r w:rsidR="001D5FE1">
        <w:t>.</w:t>
      </w:r>
    </w:p>
    <w:p w14:paraId="18F8B507" w14:textId="77777777" w:rsidR="002776E5" w:rsidRDefault="002776E5" w:rsidP="0090025D">
      <w:pPr>
        <w:pStyle w:val="Heading4"/>
      </w:pPr>
      <w:r>
        <w:t>Process for offsetting</w:t>
      </w:r>
    </w:p>
    <w:p w14:paraId="18458C1C" w14:textId="77777777" w:rsidR="002776E5" w:rsidRDefault="002776E5" w:rsidP="0090025D">
      <w:pPr>
        <w:pStyle w:val="Heading5"/>
      </w:pPr>
      <w:r>
        <w:t>By Consent Holder</w:t>
      </w:r>
    </w:p>
    <w:p w14:paraId="3F1CDB59" w14:textId="77777777" w:rsidR="00E677E7" w:rsidRDefault="00D615B0" w:rsidP="007F0860">
      <w:pPr>
        <w:ind w:left="1134" w:hanging="567"/>
      </w:pPr>
      <w:r>
        <w:t>D</w:t>
      </w:r>
      <w:r w:rsidR="00E677E7">
        <w:t>.</w:t>
      </w:r>
      <w:r w:rsidR="00E677E7">
        <w:tab/>
        <w:t>The Consent Holder shall ensure that the requirements of condition</w:t>
      </w:r>
      <w:r w:rsidR="007139B0">
        <w:t xml:space="preserve"> A</w:t>
      </w:r>
      <w:r w:rsidR="00E677E7">
        <w:t xml:space="preserve"> are met</w:t>
      </w:r>
      <w:r>
        <w:t>.</w:t>
      </w:r>
      <w:r w:rsidR="00E677E7">
        <w:t xml:space="preserve"> </w:t>
      </w:r>
    </w:p>
    <w:p w14:paraId="5117C29E" w14:textId="77777777" w:rsidR="001D0E86" w:rsidRDefault="001D0E86">
      <w:pPr>
        <w:jc w:val="left"/>
        <w:rPr>
          <w:rFonts w:ascii="Arial" w:hAnsi="Arial"/>
          <w:bCs/>
          <w:i/>
          <w:iCs/>
          <w:szCs w:val="26"/>
        </w:rPr>
      </w:pPr>
      <w:r>
        <w:br w:type="page"/>
      </w:r>
    </w:p>
    <w:p w14:paraId="179206B6" w14:textId="77777777" w:rsidR="002776E5" w:rsidRDefault="002776E5" w:rsidP="0090025D">
      <w:pPr>
        <w:pStyle w:val="Heading5"/>
      </w:pPr>
      <w:r>
        <w:t>By Council</w:t>
      </w:r>
      <w:r w:rsidR="00D615B0">
        <w:t xml:space="preserve"> or another party</w:t>
      </w:r>
    </w:p>
    <w:p w14:paraId="58182964" w14:textId="77777777" w:rsidR="002776E5" w:rsidRDefault="00D615B0" w:rsidP="007F0860">
      <w:pPr>
        <w:ind w:left="1134" w:hanging="567"/>
      </w:pPr>
      <w:r>
        <w:t>D.</w:t>
      </w:r>
      <w:r>
        <w:tab/>
      </w:r>
      <w:r w:rsidR="005B6D80">
        <w:t>To</w:t>
      </w:r>
      <w:r>
        <w:t xml:space="preserve"> meet the requirements of conditions A and B the Consent Holder shall pay to [</w:t>
      </w:r>
      <w:r w:rsidRPr="007F0860">
        <w:rPr>
          <w:i/>
        </w:rPr>
        <w:t>council/other party</w:t>
      </w:r>
      <w:r>
        <w:t>] by [</w:t>
      </w:r>
      <w:r w:rsidRPr="007F0860">
        <w:rPr>
          <w:i/>
        </w:rPr>
        <w:t>date</w:t>
      </w:r>
      <w:r>
        <w:t xml:space="preserve">] each year a sum of not less than </w:t>
      </w:r>
      <w:r w:rsidRPr="00654FE1">
        <w:rPr>
          <w:i/>
        </w:rPr>
        <w:t>$[amount based on average cost per conversion</w:t>
      </w:r>
      <w:r w:rsidR="007F0860" w:rsidRPr="00654FE1">
        <w:rPr>
          <w:i/>
        </w:rPr>
        <w:t>]</w:t>
      </w:r>
      <w:r w:rsidR="007F0860">
        <w:t>.</w:t>
      </w:r>
      <w:r>
        <w:t xml:space="preserve"> Payment of this sum shall be deemed to meet the requirements of conditions A. and B.</w:t>
      </w:r>
      <w:r w:rsidRPr="007F0860">
        <w:rPr>
          <w:vertAlign w:val="superscript"/>
        </w:rPr>
        <w:footnoteReference w:id="23"/>
      </w:r>
    </w:p>
    <w:p w14:paraId="31F8C0CA" w14:textId="77777777" w:rsidR="00E677E7" w:rsidRDefault="00E677E7" w:rsidP="0090025D">
      <w:pPr>
        <w:pStyle w:val="Heading4"/>
      </w:pPr>
      <w:r>
        <w:t>Where offsetting must occur</w:t>
      </w:r>
    </w:p>
    <w:p w14:paraId="2F08C898" w14:textId="77777777" w:rsidR="00E677E7" w:rsidRDefault="00D615B0" w:rsidP="00654FE1">
      <w:pPr>
        <w:ind w:left="1134" w:hanging="567"/>
      </w:pPr>
      <w:r>
        <w:t>E.</w:t>
      </w:r>
      <w:r>
        <w:tab/>
      </w:r>
      <w:r w:rsidR="007139B0">
        <w:t xml:space="preserve">The offsets required by conditions A and B of this consent must be undertaken within the [airshed name] and within a distance of no more than </w:t>
      </w:r>
      <w:r w:rsidR="007139B0" w:rsidRPr="00654FE1">
        <w:rPr>
          <w:i/>
        </w:rPr>
        <w:t>x</w:t>
      </w:r>
      <w:r w:rsidR="007139B0">
        <w:t xml:space="preserve"> kilometres from the site boundary.</w:t>
      </w:r>
    </w:p>
    <w:p w14:paraId="7F04466F" w14:textId="77777777" w:rsidR="00871718" w:rsidRDefault="001D1824" w:rsidP="0090025D">
      <w:pPr>
        <w:pStyle w:val="Heading4"/>
      </w:pPr>
      <w:r>
        <w:t xml:space="preserve">Monitoring and </w:t>
      </w:r>
      <w:r w:rsidR="005B6D80">
        <w:t>recording</w:t>
      </w:r>
    </w:p>
    <w:p w14:paraId="620EFAA5" w14:textId="77777777" w:rsidR="001D1824" w:rsidRDefault="007139B0" w:rsidP="00654FE1">
      <w:pPr>
        <w:ind w:left="1134" w:hanging="567"/>
      </w:pPr>
      <w:r>
        <w:t>F.</w:t>
      </w:r>
      <w:r>
        <w:tab/>
        <w:t xml:space="preserve">At least every 12 months the </w:t>
      </w:r>
      <w:r w:rsidR="0031703B">
        <w:t xml:space="preserve">Consent Holder </w:t>
      </w:r>
      <w:r>
        <w:t>shall provide a report to the Council detailing whether the requirements of conditions A and B have been met a</w:t>
      </w:r>
      <w:r w:rsidR="00654FE1">
        <w:t xml:space="preserve">nd how this has been achieved. </w:t>
      </w:r>
      <w:r>
        <w:t>The report shall contain at least the following information:</w:t>
      </w:r>
    </w:p>
    <w:p w14:paraId="73B2828D" w14:textId="77777777" w:rsidR="007139B0" w:rsidRDefault="007139B0" w:rsidP="00654FE1">
      <w:pPr>
        <w:ind w:left="1134" w:hanging="567"/>
      </w:pPr>
    </w:p>
    <w:p w14:paraId="224749AB" w14:textId="77777777" w:rsidR="007139B0" w:rsidRDefault="007139B0" w:rsidP="00654FE1">
      <w:pPr>
        <w:ind w:left="1701" w:hanging="567"/>
      </w:pPr>
      <w:r>
        <w:t>a.</w:t>
      </w:r>
      <w:r>
        <w:tab/>
        <w:t>The number, type and location of any [insert (eg, open fires/woodburners] that have been replaced and what they have been replaced with.</w:t>
      </w:r>
    </w:p>
    <w:p w14:paraId="23E1F512" w14:textId="77777777" w:rsidR="007139B0" w:rsidRDefault="007139B0" w:rsidP="00654FE1">
      <w:pPr>
        <w:ind w:left="1701" w:hanging="567"/>
      </w:pPr>
    </w:p>
    <w:p w14:paraId="2E83861D" w14:textId="77777777" w:rsidR="007139B0" w:rsidRDefault="007139B0" w:rsidP="00654FE1">
      <w:pPr>
        <w:ind w:left="1701" w:hanging="567"/>
      </w:pPr>
      <w:r>
        <w:t>b.</w:t>
      </w:r>
      <w:r>
        <w:tab/>
        <w:t xml:space="preserve">An updated calculation </w:t>
      </w:r>
      <w:r w:rsidR="0031703B">
        <w:t>showing</w:t>
      </w:r>
      <w:r>
        <w:t xml:space="preserve"> how the number of </w:t>
      </w:r>
      <w:r w:rsidR="003F450C">
        <w:t xml:space="preserve">[insert (eg, </w:t>
      </w:r>
      <w:r>
        <w:t>fires/woodburners</w:t>
      </w:r>
      <w:r w:rsidR="003F450C">
        <w:t>]</w:t>
      </w:r>
      <w:r w:rsidR="0031703B">
        <w:t xml:space="preserve"> replaced complies with the requirements of condition A.</w:t>
      </w:r>
    </w:p>
    <w:p w14:paraId="06BCC075" w14:textId="77777777" w:rsidR="00871718" w:rsidRDefault="00871718" w:rsidP="0090025D"/>
    <w:p w14:paraId="12300BA5" w14:textId="77777777" w:rsidR="00871718" w:rsidRDefault="00871718" w:rsidP="0090025D">
      <w:pPr>
        <w:sectPr w:rsidR="00871718" w:rsidSect="0019591E">
          <w:pgSz w:w="11907" w:h="16840" w:code="9"/>
          <w:pgMar w:top="1701" w:right="1418" w:bottom="1701" w:left="1418" w:header="567" w:footer="567" w:gutter="567"/>
          <w:cols w:space="720"/>
        </w:sectPr>
      </w:pPr>
    </w:p>
    <w:p w14:paraId="583B62D3" w14:textId="77777777" w:rsidR="00871718" w:rsidRDefault="00871718" w:rsidP="001D0E86">
      <w:pPr>
        <w:pStyle w:val="Heading2"/>
        <w:spacing w:before="0"/>
      </w:pPr>
      <w:bookmarkStart w:id="379" w:name="_Toc300856648"/>
      <w:r>
        <w:t>Appendix 6: Open Fire Ban Public Notice</w:t>
      </w:r>
      <w:r w:rsidRPr="001A685A">
        <w:t xml:space="preserve"> </w:t>
      </w:r>
      <w:r>
        <w:t>Example</w:t>
      </w:r>
      <w:bookmarkEnd w:id="379"/>
    </w:p>
    <w:p w14:paraId="794B2718" w14:textId="77777777" w:rsidR="00871718" w:rsidRDefault="00871718" w:rsidP="0090025D">
      <w:pPr>
        <w:pStyle w:val="BodyText"/>
      </w:pPr>
      <w:r w:rsidRPr="006B04A5">
        <w:t xml:space="preserve">Regulation 24A </w:t>
      </w:r>
      <w:r w:rsidR="00096E9D" w:rsidRPr="006B04A5">
        <w:t>requires notice to be given of the new solid-fuel burning open fire ban</w:t>
      </w:r>
      <w:r w:rsidR="000B5B60" w:rsidRPr="006B04A5">
        <w:t>.</w:t>
      </w:r>
      <w:r w:rsidR="00096E9D" w:rsidRPr="006B04A5">
        <w:t xml:space="preserve"> This </w:t>
      </w:r>
      <w:r w:rsidR="005B6D80">
        <w:t xml:space="preserve">is discussed in section 5.3.4. </w:t>
      </w:r>
      <w:r w:rsidR="00096E9D" w:rsidRPr="006B04A5">
        <w:t xml:space="preserve">An example </w:t>
      </w:r>
      <w:r w:rsidR="005B6D80">
        <w:t>p</w:t>
      </w:r>
      <w:r w:rsidR="005B6D80" w:rsidRPr="006B04A5">
        <w:t xml:space="preserve">ublic </w:t>
      </w:r>
      <w:r w:rsidR="005B6D80">
        <w:t>n</w:t>
      </w:r>
      <w:r w:rsidR="005B6D80" w:rsidRPr="006B04A5">
        <w:t xml:space="preserve">otice </w:t>
      </w:r>
      <w:r w:rsidR="00096E9D" w:rsidRPr="006B04A5">
        <w:t xml:space="preserve">is given in </w:t>
      </w:r>
      <w:r w:rsidR="005B6D80">
        <w:t>f</w:t>
      </w:r>
      <w:r w:rsidR="005B6D80" w:rsidRPr="006B04A5">
        <w:t xml:space="preserve">igure </w:t>
      </w:r>
      <w:r w:rsidR="00096E9D" w:rsidRPr="006B04A5">
        <w:t>A6.1.</w:t>
      </w:r>
    </w:p>
    <w:p w14:paraId="5327B9E1" w14:textId="77777777" w:rsidR="00871718" w:rsidRDefault="00871718" w:rsidP="0090025D">
      <w:pPr>
        <w:pStyle w:val="BodyText"/>
      </w:pPr>
    </w:p>
    <w:p w14:paraId="3612D7D0" w14:textId="77777777" w:rsidR="00871718" w:rsidRDefault="00871718" w:rsidP="0090025D">
      <w:pPr>
        <w:pStyle w:val="Figureheading"/>
      </w:pPr>
      <w:bookmarkStart w:id="380" w:name="_Toc376785759"/>
      <w:r>
        <w:t>Figure A</w:t>
      </w:r>
      <w:r w:rsidR="002237FF">
        <w:t>6</w:t>
      </w:r>
      <w:r>
        <w:t>.1</w:t>
      </w:r>
      <w:r>
        <w:tab/>
      </w:r>
      <w:r w:rsidR="005B6D80">
        <w:tab/>
      </w:r>
      <w:r w:rsidR="005B6D80">
        <w:tab/>
      </w:r>
      <w:r>
        <w:t>Example Notice</w:t>
      </w:r>
      <w:r w:rsidR="00D752E1">
        <w:t xml:space="preserve"> to advise of new solid-fuel burning open fire ban</w:t>
      </w:r>
      <w:bookmarkEnd w:id="380"/>
    </w:p>
    <w:p w14:paraId="0BEE0FB2" w14:textId="77777777" w:rsidR="00C94976" w:rsidRPr="00D93B7C" w:rsidRDefault="00C94976" w:rsidP="00C94976">
      <w:pPr>
        <w:pStyle w:val="BodyText"/>
        <w:keepNext/>
        <w:pBdr>
          <w:top w:val="single" w:sz="4" w:space="1" w:color="auto"/>
          <w:left w:val="single" w:sz="4" w:space="4" w:color="auto"/>
          <w:bottom w:val="single" w:sz="4" w:space="1" w:color="auto"/>
          <w:right w:val="single" w:sz="4" w:space="4" w:color="auto"/>
        </w:pBdr>
        <w:ind w:left="567"/>
        <w:jc w:val="center"/>
        <w:rPr>
          <w:rFonts w:ascii="Arial" w:hAnsi="Arial" w:cs="Arial"/>
          <w:b/>
          <w:sz w:val="20"/>
        </w:rPr>
      </w:pPr>
      <w:r w:rsidRPr="00D93B7C">
        <w:rPr>
          <w:rFonts w:ascii="Arial" w:hAnsi="Arial" w:cs="Arial"/>
          <w:b/>
          <w:sz w:val="20"/>
        </w:rPr>
        <w:t>Solid-fuel burning open fire ban in [Utopian Airshed] from [date]</w:t>
      </w:r>
    </w:p>
    <w:p w14:paraId="46DCDDEE" w14:textId="77777777" w:rsidR="00C94976" w:rsidRPr="00D93B7C" w:rsidRDefault="00C94976" w:rsidP="00C94976">
      <w:pPr>
        <w:keepNext/>
        <w:pBdr>
          <w:top w:val="single" w:sz="4" w:space="1" w:color="auto"/>
          <w:left w:val="single" w:sz="4" w:space="4" w:color="auto"/>
          <w:bottom w:val="single" w:sz="4" w:space="1" w:color="auto"/>
          <w:right w:val="single" w:sz="4" w:space="4" w:color="auto"/>
        </w:pBdr>
        <w:ind w:left="567"/>
        <w:rPr>
          <w:rFonts w:ascii="Arial" w:hAnsi="Arial" w:cs="Arial"/>
          <w:sz w:val="20"/>
        </w:rPr>
      </w:pPr>
    </w:p>
    <w:p w14:paraId="223ACB21" w14:textId="77777777" w:rsidR="00C94976" w:rsidRPr="00D93B7C" w:rsidRDefault="00C94976" w:rsidP="00C94976">
      <w:pPr>
        <w:keepNext/>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The [</w:t>
      </w:r>
      <w:r w:rsidRPr="00D93B7C">
        <w:rPr>
          <w:rFonts w:ascii="Arial" w:hAnsi="Arial" w:cs="Arial"/>
          <w:i/>
          <w:sz w:val="20"/>
        </w:rPr>
        <w:t>Clean Air Regional Council</w:t>
      </w:r>
      <w:r w:rsidRPr="00D93B7C">
        <w:rPr>
          <w:rFonts w:ascii="Arial" w:hAnsi="Arial" w:cs="Arial"/>
          <w:sz w:val="20"/>
        </w:rPr>
        <w:t>] in accordance with the Resource Management (National Environmental Standards for Air Quality) Regulations 2004 is required to advise that pursuant to:</w:t>
      </w:r>
    </w:p>
    <w:p w14:paraId="448F7865" w14:textId="77777777" w:rsidR="00C94976" w:rsidRPr="00D93B7C" w:rsidRDefault="00C94976" w:rsidP="00C94976">
      <w:pPr>
        <w:pStyle w:val="Bullet"/>
        <w:numPr>
          <w:ilvl w:val="0"/>
          <w:numId w:val="14"/>
        </w:numPr>
        <w:pBdr>
          <w:top w:val="single" w:sz="4" w:space="1" w:color="auto"/>
          <w:left w:val="single" w:sz="4" w:space="4" w:color="auto"/>
          <w:bottom w:val="single" w:sz="4" w:space="1" w:color="auto"/>
          <w:right w:val="single" w:sz="4" w:space="4" w:color="auto"/>
        </w:pBdr>
        <w:ind w:left="851" w:hanging="284"/>
        <w:rPr>
          <w:rFonts w:ascii="Arial" w:hAnsi="Arial" w:cs="Arial"/>
          <w:sz w:val="20"/>
        </w:rPr>
      </w:pPr>
      <w:r w:rsidRPr="00D93B7C">
        <w:rPr>
          <w:rFonts w:ascii="Arial" w:hAnsi="Arial" w:cs="Arial"/>
          <w:sz w:val="20"/>
        </w:rPr>
        <w:t>Regulation 16, notice [</w:t>
      </w:r>
      <w:r w:rsidRPr="00D93B7C">
        <w:rPr>
          <w:rFonts w:ascii="Arial" w:hAnsi="Arial" w:cs="Arial"/>
          <w:i/>
          <w:sz w:val="20"/>
        </w:rPr>
        <w:t>is/was</w:t>
      </w:r>
      <w:r w:rsidRPr="00D93B7C">
        <w:rPr>
          <w:rFonts w:ascii="Arial" w:hAnsi="Arial" w:cs="Arial"/>
          <w:sz w:val="20"/>
        </w:rPr>
        <w:t>] given that on [</w:t>
      </w:r>
      <w:r w:rsidRPr="00D93B7C">
        <w:rPr>
          <w:rFonts w:ascii="Arial" w:hAnsi="Arial" w:cs="Arial"/>
          <w:i/>
          <w:sz w:val="20"/>
        </w:rPr>
        <w:t>date</w:t>
      </w:r>
      <w:r w:rsidRPr="00D93B7C">
        <w:rPr>
          <w:rFonts w:ascii="Arial" w:hAnsi="Arial" w:cs="Arial"/>
          <w:sz w:val="20"/>
        </w:rPr>
        <w:t>] at [</w:t>
      </w:r>
      <w:r w:rsidRPr="00D93B7C">
        <w:rPr>
          <w:rFonts w:ascii="Arial" w:hAnsi="Arial" w:cs="Arial"/>
          <w:i/>
          <w:sz w:val="20"/>
        </w:rPr>
        <w:t>monitoring</w:t>
      </w:r>
      <w:r w:rsidRPr="00D93B7C">
        <w:rPr>
          <w:rFonts w:ascii="Arial" w:hAnsi="Arial" w:cs="Arial"/>
          <w:sz w:val="20"/>
        </w:rPr>
        <w:t xml:space="preserve"> </w:t>
      </w:r>
      <w:r w:rsidRPr="00D93B7C">
        <w:rPr>
          <w:rFonts w:ascii="Arial" w:hAnsi="Arial" w:cs="Arial"/>
          <w:i/>
          <w:sz w:val="20"/>
        </w:rPr>
        <w:t>station</w:t>
      </w:r>
      <w:r w:rsidRPr="00D93B7C">
        <w:rPr>
          <w:rFonts w:ascii="Arial" w:hAnsi="Arial" w:cs="Arial"/>
          <w:sz w:val="20"/>
        </w:rPr>
        <w:t xml:space="preserve"> </w:t>
      </w:r>
      <w:r w:rsidRPr="00D93B7C">
        <w:rPr>
          <w:rFonts w:ascii="Arial" w:hAnsi="Arial" w:cs="Arial"/>
          <w:i/>
          <w:sz w:val="20"/>
        </w:rPr>
        <w:t>location</w:t>
      </w:r>
      <w:r w:rsidRPr="00D93B7C">
        <w:rPr>
          <w:rFonts w:ascii="Arial" w:hAnsi="Arial" w:cs="Arial"/>
          <w:sz w:val="20"/>
        </w:rPr>
        <w:t>] in [</w:t>
      </w:r>
      <w:r w:rsidRPr="00D93B7C">
        <w:rPr>
          <w:rFonts w:ascii="Arial" w:hAnsi="Arial" w:cs="Arial"/>
          <w:i/>
          <w:sz w:val="20"/>
        </w:rPr>
        <w:t>Utopian Airshed</w:t>
      </w:r>
      <w:r w:rsidRPr="00D93B7C">
        <w:rPr>
          <w:rFonts w:ascii="Arial" w:hAnsi="Arial" w:cs="Arial"/>
          <w:sz w:val="20"/>
        </w:rPr>
        <w:t>], a measurement of [</w:t>
      </w:r>
      <w:r w:rsidRPr="00D93B7C">
        <w:rPr>
          <w:rFonts w:ascii="Arial" w:hAnsi="Arial" w:cs="Arial"/>
          <w:i/>
          <w:sz w:val="20"/>
        </w:rPr>
        <w:t xml:space="preserve">x </w:t>
      </w:r>
      <w:r w:rsidRPr="00085592">
        <w:rPr>
          <w:rFonts w:ascii="Symbol" w:hAnsi="Symbol" w:cs="Arial"/>
          <w:i/>
          <w:sz w:val="20"/>
        </w:rPr>
        <w:t></w:t>
      </w:r>
      <w:r w:rsidRPr="00D93B7C">
        <w:rPr>
          <w:rFonts w:ascii="Arial" w:hAnsi="Arial" w:cs="Arial"/>
          <w:i/>
          <w:sz w:val="20"/>
        </w:rPr>
        <w:t>g.m</w:t>
      </w:r>
      <w:r w:rsidRPr="00D93B7C">
        <w:rPr>
          <w:rFonts w:ascii="Arial" w:hAnsi="Arial" w:cs="Arial"/>
          <w:i/>
          <w:sz w:val="20"/>
          <w:vertAlign w:val="superscript"/>
        </w:rPr>
        <w:t>-3</w:t>
      </w:r>
      <w:r w:rsidRPr="00D93B7C">
        <w:rPr>
          <w:rFonts w:ascii="Arial" w:hAnsi="Arial" w:cs="Arial"/>
          <w:sz w:val="20"/>
        </w:rPr>
        <w:t>] was recorded at [</w:t>
      </w:r>
      <w:r w:rsidRPr="00D93B7C">
        <w:rPr>
          <w:rFonts w:ascii="Arial" w:hAnsi="Arial" w:cs="Arial"/>
          <w:i/>
          <w:sz w:val="20"/>
        </w:rPr>
        <w:t>time</w:t>
      </w:r>
      <w:r w:rsidRPr="00D93B7C">
        <w:rPr>
          <w:rFonts w:ascii="Arial" w:hAnsi="Arial" w:cs="Arial"/>
          <w:sz w:val="20"/>
        </w:rPr>
        <w:t xml:space="preserve">].  This </w:t>
      </w:r>
      <w:r>
        <w:rPr>
          <w:rFonts w:ascii="Arial" w:hAnsi="Arial" w:cs="Arial"/>
          <w:sz w:val="20"/>
        </w:rPr>
        <w:t xml:space="preserve">is </w:t>
      </w:r>
      <w:r w:rsidRPr="00D93B7C">
        <w:rPr>
          <w:rFonts w:ascii="Arial" w:hAnsi="Arial" w:cs="Arial"/>
          <w:sz w:val="20"/>
        </w:rPr>
        <w:t>[</w:t>
      </w:r>
      <w:r w:rsidRPr="00D93B7C">
        <w:rPr>
          <w:rFonts w:ascii="Arial" w:hAnsi="Arial" w:cs="Arial"/>
          <w:i/>
          <w:sz w:val="20"/>
        </w:rPr>
        <w:t>the first/a</w:t>
      </w:r>
      <w:r w:rsidRPr="00D93B7C">
        <w:rPr>
          <w:rFonts w:ascii="Arial" w:hAnsi="Arial" w:cs="Arial"/>
          <w:sz w:val="20"/>
        </w:rPr>
        <w:t>] breach of the ambient standard for PM</w:t>
      </w:r>
      <w:r w:rsidRPr="00D93B7C">
        <w:rPr>
          <w:rFonts w:ascii="Arial" w:hAnsi="Arial" w:cs="Arial"/>
          <w:sz w:val="20"/>
          <w:vertAlign w:val="subscript"/>
        </w:rPr>
        <w:t>10</w:t>
      </w:r>
      <w:r w:rsidRPr="00D93B7C">
        <w:rPr>
          <w:rFonts w:ascii="Arial" w:hAnsi="Arial" w:cs="Arial"/>
          <w:sz w:val="20"/>
        </w:rPr>
        <w:t xml:space="preserve"> of 50 </w:t>
      </w:r>
      <w:r w:rsidRPr="00085592">
        <w:rPr>
          <w:rFonts w:ascii="Symbol" w:hAnsi="Symbol" w:cs="Arial"/>
          <w:sz w:val="20"/>
        </w:rPr>
        <w:t></w:t>
      </w:r>
      <w:r w:rsidRPr="00D93B7C">
        <w:rPr>
          <w:rFonts w:ascii="Arial" w:hAnsi="Arial" w:cs="Arial"/>
          <w:sz w:val="20"/>
        </w:rPr>
        <w:t>g.m</w:t>
      </w:r>
      <w:r w:rsidRPr="00D93B7C">
        <w:rPr>
          <w:rFonts w:ascii="Arial" w:hAnsi="Arial" w:cs="Arial"/>
          <w:sz w:val="20"/>
          <w:vertAlign w:val="superscript"/>
        </w:rPr>
        <w:t>-3</w:t>
      </w:r>
      <w:r w:rsidRPr="00D93B7C">
        <w:rPr>
          <w:rFonts w:ascii="Arial" w:hAnsi="Arial" w:cs="Arial"/>
          <w:sz w:val="20"/>
        </w:rPr>
        <w:t xml:space="preserve"> </w:t>
      </w:r>
      <w:r>
        <w:rPr>
          <w:rFonts w:ascii="Arial" w:hAnsi="Arial" w:cs="Arial"/>
          <w:sz w:val="20"/>
        </w:rPr>
        <w:t>as a 24-hour average</w:t>
      </w:r>
      <w:r w:rsidRPr="00D93B7C">
        <w:rPr>
          <w:rFonts w:ascii="Arial" w:hAnsi="Arial" w:cs="Arial"/>
          <w:sz w:val="20"/>
        </w:rPr>
        <w:t>.</w:t>
      </w:r>
    </w:p>
    <w:p w14:paraId="4F0A9880" w14:textId="77777777" w:rsidR="00C94976" w:rsidRPr="00D93B7C" w:rsidRDefault="00C94976" w:rsidP="00C94976">
      <w:pPr>
        <w:pStyle w:val="Bullet"/>
        <w:numPr>
          <w:ilvl w:val="0"/>
          <w:numId w:val="14"/>
        </w:numPr>
        <w:pBdr>
          <w:top w:val="single" w:sz="4" w:space="1" w:color="auto"/>
          <w:left w:val="single" w:sz="4" w:space="4" w:color="auto"/>
          <w:bottom w:val="single" w:sz="4" w:space="1" w:color="auto"/>
          <w:right w:val="single" w:sz="4" w:space="4" w:color="auto"/>
        </w:pBdr>
        <w:ind w:left="851" w:hanging="284"/>
        <w:rPr>
          <w:rFonts w:ascii="Arial" w:hAnsi="Arial" w:cs="Arial"/>
          <w:sz w:val="20"/>
        </w:rPr>
      </w:pPr>
      <w:r w:rsidRPr="00D93B7C">
        <w:rPr>
          <w:rFonts w:ascii="Arial" w:hAnsi="Arial" w:cs="Arial"/>
          <w:sz w:val="20"/>
        </w:rPr>
        <w:t>Regulation 24A(3) and (4) the discharge of particles from solid-fuel burning open fires within the [</w:t>
      </w:r>
      <w:r w:rsidRPr="00D93B7C">
        <w:rPr>
          <w:rFonts w:ascii="Arial" w:hAnsi="Arial" w:cs="Arial"/>
          <w:i/>
          <w:sz w:val="20"/>
        </w:rPr>
        <w:t>Utopian Airshed</w:t>
      </w:r>
      <w:r w:rsidRPr="00D93B7C">
        <w:rPr>
          <w:rFonts w:ascii="Arial" w:hAnsi="Arial" w:cs="Arial"/>
          <w:sz w:val="20"/>
        </w:rPr>
        <w:t>] installed on or after [</w:t>
      </w:r>
      <w:r w:rsidRPr="00D93B7C">
        <w:rPr>
          <w:rFonts w:ascii="Arial" w:hAnsi="Arial" w:cs="Arial"/>
          <w:i/>
          <w:sz w:val="20"/>
        </w:rPr>
        <w:t xml:space="preserve">date – 12 months after date of the </w:t>
      </w:r>
      <w:r>
        <w:rPr>
          <w:rFonts w:ascii="Arial" w:hAnsi="Arial" w:cs="Arial"/>
          <w:i/>
          <w:sz w:val="20"/>
        </w:rPr>
        <w:t xml:space="preserve">first </w:t>
      </w:r>
      <w:r w:rsidRPr="00D93B7C">
        <w:rPr>
          <w:rFonts w:ascii="Arial" w:hAnsi="Arial" w:cs="Arial"/>
          <w:i/>
          <w:sz w:val="20"/>
        </w:rPr>
        <w:t>breach</w:t>
      </w:r>
      <w:r w:rsidRPr="00D93B7C">
        <w:rPr>
          <w:rFonts w:ascii="Arial" w:hAnsi="Arial" w:cs="Arial"/>
          <w:sz w:val="20"/>
        </w:rPr>
        <w:t>] will be prohibited.</w:t>
      </w:r>
    </w:p>
    <w:p w14:paraId="64895039" w14:textId="77777777" w:rsidR="00C94976" w:rsidRPr="00D93B7C"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p>
    <w:p w14:paraId="02D77FDD" w14:textId="77777777" w:rsidR="00C94976" w:rsidRPr="00D93B7C"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 xml:space="preserve">For more information relating to this notice, </w:t>
      </w:r>
      <w:r>
        <w:rPr>
          <w:rFonts w:ascii="Arial" w:hAnsi="Arial" w:cs="Arial"/>
          <w:sz w:val="20"/>
        </w:rPr>
        <w:t xml:space="preserve">please contact [contact name] or </w:t>
      </w:r>
      <w:r w:rsidRPr="00D93B7C">
        <w:rPr>
          <w:rFonts w:ascii="Arial" w:hAnsi="Arial" w:cs="Arial"/>
          <w:sz w:val="20"/>
        </w:rPr>
        <w:t>see our website [</w:t>
      </w:r>
      <w:r w:rsidRPr="00D93B7C">
        <w:rPr>
          <w:rFonts w:ascii="Arial" w:hAnsi="Arial" w:cs="Arial"/>
          <w:i/>
          <w:sz w:val="20"/>
        </w:rPr>
        <w:t>website address</w:t>
      </w:r>
      <w:r w:rsidRPr="00D93B7C">
        <w:rPr>
          <w:rFonts w:ascii="Arial" w:hAnsi="Arial" w:cs="Arial"/>
          <w:sz w:val="20"/>
        </w:rPr>
        <w:t>].</w:t>
      </w:r>
    </w:p>
    <w:p w14:paraId="2050FD01" w14:textId="77777777" w:rsidR="00C94976" w:rsidRPr="00D93B7C"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p>
    <w:p w14:paraId="5E06E049" w14:textId="77777777" w:rsidR="00C94976"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r>
        <w:rPr>
          <w:rFonts w:ascii="Arial" w:hAnsi="Arial" w:cs="Arial"/>
          <w:sz w:val="20"/>
        </w:rPr>
        <w:t>CEO Name</w:t>
      </w:r>
    </w:p>
    <w:p w14:paraId="48D747F4" w14:textId="77777777" w:rsidR="00C94976" w:rsidRPr="00D93B7C"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Clean Air Regional Council</w:t>
      </w:r>
    </w:p>
    <w:p w14:paraId="05F04A04" w14:textId="77777777" w:rsidR="00C94976" w:rsidRPr="00D93B7C" w:rsidRDefault="00C94976" w:rsidP="00C94976">
      <w:pPr>
        <w:pBdr>
          <w:top w:val="single" w:sz="4" w:space="1" w:color="auto"/>
          <w:left w:val="single" w:sz="4" w:space="4" w:color="auto"/>
          <w:bottom w:val="single" w:sz="4" w:space="1" w:color="auto"/>
          <w:right w:val="single" w:sz="4" w:space="4" w:color="auto"/>
        </w:pBdr>
        <w:ind w:left="567"/>
        <w:rPr>
          <w:rFonts w:ascii="Arial" w:hAnsi="Arial" w:cs="Arial"/>
          <w:sz w:val="20"/>
        </w:rPr>
      </w:pPr>
      <w:r w:rsidRPr="00D93B7C">
        <w:rPr>
          <w:rFonts w:ascii="Arial" w:hAnsi="Arial" w:cs="Arial"/>
          <w:sz w:val="20"/>
        </w:rPr>
        <w:t>HEALTHY CITY</w:t>
      </w:r>
    </w:p>
    <w:p w14:paraId="6E541DEB" w14:textId="77777777" w:rsidR="00871718" w:rsidRDefault="00871718" w:rsidP="0090025D"/>
    <w:p w14:paraId="2C0CAF7E" w14:textId="77777777" w:rsidR="00096E9D" w:rsidRPr="00C94976" w:rsidRDefault="00096E9D" w:rsidP="0090025D">
      <w:pPr>
        <w:rPr>
          <w:b/>
        </w:rPr>
      </w:pPr>
      <w:r w:rsidRPr="00C94976">
        <w:rPr>
          <w:b/>
        </w:rPr>
        <w:t>Notes:</w:t>
      </w:r>
    </w:p>
    <w:p w14:paraId="7DB536A2" w14:textId="77777777" w:rsidR="00096E9D" w:rsidRDefault="00096E9D" w:rsidP="0090025D"/>
    <w:p w14:paraId="2BFDD818" w14:textId="77777777" w:rsidR="00096E9D" w:rsidRPr="006B04A5" w:rsidRDefault="00096E9D" w:rsidP="0090025D">
      <w:r w:rsidRPr="006B04A5">
        <w:t>1.</w:t>
      </w:r>
      <w:r w:rsidRPr="006B04A5">
        <w:rPr>
          <w:b/>
        </w:rPr>
        <w:tab/>
      </w:r>
      <w:r w:rsidRPr="006B04A5">
        <w:t xml:space="preserve">If this notice is also being used to meet the requirements of Regulation 16 then the notice </w:t>
      </w:r>
      <w:r w:rsidR="00C94976">
        <w:tab/>
      </w:r>
      <w:r w:rsidRPr="006B04A5">
        <w:t xml:space="preserve">must be given within </w:t>
      </w:r>
      <w:r w:rsidRPr="006B04A5">
        <w:rPr>
          <w:b/>
        </w:rPr>
        <w:t>one month</w:t>
      </w:r>
      <w:r w:rsidRPr="006B04A5">
        <w:t xml:space="preserve"> of the first breach occurring (rather than the six months </w:t>
      </w:r>
      <w:r w:rsidR="00C94976">
        <w:tab/>
      </w:r>
      <w:r w:rsidRPr="006B04A5">
        <w:t>allowed by Regulation 24).</w:t>
      </w:r>
    </w:p>
    <w:p w14:paraId="4457D248" w14:textId="77777777" w:rsidR="00096E9D" w:rsidRPr="006B04A5" w:rsidRDefault="00096E9D" w:rsidP="0090025D"/>
    <w:p w14:paraId="782AEB85" w14:textId="77777777" w:rsidR="00096E9D" w:rsidRPr="006B04A5" w:rsidRDefault="00096E9D" w:rsidP="0090025D">
      <w:r w:rsidRPr="006B04A5">
        <w:t>2.</w:t>
      </w:r>
      <w:r w:rsidRPr="006B04A5">
        <w:tab/>
        <w:t xml:space="preserve">This notice must be given in accordance with the requirement for public notices in the </w:t>
      </w:r>
      <w:r w:rsidR="00C94976">
        <w:tab/>
      </w:r>
      <w:r w:rsidRPr="006B04A5">
        <w:t>RMA (discussed in detail in section 3.7).</w:t>
      </w:r>
    </w:p>
    <w:p w14:paraId="219A4594" w14:textId="77777777" w:rsidR="00096E9D" w:rsidRPr="006B04A5" w:rsidRDefault="00096E9D" w:rsidP="0090025D"/>
    <w:p w14:paraId="366C06C6" w14:textId="77777777" w:rsidR="00096E9D" w:rsidRDefault="00096E9D" w:rsidP="0090025D">
      <w:pPr>
        <w:rPr>
          <w:b/>
        </w:rPr>
      </w:pPr>
      <w:r w:rsidRPr="006B04A5">
        <w:t>3.</w:t>
      </w:r>
      <w:r w:rsidRPr="006B04A5">
        <w:tab/>
        <w:t xml:space="preserve">The information shown is the minimum required by law. Councils may wish to add other </w:t>
      </w:r>
      <w:r w:rsidR="00C94976">
        <w:tab/>
      </w:r>
      <w:r w:rsidRPr="006B04A5">
        <w:t xml:space="preserve">information or to bring the open fire ban to the attention of the public in additional ways </w:t>
      </w:r>
      <w:r w:rsidR="00C94976">
        <w:tab/>
      </w:r>
      <w:r w:rsidRPr="006B04A5">
        <w:t xml:space="preserve">such as mail drops to professionals likely to be affected, or flyers sent out with new </w:t>
      </w:r>
      <w:r w:rsidR="00C94976">
        <w:tab/>
      </w:r>
      <w:r w:rsidRPr="006B04A5">
        <w:t>resource consent acknowledgements.</w:t>
      </w:r>
    </w:p>
    <w:p w14:paraId="694CA2C2" w14:textId="77777777" w:rsidR="00096E9D" w:rsidRDefault="00096E9D" w:rsidP="0090025D"/>
    <w:sectPr w:rsidR="00096E9D" w:rsidSect="0019591E">
      <w:pgSz w:w="11907" w:h="16840" w:code="9"/>
      <w:pgMar w:top="1701" w:right="1418" w:bottom="1701" w:left="1418" w:header="567" w:footer="567" w:gutter="567"/>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gBTAHUAYgAtAGwAaQBzAHQA" wne:acdName="acd3" wne:fciIndexBasedOn="0065"/>
    <wne:acd wne:argValue="AgBCAHUAbABsAGUAdAA=" wne:acdName="acd4" wne:fciIndexBasedOn="0065"/>
    <wne:acd wne:argValue="AgBHAGwAbwBzAHMAYQByAHkA" wne:acdName="acd5" wne:fciIndexBasedOn="0065"/>
    <wne:acd wne:argValue="AgBGAGkAZwB1AHIAZQAgAGgAZQBhAGQAaQBuAGcA" wne:acdName="acd6" wne:fciIndexBasedOn="0065"/>
    <wne:acd wne:argValue="AgBDAGEAcAB0AGkAbwBuAHMA" wne:acdName="acd7" wne:fciIndexBasedOn="0065"/>
    <wne:acd wne:argValue="AgBTAG8AdQByAGMAZQA=" wne:acdName="acd8" wne:fciIndexBasedOn="0065"/>
    <wne:acd wne:argValue="AQAAAAQA" wne:acdName="acd9" wne:fciIndexBasedOn="0065"/>
    <wne:acd wne:argValue="AgBUAGEAYgBsAGUAVABlAHgAdAA=" wne:acdName="acd10" wne:fciIndexBasedOn="0065"/>
    <wne:acd wne:argValue="AgBUAGEAYgBsAGUAVABlAHgAdAAgAGIAbwBsAGQA" wne:acdName="acd11" wne:fciIndexBasedOn="0065"/>
    <wne:acd wne:argValue="AQAAAB0A" wne:acdName="acd12" wne:fciIndexBasedOn="0065"/>
    <wne:acd wne:argValue="AgBSAGUAZgBlAHIAZQBuAGMAZQBzAA==" wne:acdName="acd13" wne:fciIndexBasedOn="0065"/>
    <wne:acd wne:argValue="AgBOAHUAbQBiAGUAcgBlAGQAIABwAGEAcgBhAGcAcgBhAHAAaAA=" wne:acdName="acd14" wne:fciIndexBasedOn="0065"/>
    <wne:acd wne:argValue="AgBOAG8AdABlAA==" wne:acdName="acd15" wne:fciIndexBasedOn="0065"/>
    <wne:acd wne:argValue="AgBUAGEAYgBsAGUAIABoAGUAYQBkAGkAbgBnAA==" wne:acdName="acd16" wne:fciIndexBasedOn="0065"/>
    <wne:acd wne:argValue="AQAAAEIA" wne:acdName="acd17" wne:fciIndexBasedOn="0065"/>
    <wne:acd wne:argValue="AgBUAGEAYgBsAGUAQgB1AGwAbABlAHQA" wne:acdName="acd18" wne:fciIndexBasedOn="0065"/>
    <wne:acd wne:argValue="AgBRAHUAbwB0AGUA" wne:acdName="acd19" wne:fciIndexBasedOn="0065"/>
    <wne:acd wne:argValue="AgBTAHUAYgAtAGwAaQBzAHQAIABhACwAYgA=" wne:acdName="acd20" wne:fciIndexBasedOn="0065"/>
    <wne:acd wne:argValue="AgBTAHUAYgAtAGwAaQBzAHQAIABpACwAaQBpAA==" wne:acdName="acd21" wne:fciIndexBasedOn="0065"/>
    <wne:acd wne:argValue="AgBUAGEAYgBsAGUARABhAHMAaAA=" wne:acdName="acd2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193F" w14:textId="77777777" w:rsidR="0065374A" w:rsidRDefault="0065374A" w:rsidP="0090025D">
      <w:r>
        <w:separator/>
      </w:r>
    </w:p>
    <w:p w14:paraId="422E42CE" w14:textId="77777777" w:rsidR="0065374A" w:rsidRDefault="0065374A" w:rsidP="0090025D"/>
  </w:endnote>
  <w:endnote w:type="continuationSeparator" w:id="0">
    <w:p w14:paraId="50845E1E" w14:textId="77777777" w:rsidR="0065374A" w:rsidRDefault="0065374A" w:rsidP="0090025D">
      <w:r>
        <w:continuationSeparator/>
      </w:r>
    </w:p>
    <w:p w14:paraId="011B7BF8" w14:textId="77777777" w:rsidR="0065374A" w:rsidRDefault="0065374A" w:rsidP="0090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3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D89" w14:textId="7D05BC22" w:rsidR="0030091F" w:rsidRDefault="0043717E" w:rsidP="0090025D">
    <w:r w:rsidRPr="008D79FF">
      <w:rPr>
        <w:noProof/>
        <w:lang w:val="en-US"/>
      </w:rPr>
      <w:drawing>
        <wp:inline distT="0" distB="0" distL="0" distR="0" wp14:anchorId="04745230" wp14:editId="4BDD1F47">
          <wp:extent cx="2667000" cy="685800"/>
          <wp:effectExtent l="0" t="0" r="0" b="0"/>
          <wp:docPr id="3" name="Picture 1"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NZ_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85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1FA5" w14:textId="77777777" w:rsidR="0030091F" w:rsidRDefault="0030091F" w:rsidP="009002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5586" w14:textId="77777777" w:rsidR="0030091F" w:rsidRDefault="0030091F" w:rsidP="009002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7BD7" w14:textId="77777777" w:rsidR="0030091F" w:rsidRDefault="0011281F" w:rsidP="0090025D">
    <w:pPr>
      <w:pStyle w:val="Footereven"/>
    </w:pPr>
    <w:r w:rsidRPr="009116D7">
      <w:rPr>
        <w:rStyle w:val="PageNumber"/>
      </w:rPr>
      <w:fldChar w:fldCharType="begin"/>
    </w:r>
    <w:r w:rsidR="0030091F" w:rsidRPr="009116D7">
      <w:rPr>
        <w:rStyle w:val="PageNumber"/>
      </w:rPr>
      <w:instrText xml:space="preserve"> PAGE </w:instrText>
    </w:r>
    <w:r w:rsidRPr="009116D7">
      <w:rPr>
        <w:rStyle w:val="PageNumber"/>
      </w:rPr>
      <w:fldChar w:fldCharType="separate"/>
    </w:r>
    <w:r w:rsidR="008D79FF">
      <w:rPr>
        <w:rStyle w:val="PageNumber"/>
        <w:noProof/>
      </w:rPr>
      <w:t>vi</w:t>
    </w:r>
    <w:r w:rsidRPr="009116D7">
      <w:rPr>
        <w:rStyle w:val="PageNumber"/>
      </w:rPr>
      <w:fldChar w:fldCharType="end"/>
    </w:r>
    <w:r w:rsidR="0030091F">
      <w:tab/>
      <w:t>2011 User’s Guide to the revised National Environmental Standards for Air Quality: Updated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FE5" w14:textId="77777777" w:rsidR="0030091F" w:rsidRDefault="0030091F" w:rsidP="0090025D">
    <w:pPr>
      <w:pStyle w:val="Footerodd"/>
      <w:rPr>
        <w:rStyle w:val="PageNumber"/>
      </w:rPr>
    </w:pPr>
    <w:r>
      <w:tab/>
      <w:t>2011 User’s Guide to the revised National Environmental Standards for Air Quality: Updated 2014</w:t>
    </w:r>
    <w:r>
      <w:tab/>
    </w:r>
    <w:r w:rsidR="0011281F">
      <w:rPr>
        <w:rStyle w:val="PageNumber"/>
      </w:rPr>
      <w:fldChar w:fldCharType="begin"/>
    </w:r>
    <w:r>
      <w:rPr>
        <w:rStyle w:val="PageNumber"/>
      </w:rPr>
      <w:instrText xml:space="preserve"> PAGE </w:instrText>
    </w:r>
    <w:r w:rsidR="0011281F">
      <w:rPr>
        <w:rStyle w:val="PageNumber"/>
      </w:rPr>
      <w:fldChar w:fldCharType="separate"/>
    </w:r>
    <w:r w:rsidR="008D79FF">
      <w:rPr>
        <w:rStyle w:val="PageNumber"/>
        <w:noProof/>
      </w:rPr>
      <w:t>v</w:t>
    </w:r>
    <w:r w:rsidR="0011281F">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E28" w14:textId="77777777" w:rsidR="0030091F" w:rsidRDefault="0011281F" w:rsidP="002A7740">
    <w:pPr>
      <w:pStyle w:val="Footereven"/>
    </w:pPr>
    <w:r w:rsidRPr="009116D7">
      <w:rPr>
        <w:rStyle w:val="PageNumber"/>
      </w:rPr>
      <w:fldChar w:fldCharType="begin"/>
    </w:r>
    <w:r w:rsidR="0030091F" w:rsidRPr="009116D7">
      <w:rPr>
        <w:rStyle w:val="PageNumber"/>
      </w:rPr>
      <w:instrText xml:space="preserve"> PAGE </w:instrText>
    </w:r>
    <w:r w:rsidRPr="009116D7">
      <w:rPr>
        <w:rStyle w:val="PageNumber"/>
      </w:rPr>
      <w:fldChar w:fldCharType="separate"/>
    </w:r>
    <w:r w:rsidR="008D79FF">
      <w:rPr>
        <w:rStyle w:val="PageNumber"/>
        <w:noProof/>
      </w:rPr>
      <w:t>4</w:t>
    </w:r>
    <w:r w:rsidRPr="009116D7">
      <w:rPr>
        <w:rStyle w:val="PageNumber"/>
      </w:rPr>
      <w:fldChar w:fldCharType="end"/>
    </w:r>
    <w:r w:rsidR="0030091F">
      <w:tab/>
      <w:t>2011 Users’ Guide to the revised National Environmental Standards for Air Quality</w:t>
    </w:r>
    <w:r w:rsidR="00D04785">
      <w:t>: Updated 2014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7637" w14:textId="77777777" w:rsidR="0030091F" w:rsidRDefault="0030091F" w:rsidP="002A7740">
    <w:pPr>
      <w:pStyle w:val="Footerodd"/>
    </w:pPr>
    <w:r>
      <w:tab/>
      <w:t>2011 Users’ Guide to the revised National Environmental Standards for Air Quality 2011</w:t>
    </w:r>
    <w:r w:rsidR="00D04785">
      <w:t>: Updated 2014</w:t>
    </w:r>
    <w:r>
      <w:tab/>
    </w:r>
    <w:r w:rsidR="0011281F" w:rsidRPr="009116D7">
      <w:rPr>
        <w:rStyle w:val="PageNumber"/>
      </w:rPr>
      <w:fldChar w:fldCharType="begin"/>
    </w:r>
    <w:r w:rsidRPr="009116D7">
      <w:rPr>
        <w:rStyle w:val="PageNumber"/>
      </w:rPr>
      <w:instrText xml:space="preserve"> PAGE </w:instrText>
    </w:r>
    <w:r w:rsidR="0011281F" w:rsidRPr="009116D7">
      <w:rPr>
        <w:rStyle w:val="PageNumber"/>
      </w:rPr>
      <w:fldChar w:fldCharType="separate"/>
    </w:r>
    <w:r w:rsidR="008D79FF">
      <w:rPr>
        <w:rStyle w:val="PageNumber"/>
        <w:noProof/>
      </w:rPr>
      <w:t>5</w:t>
    </w:r>
    <w:r w:rsidR="0011281F" w:rsidRPr="009116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BA9F" w14:textId="77777777" w:rsidR="0065374A" w:rsidRDefault="0065374A" w:rsidP="0090025D">
      <w:r>
        <w:separator/>
      </w:r>
    </w:p>
  </w:footnote>
  <w:footnote w:type="continuationSeparator" w:id="0">
    <w:p w14:paraId="094E6206" w14:textId="77777777" w:rsidR="0065374A" w:rsidRDefault="0065374A" w:rsidP="0090025D">
      <w:r>
        <w:continuationSeparator/>
      </w:r>
    </w:p>
    <w:p w14:paraId="1F134737" w14:textId="77777777" w:rsidR="0065374A" w:rsidRDefault="0065374A" w:rsidP="0090025D"/>
  </w:footnote>
  <w:footnote w:id="1">
    <w:p w14:paraId="53531034" w14:textId="77777777" w:rsidR="0030091F" w:rsidRPr="00D0023A" w:rsidRDefault="0030091F" w:rsidP="006F4861">
      <w:pPr>
        <w:pStyle w:val="FootnoteText"/>
        <w:spacing w:before="60" w:after="0"/>
        <w:ind w:left="0" w:firstLine="0"/>
        <w:jc w:val="left"/>
        <w:rPr>
          <w:sz w:val="18"/>
          <w:szCs w:val="18"/>
        </w:rPr>
      </w:pPr>
      <w:r w:rsidRPr="00D0023A">
        <w:rPr>
          <w:rStyle w:val="FootnoteReference"/>
          <w:sz w:val="18"/>
          <w:szCs w:val="18"/>
        </w:rPr>
        <w:footnoteRef/>
      </w:r>
      <w:r w:rsidRPr="00D0023A">
        <w:rPr>
          <w:sz w:val="18"/>
          <w:szCs w:val="18"/>
        </w:rPr>
        <w:t xml:space="preserve"> </w:t>
      </w:r>
      <w:r>
        <w:rPr>
          <w:sz w:val="18"/>
          <w:szCs w:val="18"/>
        </w:rPr>
        <w:t xml:space="preserve">For the population living in urban areas in 2006 as taken from the Census. </w:t>
      </w:r>
    </w:p>
  </w:footnote>
  <w:footnote w:id="2">
    <w:p w14:paraId="34A17FE5" w14:textId="77777777" w:rsidR="0030091F" w:rsidRPr="00627DB4" w:rsidRDefault="0030091F">
      <w:pPr>
        <w:pStyle w:val="FootnoteText"/>
        <w:rPr>
          <w:lang w:val="en-US"/>
        </w:rPr>
      </w:pPr>
      <w:r>
        <w:rPr>
          <w:rStyle w:val="FootnoteReference"/>
        </w:rPr>
        <w:footnoteRef/>
      </w:r>
      <w:r>
        <w:t xml:space="preserve"> </w:t>
      </w:r>
      <w:r>
        <w:rPr>
          <w:lang w:val="en-US"/>
        </w:rPr>
        <w:t>AS/NZS refers to Australia Standard and New Zealand Standard.</w:t>
      </w:r>
    </w:p>
  </w:footnote>
  <w:footnote w:id="3">
    <w:p w14:paraId="32B44856" w14:textId="77777777" w:rsidR="0030091F" w:rsidRPr="00627DB4" w:rsidRDefault="0030091F">
      <w:pPr>
        <w:pStyle w:val="FootnoteText"/>
        <w:rPr>
          <w:lang w:val="en-US"/>
        </w:rPr>
      </w:pPr>
      <w:r>
        <w:rPr>
          <w:rStyle w:val="FootnoteReference"/>
        </w:rPr>
        <w:footnoteRef/>
      </w:r>
      <w:r>
        <w:t xml:space="preserve"> </w:t>
      </w:r>
      <w:r>
        <w:rPr>
          <w:lang w:val="en-US"/>
        </w:rPr>
        <w:t>AS refers to Australia Standard.</w:t>
      </w:r>
    </w:p>
  </w:footnote>
  <w:footnote w:id="4">
    <w:p w14:paraId="4947E468" w14:textId="77777777" w:rsidR="0030091F" w:rsidRPr="00BA7317" w:rsidRDefault="0030091F">
      <w:pPr>
        <w:pStyle w:val="FootnoteText"/>
        <w:rPr>
          <w:lang w:val="en-US"/>
        </w:rPr>
      </w:pPr>
      <w:r>
        <w:rPr>
          <w:rStyle w:val="FootnoteReference"/>
        </w:rPr>
        <w:footnoteRef/>
      </w:r>
      <w:r>
        <w:t xml:space="preserve"> </w:t>
      </w:r>
      <w:r>
        <w:tab/>
      </w:r>
      <w:r>
        <w:rPr>
          <w:lang w:val="en-US"/>
        </w:rPr>
        <w:t xml:space="preserve">Regulations 25 to 27 address the control of greenhouse gas emissions at landfills and are discussed in Chapter </w:t>
      </w:r>
      <w:r w:rsidRPr="00CB4921">
        <w:rPr>
          <w:lang w:val="en-US"/>
        </w:rPr>
        <w:t>6</w:t>
      </w:r>
      <w:r>
        <w:rPr>
          <w:lang w:val="en-US"/>
        </w:rPr>
        <w:t xml:space="preserve"> of this document. </w:t>
      </w:r>
    </w:p>
  </w:footnote>
  <w:footnote w:id="5">
    <w:p w14:paraId="66124976" w14:textId="77777777" w:rsidR="0030091F" w:rsidRPr="003C3C5F" w:rsidRDefault="0030091F">
      <w:pPr>
        <w:pStyle w:val="FootnoteText"/>
        <w:rPr>
          <w:lang w:val="en-US"/>
        </w:rPr>
      </w:pPr>
      <w:r>
        <w:rPr>
          <w:rStyle w:val="FootnoteReference"/>
        </w:rPr>
        <w:footnoteRef/>
      </w:r>
      <w:r>
        <w:t xml:space="preserve"> </w:t>
      </w:r>
      <w:r>
        <w:tab/>
        <w:t>Regulation 5(2) states that ‘</w:t>
      </w:r>
      <w:r w:rsidRPr="00317933">
        <w:rPr>
          <w:i/>
        </w:rPr>
        <w:t>if a</w:t>
      </w:r>
      <w:r>
        <w:rPr>
          <w:i/>
        </w:rPr>
        <w:t xml:space="preserve"> </w:t>
      </w:r>
      <w:r w:rsidRPr="00317933">
        <w:rPr>
          <w:i/>
        </w:rPr>
        <w:t>resource consent is granted for an activity, the activity is a discretionary activity for the purposes of the Act</w:t>
      </w:r>
      <w:r>
        <w:t>’.</w:t>
      </w:r>
    </w:p>
  </w:footnote>
  <w:footnote w:id="6">
    <w:p w14:paraId="66993258" w14:textId="77777777" w:rsidR="0030091F" w:rsidRPr="0071773A" w:rsidRDefault="0030091F" w:rsidP="0010779B">
      <w:pPr>
        <w:pStyle w:val="FootnoteText"/>
        <w:rPr>
          <w:lang w:val="en-US"/>
        </w:rPr>
      </w:pPr>
      <w:r>
        <w:rPr>
          <w:rStyle w:val="FootnoteReference"/>
        </w:rPr>
        <w:footnoteRef/>
      </w:r>
      <w:r>
        <w:t xml:space="preserve"> </w:t>
      </w:r>
      <w:r>
        <w:rPr>
          <w:lang w:val="en-US"/>
        </w:rPr>
        <w:t>Unless otherwise specified in a regional plan.</w:t>
      </w:r>
    </w:p>
  </w:footnote>
  <w:footnote w:id="7">
    <w:p w14:paraId="1E2D4B30" w14:textId="77777777" w:rsidR="0030091F" w:rsidRPr="006F6185" w:rsidRDefault="0030091F" w:rsidP="006F6185">
      <w:pPr>
        <w:pStyle w:val="FootnoteText"/>
        <w:ind w:left="397" w:hanging="397"/>
        <w:rPr>
          <w:lang w:val="en-US"/>
        </w:rPr>
      </w:pPr>
      <w:r>
        <w:rPr>
          <w:rStyle w:val="FootnoteReference"/>
        </w:rPr>
        <w:footnoteRef/>
      </w:r>
      <w:r>
        <w:t xml:space="preserve"> </w:t>
      </w:r>
      <w:r>
        <w:rPr>
          <w:lang w:val="en-US"/>
        </w:rPr>
        <w:tab/>
        <w:t>Despite its very small size PM</w:t>
      </w:r>
      <w:r w:rsidRPr="00C97574">
        <w:rPr>
          <w:vertAlign w:val="subscript"/>
          <w:lang w:val="en-US"/>
        </w:rPr>
        <w:t>10</w:t>
      </w:r>
      <w:r>
        <w:rPr>
          <w:lang w:val="en-US"/>
        </w:rPr>
        <w:t xml:space="preserve"> includes a variety of natural sources such as pollen, sea salt and wind-blown dusts.  The majority (but not all) of these sources are larger than PM</w:t>
      </w:r>
      <w:r w:rsidRPr="006F6185">
        <w:rPr>
          <w:vertAlign w:val="subscript"/>
          <w:lang w:val="en-US"/>
        </w:rPr>
        <w:t>2.5</w:t>
      </w:r>
      <w:r>
        <w:rPr>
          <w:lang w:val="en-US"/>
        </w:rPr>
        <w:t>.</w:t>
      </w:r>
    </w:p>
  </w:footnote>
  <w:footnote w:id="8">
    <w:p w14:paraId="4AAA3585" w14:textId="77777777" w:rsidR="0030091F" w:rsidRPr="00576E72" w:rsidRDefault="0030091F" w:rsidP="00073A3A">
      <w:pPr>
        <w:pStyle w:val="FootnoteText"/>
        <w:ind w:left="0" w:firstLine="0"/>
        <w:rPr>
          <w:lang w:val="en-US"/>
        </w:rPr>
      </w:pPr>
      <w:r>
        <w:rPr>
          <w:rStyle w:val="FootnoteReference"/>
        </w:rPr>
        <w:footnoteRef/>
      </w:r>
      <w:r>
        <w:t xml:space="preserve"> </w:t>
      </w:r>
      <w:r>
        <w:rPr>
          <w:lang w:val="en-US"/>
        </w:rPr>
        <w:t xml:space="preserve">Note that under </w:t>
      </w:r>
      <w:r w:rsidRPr="00934DC0">
        <w:rPr>
          <w:lang w:val="en-US"/>
        </w:rPr>
        <w:t>the</w:t>
      </w:r>
      <w:r w:rsidRPr="000D1B67">
        <w:rPr>
          <w:i/>
          <w:lang w:val="en-US"/>
        </w:rPr>
        <w:t xml:space="preserve"> Cadastral Survey Act 2002</w:t>
      </w:r>
      <w:r>
        <w:rPr>
          <w:lang w:val="en-US"/>
        </w:rPr>
        <w:t>, “land” includes subsoil, airspace and water and marine areas, and also includes interests in or over land.  Official website for landonline: www.landonline.govt.nz.</w:t>
      </w:r>
    </w:p>
  </w:footnote>
  <w:footnote w:id="9">
    <w:p w14:paraId="7ED41B49" w14:textId="77777777" w:rsidR="0030091F" w:rsidRPr="00D27203" w:rsidRDefault="0030091F" w:rsidP="005752A8">
      <w:pPr>
        <w:pStyle w:val="FootnoteText"/>
        <w:rPr>
          <w:lang w:val="en-US"/>
        </w:rPr>
      </w:pPr>
      <w:r>
        <w:rPr>
          <w:rStyle w:val="FootnoteReference"/>
        </w:rPr>
        <w:footnoteRef/>
      </w:r>
      <w:r>
        <w:t xml:space="preserve"> </w:t>
      </w:r>
      <w:r>
        <w:tab/>
        <w:t>This aligns with the jurisdictional responsibilities of regional councils under the RMA for air quality management. It assumes that the regional council has placed reasonable controls on all preventable or controllable events within their jurisdiction through regional plans, resource consents or other methods.</w:t>
      </w:r>
    </w:p>
  </w:footnote>
  <w:footnote w:id="10">
    <w:p w14:paraId="2A27B5E8" w14:textId="77777777" w:rsidR="0030091F" w:rsidRDefault="0030091F" w:rsidP="005752A8">
      <w:pPr>
        <w:pStyle w:val="FootnoteText"/>
      </w:pPr>
      <w:r>
        <w:rPr>
          <w:rStyle w:val="FootnoteReference"/>
        </w:rPr>
        <w:footnoteRef/>
      </w:r>
      <w:r>
        <w:t xml:space="preserve"> </w:t>
      </w:r>
      <w:r>
        <w:tab/>
        <w:t>Levels of sea salt and/or pollen will need to be well above those usually considered to be normal ‘baseline’ for the airshed in order for an exceedance to be deemed caused by exceptional circumstances.</w:t>
      </w:r>
    </w:p>
  </w:footnote>
  <w:footnote w:id="11">
    <w:p w14:paraId="507A5ED2" w14:textId="77777777" w:rsidR="0030091F" w:rsidRDefault="0030091F" w:rsidP="00E07EC2">
      <w:pPr>
        <w:pStyle w:val="BodyText"/>
        <w:spacing w:before="60"/>
        <w:ind w:left="284" w:hanging="284"/>
      </w:pPr>
      <w:r w:rsidRPr="00283E18">
        <w:rPr>
          <w:rStyle w:val="FootnoteReference"/>
          <w:sz w:val="18"/>
          <w:szCs w:val="18"/>
        </w:rPr>
        <w:footnoteRef/>
      </w:r>
      <w:r w:rsidRPr="00283E18">
        <w:rPr>
          <w:sz w:val="18"/>
          <w:szCs w:val="18"/>
        </w:rPr>
        <w:t xml:space="preserve"> </w:t>
      </w:r>
      <w:r>
        <w:rPr>
          <w:sz w:val="18"/>
          <w:szCs w:val="18"/>
        </w:rPr>
        <w:tab/>
        <w:t>Some publications describe PM</w:t>
      </w:r>
      <w:r w:rsidRPr="00934F16">
        <w:rPr>
          <w:sz w:val="18"/>
          <w:szCs w:val="18"/>
          <w:vertAlign w:val="subscript"/>
        </w:rPr>
        <w:t>10</w:t>
      </w:r>
      <w:r>
        <w:rPr>
          <w:sz w:val="18"/>
          <w:szCs w:val="18"/>
        </w:rPr>
        <w:t xml:space="preserve"> as ‘fine’ particulate matter.  While PM</w:t>
      </w:r>
      <w:r w:rsidRPr="00934F16">
        <w:rPr>
          <w:sz w:val="18"/>
          <w:szCs w:val="18"/>
          <w:vertAlign w:val="subscript"/>
        </w:rPr>
        <w:t>10</w:t>
      </w:r>
      <w:r>
        <w:rPr>
          <w:sz w:val="18"/>
          <w:szCs w:val="18"/>
        </w:rPr>
        <w:t xml:space="preserve"> does have a fine component, it also contains a coarse component and therefore it is not referred to as ‘fine’ particulate matter in this report.</w:t>
      </w:r>
    </w:p>
  </w:footnote>
  <w:footnote w:id="12">
    <w:p w14:paraId="01947A74" w14:textId="77777777" w:rsidR="0030091F" w:rsidRPr="00255691" w:rsidRDefault="0030091F" w:rsidP="00E07EC2">
      <w:pPr>
        <w:pStyle w:val="FootnoteText"/>
        <w:spacing w:before="60" w:after="0"/>
        <w:rPr>
          <w:rStyle w:val="FootnoteReference"/>
          <w:sz w:val="22"/>
        </w:rPr>
      </w:pPr>
      <w:r w:rsidRPr="00255691">
        <w:rPr>
          <w:rStyle w:val="FootnoteReference"/>
          <w:sz w:val="18"/>
          <w:szCs w:val="18"/>
        </w:rPr>
        <w:footnoteRef/>
      </w:r>
      <w:r w:rsidRPr="00255691">
        <w:rPr>
          <w:sz w:val="18"/>
          <w:szCs w:val="18"/>
        </w:rPr>
        <w:t xml:space="preserve"> </w:t>
      </w:r>
      <w:r>
        <w:rPr>
          <w:sz w:val="18"/>
          <w:szCs w:val="18"/>
        </w:rPr>
        <w:tab/>
      </w:r>
      <w:r w:rsidRPr="00532ADF">
        <w:rPr>
          <w:rStyle w:val="FootnoteReference"/>
          <w:sz w:val="18"/>
          <w:szCs w:val="18"/>
          <w:vertAlign w:val="baseline"/>
        </w:rPr>
        <w:t xml:space="preserve">Research </w:t>
      </w:r>
      <w:r w:rsidRPr="00255691">
        <w:rPr>
          <w:sz w:val="18"/>
          <w:szCs w:val="18"/>
        </w:rPr>
        <w:t>now focuses on ultrafine particles (i.e. particulate matter less than 1 micron in diameter) to investigate translocation via the olfactory nerve following deposition on the olfactory mucosa of the nasopharynx. This mechanism bypasses the blood-brain barrier to provide a direct route to the central nervous system</w:t>
      </w:r>
      <w:r>
        <w:rPr>
          <w:sz w:val="18"/>
          <w:szCs w:val="18"/>
        </w:rPr>
        <w:t xml:space="preserve"> (</w:t>
      </w:r>
      <w:r w:rsidRPr="00F926BC">
        <w:rPr>
          <w:sz w:val="18"/>
          <w:szCs w:val="18"/>
        </w:rPr>
        <w:t>WHO, 2006</w:t>
      </w:r>
      <w:r>
        <w:rPr>
          <w:sz w:val="18"/>
          <w:szCs w:val="18"/>
        </w:rPr>
        <w:t>).</w:t>
      </w:r>
    </w:p>
  </w:footnote>
  <w:footnote w:id="13">
    <w:p w14:paraId="382A77A7" w14:textId="77777777" w:rsidR="0030091F" w:rsidRPr="00FD1A04" w:rsidRDefault="0030091F" w:rsidP="005400EC">
      <w:pPr>
        <w:pStyle w:val="FootnoteText"/>
        <w:rPr>
          <w:lang w:val="en-US"/>
        </w:rPr>
      </w:pPr>
      <w:r>
        <w:rPr>
          <w:rStyle w:val="FootnoteReference"/>
        </w:rPr>
        <w:footnoteRef/>
      </w:r>
      <w:r>
        <w:t xml:space="preserve"> Note that the USEPA methods are periodically updated, councils are referred to the</w:t>
      </w:r>
      <w:r w:rsidRPr="00FD1A04">
        <w:t xml:space="preserve"> USEPA website </w:t>
      </w:r>
      <w:hyperlink r:id="rId1" w:history="1">
        <w:r w:rsidRPr="00FD1A04">
          <w:rPr>
            <w:rStyle w:val="Hyperlink"/>
            <w:color w:val="auto"/>
          </w:rPr>
          <w:t>www.epa.gov</w:t>
        </w:r>
      </w:hyperlink>
      <w:r w:rsidRPr="00FD1A04">
        <w:t>.</w:t>
      </w:r>
    </w:p>
  </w:footnote>
  <w:footnote w:id="14">
    <w:p w14:paraId="503D0E65" w14:textId="77777777" w:rsidR="0030091F" w:rsidRPr="00222A11" w:rsidRDefault="0030091F">
      <w:pPr>
        <w:pStyle w:val="FootnoteText"/>
        <w:rPr>
          <w:lang w:val="en-US"/>
        </w:rPr>
      </w:pPr>
      <w:r>
        <w:rPr>
          <w:rStyle w:val="FootnoteReference"/>
        </w:rPr>
        <w:footnoteRef/>
      </w:r>
      <w:r>
        <w:t xml:space="preserve"> </w:t>
      </w:r>
      <w:r>
        <w:tab/>
        <w:t xml:space="preserve">TEOM stands for </w:t>
      </w:r>
      <w:r w:rsidRPr="00222A11">
        <w:t>tapered element oscillating microbalance analyser</w:t>
      </w:r>
      <w:r>
        <w:t>.</w:t>
      </w:r>
    </w:p>
  </w:footnote>
  <w:footnote w:id="15">
    <w:p w14:paraId="515E1DFE" w14:textId="77777777" w:rsidR="0030091F" w:rsidRDefault="0030091F" w:rsidP="002E1D2A">
      <w:pPr>
        <w:pStyle w:val="FootnoteText"/>
      </w:pPr>
      <w:r>
        <w:rPr>
          <w:rStyle w:val="FootnoteReference"/>
        </w:rPr>
        <w:footnoteRef/>
      </w:r>
      <w:r>
        <w:t xml:space="preserve"> </w:t>
      </w:r>
      <w:r>
        <w:tab/>
      </w:r>
      <w:r w:rsidRPr="003F2E72">
        <w:t>Some of this chapter’s contents were derived from (i) meetings of the National Air Quality Working Group (a special interest group which includes air quality experts from regional councils, unitary councils and central government), (ii) policy analysis by MfE officials, and (iii) an MfE-led workshop on NES implementation with representatives from regional councils, unitary authorities and industry (August 2012).</w:t>
      </w:r>
    </w:p>
  </w:footnote>
  <w:footnote w:id="16">
    <w:p w14:paraId="22B1894B" w14:textId="77777777" w:rsidR="0030091F" w:rsidRPr="00371CE1" w:rsidRDefault="0030091F" w:rsidP="002E1D2A">
      <w:pPr>
        <w:pStyle w:val="FootnoteText"/>
        <w:rPr>
          <w:lang w:val="en-US"/>
        </w:rPr>
      </w:pPr>
      <w:r>
        <w:rPr>
          <w:rStyle w:val="FootnoteReference"/>
        </w:rPr>
        <w:footnoteRef/>
      </w:r>
      <w:r>
        <w:t xml:space="preserve"> Note, however, that under section 88 of the RMA applications for resource consent are treated as ‘new’ consent applications – regardless of whether the activity is proposed as new or existing.</w:t>
      </w:r>
    </w:p>
  </w:footnote>
  <w:footnote w:id="17">
    <w:p w14:paraId="0FECCAEE" w14:textId="77777777" w:rsidR="0030091F" w:rsidRDefault="0030091F" w:rsidP="002E1D2A">
      <w:r>
        <w:rPr>
          <w:rStyle w:val="FootnoteReference"/>
        </w:rPr>
        <w:footnoteRef/>
      </w:r>
      <w:r>
        <w:t xml:space="preserve"> </w:t>
      </w:r>
      <w:r w:rsidRPr="00406180">
        <w:rPr>
          <w:sz w:val="18"/>
        </w:rPr>
        <w:t>Guidance on undertaking dispersion modelling to determine ground level concentrations of PM</w:t>
      </w:r>
      <w:r w:rsidRPr="00406180">
        <w:rPr>
          <w:sz w:val="18"/>
          <w:vertAlign w:val="subscript"/>
        </w:rPr>
        <w:t>10</w:t>
      </w:r>
      <w:r w:rsidRPr="00406180">
        <w:rPr>
          <w:sz w:val="18"/>
        </w:rPr>
        <w:t xml:space="preserve"> is given in the Good Practice Guide on Atmospheric Dispersion Modelling (MfE, 2004b) (the Modelling GPG). It is important that dispersion modelling is undertaken in accordance with the best practice given in </w:t>
      </w:r>
      <w:r>
        <w:rPr>
          <w:sz w:val="18"/>
        </w:rPr>
        <w:t>the Modelling GPG (MfE, 2004b).</w:t>
      </w:r>
      <w:r w:rsidRPr="00406180">
        <w:rPr>
          <w:sz w:val="18"/>
        </w:rPr>
        <w:t xml:space="preserve"> This is so consent applicants </w:t>
      </w:r>
      <w:r>
        <w:rPr>
          <w:sz w:val="18"/>
        </w:rPr>
        <w:t xml:space="preserve">are treated consistently both </w:t>
      </w:r>
      <w:r w:rsidRPr="00406180">
        <w:rPr>
          <w:sz w:val="18"/>
        </w:rPr>
        <w:t xml:space="preserve">regionally and nationally. </w:t>
      </w:r>
    </w:p>
    <w:p w14:paraId="0A31C749" w14:textId="77777777" w:rsidR="0030091F" w:rsidRDefault="0030091F" w:rsidP="002E1D2A">
      <w:pPr>
        <w:pStyle w:val="FootnoteText"/>
      </w:pPr>
    </w:p>
  </w:footnote>
  <w:footnote w:id="18">
    <w:p w14:paraId="32B6DF30" w14:textId="77777777" w:rsidR="0030091F" w:rsidRPr="001F5AA0" w:rsidRDefault="0030091F" w:rsidP="002E1D2A">
      <w:pPr>
        <w:pStyle w:val="FootnoteText"/>
        <w:rPr>
          <w:lang w:val="en-US"/>
        </w:rPr>
      </w:pPr>
      <w:r w:rsidRPr="005D68E8">
        <w:rPr>
          <w:rStyle w:val="FootnoteReference"/>
        </w:rPr>
        <w:footnoteRef/>
      </w:r>
      <w:r w:rsidRPr="005D68E8">
        <w:t xml:space="preserve"> </w:t>
      </w:r>
      <w:r w:rsidRPr="005D68E8">
        <w:rPr>
          <w:lang w:val="en-US"/>
        </w:rPr>
        <w:t>www.mfe.govt.nz/environmental-reporting/air/air-quality-indicator/pm10/nes/air-quality-airsheds.html.</w:t>
      </w:r>
    </w:p>
  </w:footnote>
  <w:footnote w:id="19">
    <w:p w14:paraId="2C9CF999" w14:textId="77777777" w:rsidR="0030091F" w:rsidRDefault="0030091F" w:rsidP="002E1D2A">
      <w:pPr>
        <w:pStyle w:val="FootnoteText"/>
      </w:pPr>
      <w:r>
        <w:rPr>
          <w:rStyle w:val="FootnoteReference"/>
        </w:rPr>
        <w:footnoteRef/>
      </w:r>
      <w:r>
        <w:t xml:space="preserve"> </w:t>
      </w:r>
      <w:r w:rsidRPr="001A5778">
        <w:rPr>
          <w:sz w:val="18"/>
        </w:rPr>
        <w:t>For exa</w:t>
      </w:r>
      <w:r>
        <w:rPr>
          <w:sz w:val="18"/>
        </w:rPr>
        <w:t>mple, an offset comprising wood</w:t>
      </w:r>
      <w:r w:rsidRPr="001A5778">
        <w:rPr>
          <w:sz w:val="18"/>
        </w:rPr>
        <w:t>burner removals is not real if those removals are required in the future under a regional plan. Similarly, an offset cannot simply be to replace a vehicle fleet with low emission trucks, or upgrade a factory furnace, if either of those activities would occur in the normal course of events.</w:t>
      </w:r>
    </w:p>
  </w:footnote>
  <w:footnote w:id="20">
    <w:p w14:paraId="1D202F29" w14:textId="77777777" w:rsidR="0030091F" w:rsidRDefault="0030091F" w:rsidP="002E1D2A">
      <w:pPr>
        <w:pStyle w:val="FootnoteText"/>
      </w:pPr>
      <w:r>
        <w:rPr>
          <w:rStyle w:val="FootnoteReference"/>
        </w:rPr>
        <w:footnoteRef/>
      </w:r>
      <w:r>
        <w:t xml:space="preserve"> </w:t>
      </w:r>
      <w:r w:rsidRPr="00406180">
        <w:rPr>
          <w:sz w:val="18"/>
        </w:rPr>
        <w:t>22 kg/yr for new woodburners, 142 kg/yr for an open fire</w:t>
      </w:r>
      <w:r>
        <w:rPr>
          <w:sz w:val="18"/>
        </w:rPr>
        <w:t>.</w:t>
      </w:r>
    </w:p>
  </w:footnote>
  <w:footnote w:id="21">
    <w:p w14:paraId="76BE03CB" w14:textId="77777777" w:rsidR="0030091F" w:rsidRDefault="0030091F" w:rsidP="00001D99">
      <w:pPr>
        <w:pStyle w:val="FootnoteText"/>
      </w:pPr>
      <w:r>
        <w:rPr>
          <w:rStyle w:val="FootnoteReference"/>
        </w:rPr>
        <w:footnoteRef/>
      </w:r>
      <w:r>
        <w:t xml:space="preserve"> Note, however, that the Resource Management (Marine Pollution) Regulations 1998 preclude resource consents from being granted for d</w:t>
      </w:r>
      <w:r w:rsidRPr="00F44762">
        <w:t xml:space="preserve">ischarges </w:t>
      </w:r>
      <w:r>
        <w:t xml:space="preserve">from the </w:t>
      </w:r>
      <w:r w:rsidRPr="00F44762">
        <w:t>normal operations of ship</w:t>
      </w:r>
      <w:r>
        <w:t xml:space="preserve">s. </w:t>
      </w:r>
    </w:p>
  </w:footnote>
  <w:footnote w:id="22">
    <w:p w14:paraId="72A48305" w14:textId="77777777" w:rsidR="0030091F" w:rsidRDefault="0030091F" w:rsidP="0090025D">
      <w:pPr>
        <w:pStyle w:val="FootnoteText"/>
      </w:pPr>
      <w:r>
        <w:rPr>
          <w:rStyle w:val="FootnoteReference"/>
        </w:rPr>
        <w:footnoteRef/>
      </w:r>
      <w:r>
        <w:tab/>
        <w:t>Corresponds to the hazard classification system included in the United Nations Recommendations on the Transport of Dangerous Goods (ST/SG/AC.10/1Rev.5, United Nations, New York, 1988).</w:t>
      </w:r>
    </w:p>
  </w:footnote>
  <w:footnote w:id="23">
    <w:p w14:paraId="2C4355D2" w14:textId="77777777" w:rsidR="0030091F" w:rsidRPr="00D615B0" w:rsidRDefault="0030091F" w:rsidP="0090025D">
      <w:pPr>
        <w:pStyle w:val="FootnoteText"/>
        <w:rPr>
          <w:lang w:val="en-US"/>
        </w:rPr>
      </w:pPr>
      <w:r>
        <w:rPr>
          <w:rStyle w:val="FootnoteReference"/>
        </w:rPr>
        <w:footnoteRef/>
      </w:r>
      <w:r>
        <w:t xml:space="preserve"> </w:t>
      </w:r>
      <w:r>
        <w:tab/>
      </w:r>
      <w:r>
        <w:rPr>
          <w:lang w:val="en-US"/>
        </w:rPr>
        <w:t>It is likely that where parties other than the Consent Holder (eg, councils or community trusts) are paid to undertake offsets on the Consent Holder’s behalf that contracts and/or head of agreements will need to used to ensure that sufficient conversions are actually undertaken. Should the conversions not be undertaken then the Consent Holder may not be complying with the terms of their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A50" w14:textId="73E334FF" w:rsidR="0030091F" w:rsidRDefault="0043717E" w:rsidP="00FF51E8">
    <w:pPr>
      <w:pStyle w:val="Header"/>
      <w:jc w:val="left"/>
    </w:pPr>
    <w:r w:rsidRPr="008D79FF">
      <w:rPr>
        <w:noProof/>
        <w:lang w:val="en-US"/>
      </w:rPr>
      <w:drawing>
        <wp:inline distT="0" distB="0" distL="0" distR="0" wp14:anchorId="16C4516C" wp14:editId="66A21A98">
          <wp:extent cx="2428875" cy="685800"/>
          <wp:effectExtent l="0" t="0" r="0" b="0"/>
          <wp:docPr id="2" name="Picture 2"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Logo"/>
                  <pic:cNvPicPr>
                    <a:picLocks noChangeAspect="1" noChangeArrowheads="1"/>
                  </pic:cNvPicPr>
                </pic:nvPicPr>
                <pic:blipFill>
                  <a:blip r:embed="rId1">
                    <a:extLst>
                      <a:ext uri="{28A0092B-C50C-407E-A947-70E740481C1C}">
                        <a14:useLocalDpi xmlns:a14="http://schemas.microsoft.com/office/drawing/2010/main" val="0"/>
                      </a:ext>
                    </a:extLst>
                  </a:blip>
                  <a:srcRect l="2927" t="8191" r="2281" b="7092"/>
                  <a:stretch>
                    <a:fillRect/>
                  </a:stretch>
                </pic:blipFill>
                <pic:spPr bwMode="auto">
                  <a:xfrm>
                    <a:off x="0" y="0"/>
                    <a:ext cx="2428875" cy="68580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715B" w14:textId="77777777" w:rsidR="0030091F" w:rsidRDefault="0030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F0F" w14:textId="77777777" w:rsidR="0030091F" w:rsidRDefault="0030091F" w:rsidP="009002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4498" w14:textId="77777777" w:rsidR="0030091F" w:rsidRDefault="0030091F" w:rsidP="00900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B8D3" w14:textId="77777777" w:rsidR="0030091F" w:rsidRDefault="0030091F" w:rsidP="009002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3B4" w14:textId="77777777" w:rsidR="0030091F" w:rsidRDefault="0030091F" w:rsidP="009002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DA8" w14:textId="77777777" w:rsidR="0030091F" w:rsidRDefault="0030091F" w:rsidP="009002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941" w14:textId="77777777" w:rsidR="0030091F" w:rsidRDefault="0030091F" w:rsidP="00900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CCED" w14:textId="77777777" w:rsidR="0030091F" w:rsidRDefault="0030091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E02B" w14:textId="77777777" w:rsidR="0030091F" w:rsidRDefault="0030091F" w:rsidP="005875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CB1"/>
    <w:multiLevelType w:val="hybridMultilevel"/>
    <w:tmpl w:val="3A1CB1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025BA8"/>
    <w:multiLevelType w:val="hybridMultilevel"/>
    <w:tmpl w:val="20AC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6671F"/>
    <w:multiLevelType w:val="hybridMultilevel"/>
    <w:tmpl w:val="188C3C94"/>
    <w:lvl w:ilvl="0" w:tplc="14090001">
      <w:start w:val="1"/>
      <w:numFmt w:val="bullet"/>
      <w:lvlText w:val=""/>
      <w:lvlJc w:val="left"/>
      <w:pPr>
        <w:ind w:left="1911" w:hanging="360"/>
      </w:pPr>
      <w:rPr>
        <w:rFonts w:ascii="Symbol" w:hAnsi="Symbol" w:hint="default"/>
      </w:rPr>
    </w:lvl>
    <w:lvl w:ilvl="1" w:tplc="14090003">
      <w:start w:val="1"/>
      <w:numFmt w:val="bullet"/>
      <w:lvlText w:val="o"/>
      <w:lvlJc w:val="left"/>
      <w:pPr>
        <w:ind w:left="2631" w:hanging="360"/>
      </w:pPr>
      <w:rPr>
        <w:rFonts w:ascii="Courier New" w:hAnsi="Courier New" w:cs="Courier New" w:hint="default"/>
      </w:rPr>
    </w:lvl>
    <w:lvl w:ilvl="2" w:tplc="14090005" w:tentative="1">
      <w:start w:val="1"/>
      <w:numFmt w:val="bullet"/>
      <w:lvlText w:val=""/>
      <w:lvlJc w:val="left"/>
      <w:pPr>
        <w:ind w:left="3351" w:hanging="360"/>
      </w:pPr>
      <w:rPr>
        <w:rFonts w:ascii="Wingdings" w:hAnsi="Wingdings" w:hint="default"/>
      </w:rPr>
    </w:lvl>
    <w:lvl w:ilvl="3" w:tplc="14090001" w:tentative="1">
      <w:start w:val="1"/>
      <w:numFmt w:val="bullet"/>
      <w:lvlText w:val=""/>
      <w:lvlJc w:val="left"/>
      <w:pPr>
        <w:ind w:left="4071" w:hanging="360"/>
      </w:pPr>
      <w:rPr>
        <w:rFonts w:ascii="Symbol" w:hAnsi="Symbol" w:hint="default"/>
      </w:rPr>
    </w:lvl>
    <w:lvl w:ilvl="4" w:tplc="14090003" w:tentative="1">
      <w:start w:val="1"/>
      <w:numFmt w:val="bullet"/>
      <w:lvlText w:val="o"/>
      <w:lvlJc w:val="left"/>
      <w:pPr>
        <w:ind w:left="4791" w:hanging="360"/>
      </w:pPr>
      <w:rPr>
        <w:rFonts w:ascii="Courier New" w:hAnsi="Courier New" w:cs="Courier New" w:hint="default"/>
      </w:rPr>
    </w:lvl>
    <w:lvl w:ilvl="5" w:tplc="14090005" w:tentative="1">
      <w:start w:val="1"/>
      <w:numFmt w:val="bullet"/>
      <w:lvlText w:val=""/>
      <w:lvlJc w:val="left"/>
      <w:pPr>
        <w:ind w:left="5511" w:hanging="360"/>
      </w:pPr>
      <w:rPr>
        <w:rFonts w:ascii="Wingdings" w:hAnsi="Wingdings" w:hint="default"/>
      </w:rPr>
    </w:lvl>
    <w:lvl w:ilvl="6" w:tplc="14090001" w:tentative="1">
      <w:start w:val="1"/>
      <w:numFmt w:val="bullet"/>
      <w:lvlText w:val=""/>
      <w:lvlJc w:val="left"/>
      <w:pPr>
        <w:ind w:left="6231" w:hanging="360"/>
      </w:pPr>
      <w:rPr>
        <w:rFonts w:ascii="Symbol" w:hAnsi="Symbol" w:hint="default"/>
      </w:rPr>
    </w:lvl>
    <w:lvl w:ilvl="7" w:tplc="14090003" w:tentative="1">
      <w:start w:val="1"/>
      <w:numFmt w:val="bullet"/>
      <w:lvlText w:val="o"/>
      <w:lvlJc w:val="left"/>
      <w:pPr>
        <w:ind w:left="6951" w:hanging="360"/>
      </w:pPr>
      <w:rPr>
        <w:rFonts w:ascii="Courier New" w:hAnsi="Courier New" w:cs="Courier New" w:hint="default"/>
      </w:rPr>
    </w:lvl>
    <w:lvl w:ilvl="8" w:tplc="14090005" w:tentative="1">
      <w:start w:val="1"/>
      <w:numFmt w:val="bullet"/>
      <w:lvlText w:val=""/>
      <w:lvlJc w:val="left"/>
      <w:pPr>
        <w:ind w:left="7671" w:hanging="360"/>
      </w:pPr>
      <w:rPr>
        <w:rFonts w:ascii="Wingdings" w:hAnsi="Wingdings" w:hint="default"/>
      </w:rPr>
    </w:lvl>
  </w:abstractNum>
  <w:abstractNum w:abstractNumId="3" w15:restartNumberingAfterBreak="0">
    <w:nsid w:val="17B10AE2"/>
    <w:multiLevelType w:val="hybridMultilevel"/>
    <w:tmpl w:val="4D2ADB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A172B5B"/>
    <w:multiLevelType w:val="hybridMultilevel"/>
    <w:tmpl w:val="110AF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6539E5"/>
    <w:multiLevelType w:val="hybridMultilevel"/>
    <w:tmpl w:val="72FA47D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8E74E1E"/>
    <w:multiLevelType w:val="hybridMultilevel"/>
    <w:tmpl w:val="A01AB010"/>
    <w:lvl w:ilvl="0" w:tplc="14090001">
      <w:start w:val="1"/>
      <w:numFmt w:val="bullet"/>
      <w:lvlText w:val=""/>
      <w:lvlJc w:val="left"/>
      <w:pPr>
        <w:ind w:left="360" w:hanging="360"/>
      </w:pPr>
      <w:rPr>
        <w:rFonts w:ascii="Symbol" w:hAnsi="Symbol" w:hint="default"/>
      </w:rPr>
    </w:lvl>
    <w:lvl w:ilvl="1" w:tplc="D4068080">
      <w:start w:val="1"/>
      <w:numFmt w:val="bullet"/>
      <w:lvlText w:val="­"/>
      <w:lvlJc w:val="left"/>
      <w:pPr>
        <w:ind w:left="928" w:hanging="360"/>
      </w:pPr>
      <w:rPr>
        <w:rFonts w:ascii="Courier New" w:hAnsi="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7" w15:restartNumberingAfterBreak="0">
    <w:nsid w:val="29462EC0"/>
    <w:multiLevelType w:val="hybridMultilevel"/>
    <w:tmpl w:val="5EDA5F9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C574B7B"/>
    <w:multiLevelType w:val="hybridMultilevel"/>
    <w:tmpl w:val="C3844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B101AB"/>
    <w:multiLevelType w:val="hybridMultilevel"/>
    <w:tmpl w:val="3CB69EB2"/>
    <w:lvl w:ilvl="0" w:tplc="08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87117F"/>
    <w:multiLevelType w:val="hybridMultilevel"/>
    <w:tmpl w:val="B7DE6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B50221D"/>
    <w:multiLevelType w:val="hybridMultilevel"/>
    <w:tmpl w:val="F4C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356B"/>
    <w:multiLevelType w:val="hybridMultilevel"/>
    <w:tmpl w:val="2FE6D7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40B17DC"/>
    <w:multiLevelType w:val="hybridMultilevel"/>
    <w:tmpl w:val="F0384DBE"/>
    <w:lvl w:ilvl="0" w:tplc="0A189278">
      <w:start w:val="1"/>
      <w:numFmt w:val="bullet"/>
      <w:lvlText w:val=""/>
      <w:lvlJc w:val="left"/>
      <w:pPr>
        <w:tabs>
          <w:tab w:val="num" w:pos="284"/>
        </w:tabs>
        <w:ind w:left="284" w:hanging="284"/>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C203F"/>
    <w:multiLevelType w:val="hybridMultilevel"/>
    <w:tmpl w:val="842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30508"/>
    <w:multiLevelType w:val="hybridMultilevel"/>
    <w:tmpl w:val="5D3635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A2800D7"/>
    <w:multiLevelType w:val="hybridMultilevel"/>
    <w:tmpl w:val="B6AA2612"/>
    <w:lvl w:ilvl="0" w:tplc="571A18A6">
      <w:start w:val="7"/>
      <w:numFmt w:val="decimal"/>
      <w:lvlText w:val="(%1)"/>
      <w:lvlJc w:val="left"/>
      <w:pPr>
        <w:tabs>
          <w:tab w:val="num" w:pos="720"/>
        </w:tabs>
        <w:ind w:left="720" w:hanging="36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9414E9"/>
    <w:multiLevelType w:val="hybridMultilevel"/>
    <w:tmpl w:val="A1DA9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7B55E8"/>
    <w:multiLevelType w:val="hybridMultilevel"/>
    <w:tmpl w:val="DB5007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3DC7FCB"/>
    <w:multiLevelType w:val="hybridMultilevel"/>
    <w:tmpl w:val="35E86E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44A19C3"/>
    <w:multiLevelType w:val="hybridMultilevel"/>
    <w:tmpl w:val="FB12A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A235245"/>
    <w:multiLevelType w:val="hybridMultilevel"/>
    <w:tmpl w:val="8EB88CB0"/>
    <w:lvl w:ilvl="0" w:tplc="14090001">
      <w:start w:val="1"/>
      <w:numFmt w:val="bullet"/>
      <w:lvlText w:val=""/>
      <w:lvlJc w:val="left"/>
      <w:pPr>
        <w:ind w:left="360" w:hanging="360"/>
      </w:pPr>
      <w:rPr>
        <w:rFonts w:ascii="Symbol" w:hAnsi="Symbol" w:hint="default"/>
      </w:rPr>
    </w:lvl>
    <w:lvl w:ilvl="1" w:tplc="D4068080">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E4D254A"/>
    <w:multiLevelType w:val="singleLevel"/>
    <w:tmpl w:val="3D7651AA"/>
    <w:lvl w:ilvl="0">
      <w:start w:val="1"/>
      <w:numFmt w:val="bullet"/>
      <w:lvlText w:val=""/>
      <w:lvlJc w:val="left"/>
      <w:pPr>
        <w:tabs>
          <w:tab w:val="num" w:pos="397"/>
        </w:tabs>
        <w:ind w:left="397" w:hanging="397"/>
      </w:pPr>
      <w:rPr>
        <w:rFonts w:ascii="Symbol" w:hAnsi="Symbol" w:hint="default"/>
        <w:sz w:val="20"/>
      </w:rPr>
    </w:lvl>
  </w:abstractNum>
  <w:num w:numId="1" w16cid:durableId="769349660">
    <w:abstractNumId w:val="6"/>
  </w:num>
  <w:num w:numId="2" w16cid:durableId="2088765408">
    <w:abstractNumId w:val="9"/>
  </w:num>
  <w:num w:numId="3" w16cid:durableId="1518038310">
    <w:abstractNumId w:val="16"/>
  </w:num>
  <w:num w:numId="4" w16cid:durableId="242029310">
    <w:abstractNumId w:val="13"/>
  </w:num>
  <w:num w:numId="5" w16cid:durableId="1133015867">
    <w:abstractNumId w:val="19"/>
  </w:num>
  <w:num w:numId="6" w16cid:durableId="1841701800">
    <w:abstractNumId w:val="2"/>
  </w:num>
  <w:num w:numId="7" w16cid:durableId="479929470">
    <w:abstractNumId w:val="17"/>
  </w:num>
  <w:num w:numId="8" w16cid:durableId="899752482">
    <w:abstractNumId w:val="20"/>
  </w:num>
  <w:num w:numId="9" w16cid:durableId="446001442">
    <w:abstractNumId w:val="10"/>
  </w:num>
  <w:num w:numId="10" w16cid:durableId="1651207572">
    <w:abstractNumId w:val="5"/>
  </w:num>
  <w:num w:numId="11" w16cid:durableId="620889777">
    <w:abstractNumId w:val="0"/>
  </w:num>
  <w:num w:numId="12" w16cid:durableId="1380596357">
    <w:abstractNumId w:val="7"/>
  </w:num>
  <w:num w:numId="13" w16cid:durableId="1085615137">
    <w:abstractNumId w:val="21"/>
  </w:num>
  <w:num w:numId="14" w16cid:durableId="460226216">
    <w:abstractNumId w:val="18"/>
  </w:num>
  <w:num w:numId="15" w16cid:durableId="971865547">
    <w:abstractNumId w:val="12"/>
  </w:num>
  <w:num w:numId="16" w16cid:durableId="720979219">
    <w:abstractNumId w:val="15"/>
  </w:num>
  <w:num w:numId="17" w16cid:durableId="453212065">
    <w:abstractNumId w:val="22"/>
  </w:num>
  <w:num w:numId="18" w16cid:durableId="710348605">
    <w:abstractNumId w:val="14"/>
  </w:num>
  <w:num w:numId="19" w16cid:durableId="1317345254">
    <w:abstractNumId w:val="11"/>
  </w:num>
  <w:num w:numId="20" w16cid:durableId="274678323">
    <w:abstractNumId w:val="1"/>
  </w:num>
  <w:num w:numId="21" w16cid:durableId="1565143635">
    <w:abstractNumId w:val="4"/>
  </w:num>
  <w:num w:numId="22" w16cid:durableId="1340817605">
    <w:abstractNumId w:val="8"/>
  </w:num>
  <w:num w:numId="23" w16cid:durableId="26870791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defaultTabStop w:val="397"/>
  <w:evenAndOddHeaders/>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0A"/>
    <w:rsid w:val="00001D99"/>
    <w:rsid w:val="00001F9F"/>
    <w:rsid w:val="00002886"/>
    <w:rsid w:val="0000371E"/>
    <w:rsid w:val="00003E41"/>
    <w:rsid w:val="000042BE"/>
    <w:rsid w:val="00004616"/>
    <w:rsid w:val="00005A2D"/>
    <w:rsid w:val="00006C58"/>
    <w:rsid w:val="00007159"/>
    <w:rsid w:val="0000738C"/>
    <w:rsid w:val="00007ABB"/>
    <w:rsid w:val="00007C0D"/>
    <w:rsid w:val="00010011"/>
    <w:rsid w:val="000107EF"/>
    <w:rsid w:val="00010CA6"/>
    <w:rsid w:val="00011153"/>
    <w:rsid w:val="00011803"/>
    <w:rsid w:val="00012DDD"/>
    <w:rsid w:val="000172C5"/>
    <w:rsid w:val="0001730B"/>
    <w:rsid w:val="00017639"/>
    <w:rsid w:val="00020A0A"/>
    <w:rsid w:val="00020A97"/>
    <w:rsid w:val="00020B84"/>
    <w:rsid w:val="00021538"/>
    <w:rsid w:val="00021ACF"/>
    <w:rsid w:val="00022E1E"/>
    <w:rsid w:val="00024AFA"/>
    <w:rsid w:val="00025A36"/>
    <w:rsid w:val="0002700B"/>
    <w:rsid w:val="00027A04"/>
    <w:rsid w:val="00031514"/>
    <w:rsid w:val="00032A28"/>
    <w:rsid w:val="00034DD1"/>
    <w:rsid w:val="00035C27"/>
    <w:rsid w:val="00036DEE"/>
    <w:rsid w:val="00041407"/>
    <w:rsid w:val="000414E5"/>
    <w:rsid w:val="00041BEA"/>
    <w:rsid w:val="000426D3"/>
    <w:rsid w:val="000431F7"/>
    <w:rsid w:val="00044A05"/>
    <w:rsid w:val="0004673E"/>
    <w:rsid w:val="000473F9"/>
    <w:rsid w:val="00047A24"/>
    <w:rsid w:val="00050008"/>
    <w:rsid w:val="000518E3"/>
    <w:rsid w:val="000523C6"/>
    <w:rsid w:val="00052E8A"/>
    <w:rsid w:val="000537F9"/>
    <w:rsid w:val="00053996"/>
    <w:rsid w:val="00053B4A"/>
    <w:rsid w:val="0005440E"/>
    <w:rsid w:val="0005600B"/>
    <w:rsid w:val="00056146"/>
    <w:rsid w:val="000562CA"/>
    <w:rsid w:val="00056475"/>
    <w:rsid w:val="00056EF5"/>
    <w:rsid w:val="00060071"/>
    <w:rsid w:val="000618FE"/>
    <w:rsid w:val="00064378"/>
    <w:rsid w:val="00065BC2"/>
    <w:rsid w:val="00065F36"/>
    <w:rsid w:val="000664E3"/>
    <w:rsid w:val="00067B67"/>
    <w:rsid w:val="00067C59"/>
    <w:rsid w:val="00071167"/>
    <w:rsid w:val="00072CC3"/>
    <w:rsid w:val="00073476"/>
    <w:rsid w:val="00073A3A"/>
    <w:rsid w:val="00073C12"/>
    <w:rsid w:val="00074CA6"/>
    <w:rsid w:val="0007677F"/>
    <w:rsid w:val="0007679E"/>
    <w:rsid w:val="00076989"/>
    <w:rsid w:val="00076F43"/>
    <w:rsid w:val="00081094"/>
    <w:rsid w:val="00082461"/>
    <w:rsid w:val="00082B89"/>
    <w:rsid w:val="0008308A"/>
    <w:rsid w:val="0008331B"/>
    <w:rsid w:val="00084185"/>
    <w:rsid w:val="0008421E"/>
    <w:rsid w:val="00085592"/>
    <w:rsid w:val="0008624E"/>
    <w:rsid w:val="00087BF8"/>
    <w:rsid w:val="00090483"/>
    <w:rsid w:val="0009067B"/>
    <w:rsid w:val="0009097B"/>
    <w:rsid w:val="00092AC3"/>
    <w:rsid w:val="00095D5A"/>
    <w:rsid w:val="0009663C"/>
    <w:rsid w:val="00096E9D"/>
    <w:rsid w:val="000977BC"/>
    <w:rsid w:val="000A0A0A"/>
    <w:rsid w:val="000A1704"/>
    <w:rsid w:val="000A258F"/>
    <w:rsid w:val="000A591B"/>
    <w:rsid w:val="000A597D"/>
    <w:rsid w:val="000A6968"/>
    <w:rsid w:val="000A7D55"/>
    <w:rsid w:val="000B0D05"/>
    <w:rsid w:val="000B1105"/>
    <w:rsid w:val="000B20A8"/>
    <w:rsid w:val="000B29C6"/>
    <w:rsid w:val="000B3442"/>
    <w:rsid w:val="000B5468"/>
    <w:rsid w:val="000B5887"/>
    <w:rsid w:val="000B5B4E"/>
    <w:rsid w:val="000B5B60"/>
    <w:rsid w:val="000B5E9E"/>
    <w:rsid w:val="000B6CAD"/>
    <w:rsid w:val="000B77B9"/>
    <w:rsid w:val="000C0AE3"/>
    <w:rsid w:val="000C2060"/>
    <w:rsid w:val="000C20A6"/>
    <w:rsid w:val="000C2627"/>
    <w:rsid w:val="000C438B"/>
    <w:rsid w:val="000C58D0"/>
    <w:rsid w:val="000C5C04"/>
    <w:rsid w:val="000C5EB7"/>
    <w:rsid w:val="000C628C"/>
    <w:rsid w:val="000C700D"/>
    <w:rsid w:val="000C7936"/>
    <w:rsid w:val="000D200B"/>
    <w:rsid w:val="000D2B6A"/>
    <w:rsid w:val="000D355E"/>
    <w:rsid w:val="000D41A3"/>
    <w:rsid w:val="000D4355"/>
    <w:rsid w:val="000D46EF"/>
    <w:rsid w:val="000D4E46"/>
    <w:rsid w:val="000D5210"/>
    <w:rsid w:val="000D59C2"/>
    <w:rsid w:val="000D5C95"/>
    <w:rsid w:val="000D6592"/>
    <w:rsid w:val="000D65C6"/>
    <w:rsid w:val="000D6A11"/>
    <w:rsid w:val="000D6E50"/>
    <w:rsid w:val="000E0201"/>
    <w:rsid w:val="000E1448"/>
    <w:rsid w:val="000E1FDB"/>
    <w:rsid w:val="000E2994"/>
    <w:rsid w:val="000E554E"/>
    <w:rsid w:val="000E714F"/>
    <w:rsid w:val="000F047D"/>
    <w:rsid w:val="000F1DC2"/>
    <w:rsid w:val="000F2D74"/>
    <w:rsid w:val="000F3037"/>
    <w:rsid w:val="000F45ED"/>
    <w:rsid w:val="000F4DEF"/>
    <w:rsid w:val="000F5FDB"/>
    <w:rsid w:val="000F61D7"/>
    <w:rsid w:val="000F6F79"/>
    <w:rsid w:val="000F7BEC"/>
    <w:rsid w:val="001004AB"/>
    <w:rsid w:val="001004F1"/>
    <w:rsid w:val="00100BCE"/>
    <w:rsid w:val="001015A4"/>
    <w:rsid w:val="001017F1"/>
    <w:rsid w:val="00101B86"/>
    <w:rsid w:val="00101FB9"/>
    <w:rsid w:val="00103DF2"/>
    <w:rsid w:val="0010462E"/>
    <w:rsid w:val="00104B3A"/>
    <w:rsid w:val="0010517A"/>
    <w:rsid w:val="00105594"/>
    <w:rsid w:val="00106FD0"/>
    <w:rsid w:val="00107644"/>
    <w:rsid w:val="0010779B"/>
    <w:rsid w:val="00107DD6"/>
    <w:rsid w:val="00110149"/>
    <w:rsid w:val="001104DB"/>
    <w:rsid w:val="00111CF6"/>
    <w:rsid w:val="00111E9C"/>
    <w:rsid w:val="00112450"/>
    <w:rsid w:val="00112534"/>
    <w:rsid w:val="0011281F"/>
    <w:rsid w:val="00112C8E"/>
    <w:rsid w:val="00113DE0"/>
    <w:rsid w:val="001142D6"/>
    <w:rsid w:val="00116E1B"/>
    <w:rsid w:val="00116F16"/>
    <w:rsid w:val="00120036"/>
    <w:rsid w:val="00120F89"/>
    <w:rsid w:val="00121ACE"/>
    <w:rsid w:val="001221C3"/>
    <w:rsid w:val="0012262A"/>
    <w:rsid w:val="00123B4C"/>
    <w:rsid w:val="001242B5"/>
    <w:rsid w:val="00125316"/>
    <w:rsid w:val="001260B0"/>
    <w:rsid w:val="001320D0"/>
    <w:rsid w:val="001350D3"/>
    <w:rsid w:val="00135F83"/>
    <w:rsid w:val="00141AB8"/>
    <w:rsid w:val="00141FAF"/>
    <w:rsid w:val="001420F3"/>
    <w:rsid w:val="001427B9"/>
    <w:rsid w:val="001432CD"/>
    <w:rsid w:val="00143462"/>
    <w:rsid w:val="0014425D"/>
    <w:rsid w:val="0014513D"/>
    <w:rsid w:val="00146042"/>
    <w:rsid w:val="001461DA"/>
    <w:rsid w:val="0014637B"/>
    <w:rsid w:val="00147582"/>
    <w:rsid w:val="00147BC9"/>
    <w:rsid w:val="00152DF6"/>
    <w:rsid w:val="00153BAD"/>
    <w:rsid w:val="00154AB9"/>
    <w:rsid w:val="00154F12"/>
    <w:rsid w:val="00155BA2"/>
    <w:rsid w:val="00155C67"/>
    <w:rsid w:val="00155E0C"/>
    <w:rsid w:val="001625F3"/>
    <w:rsid w:val="00162AB9"/>
    <w:rsid w:val="00162DB3"/>
    <w:rsid w:val="00162DBB"/>
    <w:rsid w:val="00163A2C"/>
    <w:rsid w:val="00163E6D"/>
    <w:rsid w:val="001644FF"/>
    <w:rsid w:val="00164E9E"/>
    <w:rsid w:val="001650CD"/>
    <w:rsid w:val="00165117"/>
    <w:rsid w:val="00167069"/>
    <w:rsid w:val="00167B58"/>
    <w:rsid w:val="001703DB"/>
    <w:rsid w:val="001707BA"/>
    <w:rsid w:val="00170A39"/>
    <w:rsid w:val="00170DE6"/>
    <w:rsid w:val="00172732"/>
    <w:rsid w:val="00172C06"/>
    <w:rsid w:val="001733A5"/>
    <w:rsid w:val="00176579"/>
    <w:rsid w:val="001773EE"/>
    <w:rsid w:val="00181C08"/>
    <w:rsid w:val="001821CC"/>
    <w:rsid w:val="00182C59"/>
    <w:rsid w:val="00182D1F"/>
    <w:rsid w:val="00184B42"/>
    <w:rsid w:val="00184FAB"/>
    <w:rsid w:val="001857F9"/>
    <w:rsid w:val="00190207"/>
    <w:rsid w:val="00190AB4"/>
    <w:rsid w:val="00190B80"/>
    <w:rsid w:val="00191312"/>
    <w:rsid w:val="00192D07"/>
    <w:rsid w:val="00193405"/>
    <w:rsid w:val="001939CC"/>
    <w:rsid w:val="00195433"/>
    <w:rsid w:val="0019591E"/>
    <w:rsid w:val="00195C67"/>
    <w:rsid w:val="00197174"/>
    <w:rsid w:val="001979C4"/>
    <w:rsid w:val="001A1997"/>
    <w:rsid w:val="001A2C50"/>
    <w:rsid w:val="001A3004"/>
    <w:rsid w:val="001A3487"/>
    <w:rsid w:val="001A4040"/>
    <w:rsid w:val="001A4DE5"/>
    <w:rsid w:val="001A58BD"/>
    <w:rsid w:val="001A685A"/>
    <w:rsid w:val="001A76B9"/>
    <w:rsid w:val="001B06A7"/>
    <w:rsid w:val="001B1F05"/>
    <w:rsid w:val="001B2C97"/>
    <w:rsid w:val="001B2F90"/>
    <w:rsid w:val="001B3C41"/>
    <w:rsid w:val="001B42D8"/>
    <w:rsid w:val="001B4418"/>
    <w:rsid w:val="001B5063"/>
    <w:rsid w:val="001B5B25"/>
    <w:rsid w:val="001B6FC4"/>
    <w:rsid w:val="001B7A9A"/>
    <w:rsid w:val="001B7E06"/>
    <w:rsid w:val="001C0250"/>
    <w:rsid w:val="001C03E5"/>
    <w:rsid w:val="001C19E1"/>
    <w:rsid w:val="001C22B8"/>
    <w:rsid w:val="001C2C40"/>
    <w:rsid w:val="001C3BAE"/>
    <w:rsid w:val="001C43D3"/>
    <w:rsid w:val="001C4593"/>
    <w:rsid w:val="001C46F3"/>
    <w:rsid w:val="001C4AC4"/>
    <w:rsid w:val="001C5A74"/>
    <w:rsid w:val="001C5A79"/>
    <w:rsid w:val="001C6AC2"/>
    <w:rsid w:val="001C76C4"/>
    <w:rsid w:val="001C7B5E"/>
    <w:rsid w:val="001D0E86"/>
    <w:rsid w:val="001D10C1"/>
    <w:rsid w:val="001D1824"/>
    <w:rsid w:val="001D263C"/>
    <w:rsid w:val="001D458C"/>
    <w:rsid w:val="001D53D8"/>
    <w:rsid w:val="001D5824"/>
    <w:rsid w:val="001D5CB3"/>
    <w:rsid w:val="001D5FE1"/>
    <w:rsid w:val="001D6AB0"/>
    <w:rsid w:val="001D6ACA"/>
    <w:rsid w:val="001E0D1C"/>
    <w:rsid w:val="001E0F16"/>
    <w:rsid w:val="001E1D42"/>
    <w:rsid w:val="001E349A"/>
    <w:rsid w:val="001E3E02"/>
    <w:rsid w:val="001E4238"/>
    <w:rsid w:val="001E72FB"/>
    <w:rsid w:val="001F032C"/>
    <w:rsid w:val="001F0BE8"/>
    <w:rsid w:val="001F0FE9"/>
    <w:rsid w:val="001F12B8"/>
    <w:rsid w:val="001F14F3"/>
    <w:rsid w:val="001F3CF5"/>
    <w:rsid w:val="001F3E1E"/>
    <w:rsid w:val="001F54F4"/>
    <w:rsid w:val="001F5676"/>
    <w:rsid w:val="001F5CE9"/>
    <w:rsid w:val="001F6964"/>
    <w:rsid w:val="001F69CD"/>
    <w:rsid w:val="001F71A4"/>
    <w:rsid w:val="00200E09"/>
    <w:rsid w:val="002010BA"/>
    <w:rsid w:val="00201173"/>
    <w:rsid w:val="00201609"/>
    <w:rsid w:val="002017F2"/>
    <w:rsid w:val="0020345A"/>
    <w:rsid w:val="00204F5F"/>
    <w:rsid w:val="00205466"/>
    <w:rsid w:val="00205E16"/>
    <w:rsid w:val="00205F6E"/>
    <w:rsid w:val="00207074"/>
    <w:rsid w:val="00207ABF"/>
    <w:rsid w:val="00210747"/>
    <w:rsid w:val="00210861"/>
    <w:rsid w:val="00211678"/>
    <w:rsid w:val="002141BE"/>
    <w:rsid w:val="002179A2"/>
    <w:rsid w:val="00220272"/>
    <w:rsid w:val="00220ABB"/>
    <w:rsid w:val="00221233"/>
    <w:rsid w:val="0022136D"/>
    <w:rsid w:val="00222A11"/>
    <w:rsid w:val="00223019"/>
    <w:rsid w:val="002237FF"/>
    <w:rsid w:val="00223F09"/>
    <w:rsid w:val="0022586A"/>
    <w:rsid w:val="002269DC"/>
    <w:rsid w:val="00227394"/>
    <w:rsid w:val="00232543"/>
    <w:rsid w:val="00235A01"/>
    <w:rsid w:val="00236101"/>
    <w:rsid w:val="0023627D"/>
    <w:rsid w:val="002362E9"/>
    <w:rsid w:val="0023782A"/>
    <w:rsid w:val="00241175"/>
    <w:rsid w:val="002421B4"/>
    <w:rsid w:val="0024367F"/>
    <w:rsid w:val="00243909"/>
    <w:rsid w:val="0024434A"/>
    <w:rsid w:val="002453F7"/>
    <w:rsid w:val="0024650C"/>
    <w:rsid w:val="002467FA"/>
    <w:rsid w:val="00246BD6"/>
    <w:rsid w:val="002474B3"/>
    <w:rsid w:val="00247D30"/>
    <w:rsid w:val="002504E1"/>
    <w:rsid w:val="00250F0C"/>
    <w:rsid w:val="0025213D"/>
    <w:rsid w:val="00252CC3"/>
    <w:rsid w:val="0025364B"/>
    <w:rsid w:val="002540FE"/>
    <w:rsid w:val="00255802"/>
    <w:rsid w:val="00256A5F"/>
    <w:rsid w:val="00256D82"/>
    <w:rsid w:val="00257257"/>
    <w:rsid w:val="0026007B"/>
    <w:rsid w:val="00260E78"/>
    <w:rsid w:val="00260F49"/>
    <w:rsid w:val="00261572"/>
    <w:rsid w:val="002619C0"/>
    <w:rsid w:val="00261A2A"/>
    <w:rsid w:val="00261ACC"/>
    <w:rsid w:val="00261B28"/>
    <w:rsid w:val="00261B9C"/>
    <w:rsid w:val="00261CCB"/>
    <w:rsid w:val="00261F68"/>
    <w:rsid w:val="002629B9"/>
    <w:rsid w:val="00262BF8"/>
    <w:rsid w:val="00263213"/>
    <w:rsid w:val="00265922"/>
    <w:rsid w:val="00265EFF"/>
    <w:rsid w:val="0026627A"/>
    <w:rsid w:val="00266983"/>
    <w:rsid w:val="00266A44"/>
    <w:rsid w:val="002714B9"/>
    <w:rsid w:val="00271EF3"/>
    <w:rsid w:val="0027213A"/>
    <w:rsid w:val="00272721"/>
    <w:rsid w:val="00272D7D"/>
    <w:rsid w:val="0027371A"/>
    <w:rsid w:val="00276188"/>
    <w:rsid w:val="002769A9"/>
    <w:rsid w:val="0027740A"/>
    <w:rsid w:val="002776E5"/>
    <w:rsid w:val="00277F79"/>
    <w:rsid w:val="00280660"/>
    <w:rsid w:val="00280668"/>
    <w:rsid w:val="00282123"/>
    <w:rsid w:val="00282793"/>
    <w:rsid w:val="002848E1"/>
    <w:rsid w:val="0028566D"/>
    <w:rsid w:val="0028581A"/>
    <w:rsid w:val="00286420"/>
    <w:rsid w:val="00290288"/>
    <w:rsid w:val="00290CD3"/>
    <w:rsid w:val="00291BEE"/>
    <w:rsid w:val="0029228F"/>
    <w:rsid w:val="00292727"/>
    <w:rsid w:val="00294E22"/>
    <w:rsid w:val="00295197"/>
    <w:rsid w:val="00295B2A"/>
    <w:rsid w:val="002963D8"/>
    <w:rsid w:val="00296584"/>
    <w:rsid w:val="002979CD"/>
    <w:rsid w:val="002A03E2"/>
    <w:rsid w:val="002A0DAB"/>
    <w:rsid w:val="002A1A25"/>
    <w:rsid w:val="002A290C"/>
    <w:rsid w:val="002A33CD"/>
    <w:rsid w:val="002A6A85"/>
    <w:rsid w:val="002A7740"/>
    <w:rsid w:val="002B0637"/>
    <w:rsid w:val="002B1C5A"/>
    <w:rsid w:val="002B3284"/>
    <w:rsid w:val="002B32C7"/>
    <w:rsid w:val="002B397B"/>
    <w:rsid w:val="002B7513"/>
    <w:rsid w:val="002B78ED"/>
    <w:rsid w:val="002B79CF"/>
    <w:rsid w:val="002C3977"/>
    <w:rsid w:val="002C3EAB"/>
    <w:rsid w:val="002C46E7"/>
    <w:rsid w:val="002C5653"/>
    <w:rsid w:val="002C5765"/>
    <w:rsid w:val="002C62E6"/>
    <w:rsid w:val="002C6428"/>
    <w:rsid w:val="002D0E1D"/>
    <w:rsid w:val="002D26FB"/>
    <w:rsid w:val="002D2E23"/>
    <w:rsid w:val="002D420A"/>
    <w:rsid w:val="002D4396"/>
    <w:rsid w:val="002D574D"/>
    <w:rsid w:val="002D5C81"/>
    <w:rsid w:val="002D60DB"/>
    <w:rsid w:val="002D6123"/>
    <w:rsid w:val="002D679B"/>
    <w:rsid w:val="002D7293"/>
    <w:rsid w:val="002D757F"/>
    <w:rsid w:val="002E0AF6"/>
    <w:rsid w:val="002E1817"/>
    <w:rsid w:val="002E1D2A"/>
    <w:rsid w:val="002E257F"/>
    <w:rsid w:val="002E40F2"/>
    <w:rsid w:val="002E56F9"/>
    <w:rsid w:val="002E64C9"/>
    <w:rsid w:val="002E7C74"/>
    <w:rsid w:val="002F134A"/>
    <w:rsid w:val="002F258D"/>
    <w:rsid w:val="002F2A6A"/>
    <w:rsid w:val="002F2F17"/>
    <w:rsid w:val="002F4277"/>
    <w:rsid w:val="002F54A1"/>
    <w:rsid w:val="002F5755"/>
    <w:rsid w:val="002F5C04"/>
    <w:rsid w:val="0030091F"/>
    <w:rsid w:val="00300BB1"/>
    <w:rsid w:val="003018FD"/>
    <w:rsid w:val="00302D84"/>
    <w:rsid w:val="003067E5"/>
    <w:rsid w:val="00306C94"/>
    <w:rsid w:val="00307F42"/>
    <w:rsid w:val="00307FE1"/>
    <w:rsid w:val="003110BE"/>
    <w:rsid w:val="00313337"/>
    <w:rsid w:val="00313AF9"/>
    <w:rsid w:val="003147B0"/>
    <w:rsid w:val="00314AE9"/>
    <w:rsid w:val="0031570F"/>
    <w:rsid w:val="00315760"/>
    <w:rsid w:val="00316C5D"/>
    <w:rsid w:val="0031703B"/>
    <w:rsid w:val="0031743E"/>
    <w:rsid w:val="003174D3"/>
    <w:rsid w:val="0031788C"/>
    <w:rsid w:val="00317933"/>
    <w:rsid w:val="00320A84"/>
    <w:rsid w:val="00320D7E"/>
    <w:rsid w:val="00321A57"/>
    <w:rsid w:val="00322445"/>
    <w:rsid w:val="003226E2"/>
    <w:rsid w:val="003227AA"/>
    <w:rsid w:val="00323AB0"/>
    <w:rsid w:val="00324A39"/>
    <w:rsid w:val="003256E0"/>
    <w:rsid w:val="00326C69"/>
    <w:rsid w:val="00327A43"/>
    <w:rsid w:val="00330A10"/>
    <w:rsid w:val="00331381"/>
    <w:rsid w:val="00332177"/>
    <w:rsid w:val="003326E2"/>
    <w:rsid w:val="00332BD8"/>
    <w:rsid w:val="00333131"/>
    <w:rsid w:val="003338FB"/>
    <w:rsid w:val="00333930"/>
    <w:rsid w:val="00333B40"/>
    <w:rsid w:val="00334C7B"/>
    <w:rsid w:val="00337AC8"/>
    <w:rsid w:val="00337DE5"/>
    <w:rsid w:val="003409A0"/>
    <w:rsid w:val="0034199C"/>
    <w:rsid w:val="003429CA"/>
    <w:rsid w:val="00342ECD"/>
    <w:rsid w:val="0034334D"/>
    <w:rsid w:val="00343A39"/>
    <w:rsid w:val="00343F69"/>
    <w:rsid w:val="00344402"/>
    <w:rsid w:val="003450BF"/>
    <w:rsid w:val="00347040"/>
    <w:rsid w:val="003512A8"/>
    <w:rsid w:val="0035270C"/>
    <w:rsid w:val="00352BC1"/>
    <w:rsid w:val="00354715"/>
    <w:rsid w:val="0035556F"/>
    <w:rsid w:val="0035656B"/>
    <w:rsid w:val="00357941"/>
    <w:rsid w:val="0036075B"/>
    <w:rsid w:val="00360CCC"/>
    <w:rsid w:val="003654B2"/>
    <w:rsid w:val="00365645"/>
    <w:rsid w:val="003678CC"/>
    <w:rsid w:val="00371160"/>
    <w:rsid w:val="00372788"/>
    <w:rsid w:val="00372DB5"/>
    <w:rsid w:val="003732DD"/>
    <w:rsid w:val="0037590E"/>
    <w:rsid w:val="00375D33"/>
    <w:rsid w:val="00376AF8"/>
    <w:rsid w:val="00377747"/>
    <w:rsid w:val="00377F45"/>
    <w:rsid w:val="00380624"/>
    <w:rsid w:val="00381940"/>
    <w:rsid w:val="003822D3"/>
    <w:rsid w:val="00383207"/>
    <w:rsid w:val="00383D91"/>
    <w:rsid w:val="00385A2B"/>
    <w:rsid w:val="00386E29"/>
    <w:rsid w:val="003901C3"/>
    <w:rsid w:val="00390758"/>
    <w:rsid w:val="003927D6"/>
    <w:rsid w:val="003948D8"/>
    <w:rsid w:val="00394CAB"/>
    <w:rsid w:val="00395030"/>
    <w:rsid w:val="00395666"/>
    <w:rsid w:val="00395AAD"/>
    <w:rsid w:val="00397315"/>
    <w:rsid w:val="00397D2B"/>
    <w:rsid w:val="003A115E"/>
    <w:rsid w:val="003A5B74"/>
    <w:rsid w:val="003A5DF5"/>
    <w:rsid w:val="003A7044"/>
    <w:rsid w:val="003A7CAF"/>
    <w:rsid w:val="003A7E3A"/>
    <w:rsid w:val="003B0729"/>
    <w:rsid w:val="003B0FD8"/>
    <w:rsid w:val="003B2B39"/>
    <w:rsid w:val="003B2CE7"/>
    <w:rsid w:val="003B3CC7"/>
    <w:rsid w:val="003B4A9C"/>
    <w:rsid w:val="003B5241"/>
    <w:rsid w:val="003B60BD"/>
    <w:rsid w:val="003B66E4"/>
    <w:rsid w:val="003C0274"/>
    <w:rsid w:val="003C177E"/>
    <w:rsid w:val="003C188C"/>
    <w:rsid w:val="003C1DFC"/>
    <w:rsid w:val="003C2615"/>
    <w:rsid w:val="003C3B77"/>
    <w:rsid w:val="003C3C5F"/>
    <w:rsid w:val="003C4184"/>
    <w:rsid w:val="003C437B"/>
    <w:rsid w:val="003C4579"/>
    <w:rsid w:val="003C4929"/>
    <w:rsid w:val="003C4A16"/>
    <w:rsid w:val="003C55B2"/>
    <w:rsid w:val="003C60DD"/>
    <w:rsid w:val="003C6519"/>
    <w:rsid w:val="003C67B8"/>
    <w:rsid w:val="003D24EA"/>
    <w:rsid w:val="003D5672"/>
    <w:rsid w:val="003D5D22"/>
    <w:rsid w:val="003D69E2"/>
    <w:rsid w:val="003D6F4D"/>
    <w:rsid w:val="003D70EA"/>
    <w:rsid w:val="003D74EC"/>
    <w:rsid w:val="003D7C8B"/>
    <w:rsid w:val="003E0115"/>
    <w:rsid w:val="003E04A2"/>
    <w:rsid w:val="003E0698"/>
    <w:rsid w:val="003E0DCC"/>
    <w:rsid w:val="003E1ACD"/>
    <w:rsid w:val="003E1D3C"/>
    <w:rsid w:val="003E2E14"/>
    <w:rsid w:val="003E3ECD"/>
    <w:rsid w:val="003E4255"/>
    <w:rsid w:val="003E4AC4"/>
    <w:rsid w:val="003E4B7D"/>
    <w:rsid w:val="003E6315"/>
    <w:rsid w:val="003E75E5"/>
    <w:rsid w:val="003E7A78"/>
    <w:rsid w:val="003E7D3E"/>
    <w:rsid w:val="003E7E7F"/>
    <w:rsid w:val="003F0FF8"/>
    <w:rsid w:val="003F1373"/>
    <w:rsid w:val="003F1CA1"/>
    <w:rsid w:val="003F311D"/>
    <w:rsid w:val="003F3388"/>
    <w:rsid w:val="003F4368"/>
    <w:rsid w:val="003F450C"/>
    <w:rsid w:val="003F6F1D"/>
    <w:rsid w:val="004009FD"/>
    <w:rsid w:val="00400A66"/>
    <w:rsid w:val="00400F92"/>
    <w:rsid w:val="00403D9C"/>
    <w:rsid w:val="00403DAB"/>
    <w:rsid w:val="0040457D"/>
    <w:rsid w:val="0040462F"/>
    <w:rsid w:val="00407749"/>
    <w:rsid w:val="00407F17"/>
    <w:rsid w:val="00412363"/>
    <w:rsid w:val="00412D3E"/>
    <w:rsid w:val="00413172"/>
    <w:rsid w:val="00414836"/>
    <w:rsid w:val="004152F8"/>
    <w:rsid w:val="004169C6"/>
    <w:rsid w:val="004174B9"/>
    <w:rsid w:val="0041790D"/>
    <w:rsid w:val="00420518"/>
    <w:rsid w:val="0042068F"/>
    <w:rsid w:val="00421D30"/>
    <w:rsid w:val="00422DDE"/>
    <w:rsid w:val="00423A8F"/>
    <w:rsid w:val="0042424B"/>
    <w:rsid w:val="0042448F"/>
    <w:rsid w:val="0042521B"/>
    <w:rsid w:val="004256EB"/>
    <w:rsid w:val="00425F28"/>
    <w:rsid w:val="00426068"/>
    <w:rsid w:val="004266E4"/>
    <w:rsid w:val="0042671E"/>
    <w:rsid w:val="00426979"/>
    <w:rsid w:val="004303D1"/>
    <w:rsid w:val="00430875"/>
    <w:rsid w:val="00430AC8"/>
    <w:rsid w:val="00432F87"/>
    <w:rsid w:val="0043372F"/>
    <w:rsid w:val="004337E2"/>
    <w:rsid w:val="00433ACA"/>
    <w:rsid w:val="00433CD8"/>
    <w:rsid w:val="0043661E"/>
    <w:rsid w:val="004366CE"/>
    <w:rsid w:val="0043717E"/>
    <w:rsid w:val="0043781F"/>
    <w:rsid w:val="0044076C"/>
    <w:rsid w:val="004435E0"/>
    <w:rsid w:val="0044581A"/>
    <w:rsid w:val="004479E9"/>
    <w:rsid w:val="00447F2A"/>
    <w:rsid w:val="004509F7"/>
    <w:rsid w:val="00450CDC"/>
    <w:rsid w:val="004551EE"/>
    <w:rsid w:val="00455232"/>
    <w:rsid w:val="0045652C"/>
    <w:rsid w:val="00460907"/>
    <w:rsid w:val="00461DBB"/>
    <w:rsid w:val="00462DA0"/>
    <w:rsid w:val="0046350A"/>
    <w:rsid w:val="00464773"/>
    <w:rsid w:val="0046535B"/>
    <w:rsid w:val="0046558C"/>
    <w:rsid w:val="00466847"/>
    <w:rsid w:val="004669A4"/>
    <w:rsid w:val="00466B01"/>
    <w:rsid w:val="00466B61"/>
    <w:rsid w:val="00466C86"/>
    <w:rsid w:val="00470027"/>
    <w:rsid w:val="004700DC"/>
    <w:rsid w:val="004702D5"/>
    <w:rsid w:val="0047044F"/>
    <w:rsid w:val="00470B8A"/>
    <w:rsid w:val="004714C1"/>
    <w:rsid w:val="00471C00"/>
    <w:rsid w:val="00472397"/>
    <w:rsid w:val="0047245F"/>
    <w:rsid w:val="0047345C"/>
    <w:rsid w:val="00473703"/>
    <w:rsid w:val="00473A31"/>
    <w:rsid w:val="0047464F"/>
    <w:rsid w:val="00475002"/>
    <w:rsid w:val="0047680E"/>
    <w:rsid w:val="00476AA1"/>
    <w:rsid w:val="00480499"/>
    <w:rsid w:val="004805A3"/>
    <w:rsid w:val="004807E3"/>
    <w:rsid w:val="00480897"/>
    <w:rsid w:val="00480BC1"/>
    <w:rsid w:val="00480FF0"/>
    <w:rsid w:val="004826DF"/>
    <w:rsid w:val="00484DF4"/>
    <w:rsid w:val="00484E67"/>
    <w:rsid w:val="004904F7"/>
    <w:rsid w:val="00490EB0"/>
    <w:rsid w:val="00491062"/>
    <w:rsid w:val="00491B67"/>
    <w:rsid w:val="004930CB"/>
    <w:rsid w:val="00493F5D"/>
    <w:rsid w:val="004948C0"/>
    <w:rsid w:val="00494CC2"/>
    <w:rsid w:val="00495FFF"/>
    <w:rsid w:val="00496377"/>
    <w:rsid w:val="0049669A"/>
    <w:rsid w:val="00496BF0"/>
    <w:rsid w:val="004A18AD"/>
    <w:rsid w:val="004A1C23"/>
    <w:rsid w:val="004A1FD5"/>
    <w:rsid w:val="004A28CB"/>
    <w:rsid w:val="004A337D"/>
    <w:rsid w:val="004A348C"/>
    <w:rsid w:val="004A5319"/>
    <w:rsid w:val="004A618E"/>
    <w:rsid w:val="004A661D"/>
    <w:rsid w:val="004A79B1"/>
    <w:rsid w:val="004A7EAC"/>
    <w:rsid w:val="004B0590"/>
    <w:rsid w:val="004B0B50"/>
    <w:rsid w:val="004B0D14"/>
    <w:rsid w:val="004B0F30"/>
    <w:rsid w:val="004B1523"/>
    <w:rsid w:val="004B3770"/>
    <w:rsid w:val="004B3F83"/>
    <w:rsid w:val="004B4324"/>
    <w:rsid w:val="004B72C8"/>
    <w:rsid w:val="004C1281"/>
    <w:rsid w:val="004C1E2A"/>
    <w:rsid w:val="004C26F2"/>
    <w:rsid w:val="004C326D"/>
    <w:rsid w:val="004C42CC"/>
    <w:rsid w:val="004C43E9"/>
    <w:rsid w:val="004C4686"/>
    <w:rsid w:val="004C47DC"/>
    <w:rsid w:val="004C4D0C"/>
    <w:rsid w:val="004C6A0B"/>
    <w:rsid w:val="004C6B83"/>
    <w:rsid w:val="004C78D4"/>
    <w:rsid w:val="004C7B6C"/>
    <w:rsid w:val="004D13C6"/>
    <w:rsid w:val="004D199C"/>
    <w:rsid w:val="004D28BA"/>
    <w:rsid w:val="004D548D"/>
    <w:rsid w:val="004D786A"/>
    <w:rsid w:val="004E070B"/>
    <w:rsid w:val="004E0725"/>
    <w:rsid w:val="004E0BA1"/>
    <w:rsid w:val="004E1451"/>
    <w:rsid w:val="004E14B7"/>
    <w:rsid w:val="004E2061"/>
    <w:rsid w:val="004E3B1C"/>
    <w:rsid w:val="004E4B2C"/>
    <w:rsid w:val="004E4C13"/>
    <w:rsid w:val="004E536F"/>
    <w:rsid w:val="004E53A1"/>
    <w:rsid w:val="004E6A4D"/>
    <w:rsid w:val="004F1036"/>
    <w:rsid w:val="004F1697"/>
    <w:rsid w:val="004F25C0"/>
    <w:rsid w:val="004F54D4"/>
    <w:rsid w:val="004F651C"/>
    <w:rsid w:val="004F6BAA"/>
    <w:rsid w:val="004F7069"/>
    <w:rsid w:val="00501E19"/>
    <w:rsid w:val="00502444"/>
    <w:rsid w:val="00502B92"/>
    <w:rsid w:val="00502C88"/>
    <w:rsid w:val="00504F23"/>
    <w:rsid w:val="00505924"/>
    <w:rsid w:val="00506204"/>
    <w:rsid w:val="00506989"/>
    <w:rsid w:val="00506F4D"/>
    <w:rsid w:val="00507321"/>
    <w:rsid w:val="005073E9"/>
    <w:rsid w:val="00507BF0"/>
    <w:rsid w:val="0051015B"/>
    <w:rsid w:val="00511C40"/>
    <w:rsid w:val="00511EFA"/>
    <w:rsid w:val="00513BA0"/>
    <w:rsid w:val="005160FA"/>
    <w:rsid w:val="00516290"/>
    <w:rsid w:val="005168B7"/>
    <w:rsid w:val="00516FDF"/>
    <w:rsid w:val="005175FD"/>
    <w:rsid w:val="00517F8F"/>
    <w:rsid w:val="00521B93"/>
    <w:rsid w:val="00522FFC"/>
    <w:rsid w:val="005267D4"/>
    <w:rsid w:val="00526DEB"/>
    <w:rsid w:val="00530312"/>
    <w:rsid w:val="005303BA"/>
    <w:rsid w:val="0053064F"/>
    <w:rsid w:val="00530FB9"/>
    <w:rsid w:val="0053118F"/>
    <w:rsid w:val="0053120A"/>
    <w:rsid w:val="0053288E"/>
    <w:rsid w:val="00532ADF"/>
    <w:rsid w:val="0053379C"/>
    <w:rsid w:val="005358E4"/>
    <w:rsid w:val="005400EC"/>
    <w:rsid w:val="00540952"/>
    <w:rsid w:val="005423C6"/>
    <w:rsid w:val="00542495"/>
    <w:rsid w:val="005466AB"/>
    <w:rsid w:val="005466F7"/>
    <w:rsid w:val="00546F02"/>
    <w:rsid w:val="0054729C"/>
    <w:rsid w:val="00551BBF"/>
    <w:rsid w:val="00551ED8"/>
    <w:rsid w:val="00552E37"/>
    <w:rsid w:val="00556664"/>
    <w:rsid w:val="00557BD1"/>
    <w:rsid w:val="00557D15"/>
    <w:rsid w:val="005600B7"/>
    <w:rsid w:val="00562132"/>
    <w:rsid w:val="00562760"/>
    <w:rsid w:val="005630B0"/>
    <w:rsid w:val="0056333B"/>
    <w:rsid w:val="0056341B"/>
    <w:rsid w:val="00563531"/>
    <w:rsid w:val="0056389F"/>
    <w:rsid w:val="00563CE9"/>
    <w:rsid w:val="0056555C"/>
    <w:rsid w:val="00565999"/>
    <w:rsid w:val="00566F72"/>
    <w:rsid w:val="005671A8"/>
    <w:rsid w:val="00567BDC"/>
    <w:rsid w:val="00570350"/>
    <w:rsid w:val="0057042A"/>
    <w:rsid w:val="00571F71"/>
    <w:rsid w:val="005720F2"/>
    <w:rsid w:val="00572ABB"/>
    <w:rsid w:val="0057310B"/>
    <w:rsid w:val="0057463A"/>
    <w:rsid w:val="005746AB"/>
    <w:rsid w:val="0057472F"/>
    <w:rsid w:val="005752A8"/>
    <w:rsid w:val="005753A7"/>
    <w:rsid w:val="00575F6B"/>
    <w:rsid w:val="005764A1"/>
    <w:rsid w:val="0057733D"/>
    <w:rsid w:val="00580EF3"/>
    <w:rsid w:val="00582D80"/>
    <w:rsid w:val="0058485B"/>
    <w:rsid w:val="0058528E"/>
    <w:rsid w:val="005867DE"/>
    <w:rsid w:val="00587473"/>
    <w:rsid w:val="00587528"/>
    <w:rsid w:val="00590CD9"/>
    <w:rsid w:val="00591387"/>
    <w:rsid w:val="0059189D"/>
    <w:rsid w:val="00593C31"/>
    <w:rsid w:val="00594720"/>
    <w:rsid w:val="005955F6"/>
    <w:rsid w:val="00596052"/>
    <w:rsid w:val="00596603"/>
    <w:rsid w:val="00596A69"/>
    <w:rsid w:val="005A0910"/>
    <w:rsid w:val="005A17D8"/>
    <w:rsid w:val="005A1A85"/>
    <w:rsid w:val="005A30DD"/>
    <w:rsid w:val="005A7DE6"/>
    <w:rsid w:val="005B1064"/>
    <w:rsid w:val="005B1939"/>
    <w:rsid w:val="005B1A0C"/>
    <w:rsid w:val="005B41B8"/>
    <w:rsid w:val="005B4B95"/>
    <w:rsid w:val="005B50AE"/>
    <w:rsid w:val="005B6D80"/>
    <w:rsid w:val="005C020D"/>
    <w:rsid w:val="005C03CA"/>
    <w:rsid w:val="005C09B9"/>
    <w:rsid w:val="005C0F43"/>
    <w:rsid w:val="005C18F0"/>
    <w:rsid w:val="005C37A1"/>
    <w:rsid w:val="005C3CD0"/>
    <w:rsid w:val="005C416E"/>
    <w:rsid w:val="005C4242"/>
    <w:rsid w:val="005C5B65"/>
    <w:rsid w:val="005C6888"/>
    <w:rsid w:val="005C6A8E"/>
    <w:rsid w:val="005C6E33"/>
    <w:rsid w:val="005C7D30"/>
    <w:rsid w:val="005D1C3A"/>
    <w:rsid w:val="005D219E"/>
    <w:rsid w:val="005D2F1E"/>
    <w:rsid w:val="005D3DC5"/>
    <w:rsid w:val="005D4307"/>
    <w:rsid w:val="005D4F28"/>
    <w:rsid w:val="005D68E8"/>
    <w:rsid w:val="005D6BE2"/>
    <w:rsid w:val="005D6D32"/>
    <w:rsid w:val="005D7125"/>
    <w:rsid w:val="005D7410"/>
    <w:rsid w:val="005D78BC"/>
    <w:rsid w:val="005E2706"/>
    <w:rsid w:val="005E3A86"/>
    <w:rsid w:val="005E411E"/>
    <w:rsid w:val="005E43DD"/>
    <w:rsid w:val="005E4964"/>
    <w:rsid w:val="005E7624"/>
    <w:rsid w:val="005E7CC0"/>
    <w:rsid w:val="005E7E08"/>
    <w:rsid w:val="005E7E63"/>
    <w:rsid w:val="005F0A07"/>
    <w:rsid w:val="005F0AA9"/>
    <w:rsid w:val="005F2012"/>
    <w:rsid w:val="005F2B84"/>
    <w:rsid w:val="005F3633"/>
    <w:rsid w:val="005F39E9"/>
    <w:rsid w:val="005F3F4A"/>
    <w:rsid w:val="005F41BA"/>
    <w:rsid w:val="005F41C0"/>
    <w:rsid w:val="005F4875"/>
    <w:rsid w:val="005F4EBB"/>
    <w:rsid w:val="005F5CCE"/>
    <w:rsid w:val="005F667D"/>
    <w:rsid w:val="005F7DEB"/>
    <w:rsid w:val="0060123B"/>
    <w:rsid w:val="00601593"/>
    <w:rsid w:val="0060231B"/>
    <w:rsid w:val="00602855"/>
    <w:rsid w:val="00603363"/>
    <w:rsid w:val="006034F4"/>
    <w:rsid w:val="00603FC0"/>
    <w:rsid w:val="006070AB"/>
    <w:rsid w:val="00607757"/>
    <w:rsid w:val="00607A35"/>
    <w:rsid w:val="00611D3C"/>
    <w:rsid w:val="00613106"/>
    <w:rsid w:val="00613367"/>
    <w:rsid w:val="006145F7"/>
    <w:rsid w:val="00614600"/>
    <w:rsid w:val="00616258"/>
    <w:rsid w:val="00616E50"/>
    <w:rsid w:val="006201AD"/>
    <w:rsid w:val="00620707"/>
    <w:rsid w:val="00620BF3"/>
    <w:rsid w:val="00620CAD"/>
    <w:rsid w:val="00621731"/>
    <w:rsid w:val="0062428A"/>
    <w:rsid w:val="00624E59"/>
    <w:rsid w:val="0062548D"/>
    <w:rsid w:val="00625A84"/>
    <w:rsid w:val="00627641"/>
    <w:rsid w:val="00627DB4"/>
    <w:rsid w:val="00633DE5"/>
    <w:rsid w:val="0063581E"/>
    <w:rsid w:val="00636A67"/>
    <w:rsid w:val="00636BF0"/>
    <w:rsid w:val="00636E8F"/>
    <w:rsid w:val="0063742E"/>
    <w:rsid w:val="006429B4"/>
    <w:rsid w:val="00643808"/>
    <w:rsid w:val="00644FC4"/>
    <w:rsid w:val="00646DB2"/>
    <w:rsid w:val="00646E36"/>
    <w:rsid w:val="006507FD"/>
    <w:rsid w:val="00650810"/>
    <w:rsid w:val="00651503"/>
    <w:rsid w:val="00651688"/>
    <w:rsid w:val="00652022"/>
    <w:rsid w:val="00652C0D"/>
    <w:rsid w:val="0065374A"/>
    <w:rsid w:val="00654FE1"/>
    <w:rsid w:val="0065707B"/>
    <w:rsid w:val="006572F2"/>
    <w:rsid w:val="0065734C"/>
    <w:rsid w:val="0066013D"/>
    <w:rsid w:val="006603DC"/>
    <w:rsid w:val="006611D6"/>
    <w:rsid w:val="006620FE"/>
    <w:rsid w:val="00665768"/>
    <w:rsid w:val="00665B56"/>
    <w:rsid w:val="006675B3"/>
    <w:rsid w:val="00667920"/>
    <w:rsid w:val="00670DE9"/>
    <w:rsid w:val="00671120"/>
    <w:rsid w:val="00671541"/>
    <w:rsid w:val="0067298E"/>
    <w:rsid w:val="006730EC"/>
    <w:rsid w:val="006734EA"/>
    <w:rsid w:val="006735BD"/>
    <w:rsid w:val="00673C12"/>
    <w:rsid w:val="00673CBD"/>
    <w:rsid w:val="00674E07"/>
    <w:rsid w:val="0067568F"/>
    <w:rsid w:val="00675F61"/>
    <w:rsid w:val="00680CD5"/>
    <w:rsid w:val="006814D5"/>
    <w:rsid w:val="006831F6"/>
    <w:rsid w:val="006839B8"/>
    <w:rsid w:val="00684023"/>
    <w:rsid w:val="00684F98"/>
    <w:rsid w:val="00686249"/>
    <w:rsid w:val="0068667C"/>
    <w:rsid w:val="006869D2"/>
    <w:rsid w:val="00687504"/>
    <w:rsid w:val="00690396"/>
    <w:rsid w:val="006920FA"/>
    <w:rsid w:val="00692425"/>
    <w:rsid w:val="006930D0"/>
    <w:rsid w:val="00696537"/>
    <w:rsid w:val="0069672E"/>
    <w:rsid w:val="00697279"/>
    <w:rsid w:val="00697978"/>
    <w:rsid w:val="00697FDC"/>
    <w:rsid w:val="006A04E2"/>
    <w:rsid w:val="006A070B"/>
    <w:rsid w:val="006A15F6"/>
    <w:rsid w:val="006A20A8"/>
    <w:rsid w:val="006A39A0"/>
    <w:rsid w:val="006A47B4"/>
    <w:rsid w:val="006A4E5F"/>
    <w:rsid w:val="006A510A"/>
    <w:rsid w:val="006A5C72"/>
    <w:rsid w:val="006A6437"/>
    <w:rsid w:val="006A7138"/>
    <w:rsid w:val="006A751F"/>
    <w:rsid w:val="006A7F13"/>
    <w:rsid w:val="006B015B"/>
    <w:rsid w:val="006B01BA"/>
    <w:rsid w:val="006B04A5"/>
    <w:rsid w:val="006B066F"/>
    <w:rsid w:val="006B0D48"/>
    <w:rsid w:val="006B0ECB"/>
    <w:rsid w:val="006B1998"/>
    <w:rsid w:val="006B25D6"/>
    <w:rsid w:val="006B2F3A"/>
    <w:rsid w:val="006B477B"/>
    <w:rsid w:val="006B484C"/>
    <w:rsid w:val="006B7930"/>
    <w:rsid w:val="006C21D7"/>
    <w:rsid w:val="006C2892"/>
    <w:rsid w:val="006C2BD4"/>
    <w:rsid w:val="006C2CDE"/>
    <w:rsid w:val="006C3568"/>
    <w:rsid w:val="006C3CBC"/>
    <w:rsid w:val="006C4C5F"/>
    <w:rsid w:val="006C631C"/>
    <w:rsid w:val="006C64BF"/>
    <w:rsid w:val="006C6B51"/>
    <w:rsid w:val="006C72B9"/>
    <w:rsid w:val="006C7EF2"/>
    <w:rsid w:val="006D03CE"/>
    <w:rsid w:val="006D0E10"/>
    <w:rsid w:val="006D1385"/>
    <w:rsid w:val="006D1A39"/>
    <w:rsid w:val="006D5585"/>
    <w:rsid w:val="006D5A28"/>
    <w:rsid w:val="006D6D35"/>
    <w:rsid w:val="006E1E08"/>
    <w:rsid w:val="006E202B"/>
    <w:rsid w:val="006E3717"/>
    <w:rsid w:val="006E4B5E"/>
    <w:rsid w:val="006E57B5"/>
    <w:rsid w:val="006E6057"/>
    <w:rsid w:val="006E6C55"/>
    <w:rsid w:val="006E74A3"/>
    <w:rsid w:val="006F4376"/>
    <w:rsid w:val="006F4861"/>
    <w:rsid w:val="006F544A"/>
    <w:rsid w:val="006F59DA"/>
    <w:rsid w:val="006F6185"/>
    <w:rsid w:val="006F7330"/>
    <w:rsid w:val="006F73EE"/>
    <w:rsid w:val="00701219"/>
    <w:rsid w:val="007019E8"/>
    <w:rsid w:val="00701ADA"/>
    <w:rsid w:val="00703383"/>
    <w:rsid w:val="007046A7"/>
    <w:rsid w:val="00705041"/>
    <w:rsid w:val="00705A03"/>
    <w:rsid w:val="00707DDC"/>
    <w:rsid w:val="00712B21"/>
    <w:rsid w:val="007139B0"/>
    <w:rsid w:val="00713C45"/>
    <w:rsid w:val="00714497"/>
    <w:rsid w:val="00715A1F"/>
    <w:rsid w:val="007166C3"/>
    <w:rsid w:val="00717297"/>
    <w:rsid w:val="007174BB"/>
    <w:rsid w:val="0071773A"/>
    <w:rsid w:val="00717CCC"/>
    <w:rsid w:val="00717D38"/>
    <w:rsid w:val="00717FD5"/>
    <w:rsid w:val="007216ED"/>
    <w:rsid w:val="00721FD1"/>
    <w:rsid w:val="00722542"/>
    <w:rsid w:val="007228E5"/>
    <w:rsid w:val="00722D87"/>
    <w:rsid w:val="00724F5B"/>
    <w:rsid w:val="007256CC"/>
    <w:rsid w:val="00725A18"/>
    <w:rsid w:val="0072605B"/>
    <w:rsid w:val="00726A4C"/>
    <w:rsid w:val="0073333D"/>
    <w:rsid w:val="00734040"/>
    <w:rsid w:val="0073484A"/>
    <w:rsid w:val="00734C41"/>
    <w:rsid w:val="00737010"/>
    <w:rsid w:val="00737997"/>
    <w:rsid w:val="00737E65"/>
    <w:rsid w:val="00737E8D"/>
    <w:rsid w:val="0074030A"/>
    <w:rsid w:val="00740B36"/>
    <w:rsid w:val="007414BF"/>
    <w:rsid w:val="0074470A"/>
    <w:rsid w:val="00744C5D"/>
    <w:rsid w:val="00744EC8"/>
    <w:rsid w:val="0074505D"/>
    <w:rsid w:val="00746280"/>
    <w:rsid w:val="00746E43"/>
    <w:rsid w:val="00747177"/>
    <w:rsid w:val="0074717E"/>
    <w:rsid w:val="0075191A"/>
    <w:rsid w:val="00751D0E"/>
    <w:rsid w:val="00752687"/>
    <w:rsid w:val="007533EF"/>
    <w:rsid w:val="007543B2"/>
    <w:rsid w:val="0075474D"/>
    <w:rsid w:val="00755412"/>
    <w:rsid w:val="007557D8"/>
    <w:rsid w:val="00756B05"/>
    <w:rsid w:val="00756C3B"/>
    <w:rsid w:val="0075731F"/>
    <w:rsid w:val="00760468"/>
    <w:rsid w:val="00760678"/>
    <w:rsid w:val="007611EB"/>
    <w:rsid w:val="00761D87"/>
    <w:rsid w:val="007633C2"/>
    <w:rsid w:val="00763404"/>
    <w:rsid w:val="007634C7"/>
    <w:rsid w:val="00763649"/>
    <w:rsid w:val="00764422"/>
    <w:rsid w:val="007648EF"/>
    <w:rsid w:val="0076544A"/>
    <w:rsid w:val="00765A47"/>
    <w:rsid w:val="00765B41"/>
    <w:rsid w:val="007664B5"/>
    <w:rsid w:val="00766732"/>
    <w:rsid w:val="00767D94"/>
    <w:rsid w:val="007700C6"/>
    <w:rsid w:val="00770E82"/>
    <w:rsid w:val="007727C5"/>
    <w:rsid w:val="00772E94"/>
    <w:rsid w:val="0077557A"/>
    <w:rsid w:val="0077785F"/>
    <w:rsid w:val="00780C7D"/>
    <w:rsid w:val="0078185D"/>
    <w:rsid w:val="00782B40"/>
    <w:rsid w:val="00782D75"/>
    <w:rsid w:val="00782FAE"/>
    <w:rsid w:val="00784138"/>
    <w:rsid w:val="0078558A"/>
    <w:rsid w:val="00785DB3"/>
    <w:rsid w:val="00786AF0"/>
    <w:rsid w:val="007918C0"/>
    <w:rsid w:val="00791A39"/>
    <w:rsid w:val="00793726"/>
    <w:rsid w:val="007939B6"/>
    <w:rsid w:val="00794448"/>
    <w:rsid w:val="00794A52"/>
    <w:rsid w:val="007A012A"/>
    <w:rsid w:val="007A0563"/>
    <w:rsid w:val="007A0E18"/>
    <w:rsid w:val="007A139C"/>
    <w:rsid w:val="007A27B5"/>
    <w:rsid w:val="007A6FD0"/>
    <w:rsid w:val="007A70FA"/>
    <w:rsid w:val="007A7AD9"/>
    <w:rsid w:val="007B028B"/>
    <w:rsid w:val="007B0F7B"/>
    <w:rsid w:val="007B10AB"/>
    <w:rsid w:val="007B1D71"/>
    <w:rsid w:val="007B274D"/>
    <w:rsid w:val="007B27B6"/>
    <w:rsid w:val="007B38EB"/>
    <w:rsid w:val="007B3F46"/>
    <w:rsid w:val="007B47EB"/>
    <w:rsid w:val="007B64DA"/>
    <w:rsid w:val="007B6585"/>
    <w:rsid w:val="007C0DA6"/>
    <w:rsid w:val="007C1488"/>
    <w:rsid w:val="007C2186"/>
    <w:rsid w:val="007C4D0F"/>
    <w:rsid w:val="007C561D"/>
    <w:rsid w:val="007C57E7"/>
    <w:rsid w:val="007C5B19"/>
    <w:rsid w:val="007C76F3"/>
    <w:rsid w:val="007C776F"/>
    <w:rsid w:val="007C7897"/>
    <w:rsid w:val="007C7C93"/>
    <w:rsid w:val="007D01F1"/>
    <w:rsid w:val="007D036E"/>
    <w:rsid w:val="007D0C68"/>
    <w:rsid w:val="007D1086"/>
    <w:rsid w:val="007D12B5"/>
    <w:rsid w:val="007D148F"/>
    <w:rsid w:val="007D70EA"/>
    <w:rsid w:val="007E160B"/>
    <w:rsid w:val="007E27ED"/>
    <w:rsid w:val="007E3474"/>
    <w:rsid w:val="007E49A0"/>
    <w:rsid w:val="007E49E3"/>
    <w:rsid w:val="007E508A"/>
    <w:rsid w:val="007E5581"/>
    <w:rsid w:val="007E578A"/>
    <w:rsid w:val="007E6033"/>
    <w:rsid w:val="007E6A3B"/>
    <w:rsid w:val="007E6B24"/>
    <w:rsid w:val="007E6D50"/>
    <w:rsid w:val="007E793A"/>
    <w:rsid w:val="007E7B74"/>
    <w:rsid w:val="007F0860"/>
    <w:rsid w:val="007F0E13"/>
    <w:rsid w:val="007F150B"/>
    <w:rsid w:val="007F16BA"/>
    <w:rsid w:val="007F1F37"/>
    <w:rsid w:val="007F2233"/>
    <w:rsid w:val="007F376A"/>
    <w:rsid w:val="007F504E"/>
    <w:rsid w:val="007F593A"/>
    <w:rsid w:val="007F6164"/>
    <w:rsid w:val="007F65C6"/>
    <w:rsid w:val="00801FD5"/>
    <w:rsid w:val="00801FDE"/>
    <w:rsid w:val="00802612"/>
    <w:rsid w:val="0080329C"/>
    <w:rsid w:val="00803667"/>
    <w:rsid w:val="00805E48"/>
    <w:rsid w:val="00806ABC"/>
    <w:rsid w:val="008137F8"/>
    <w:rsid w:val="00816286"/>
    <w:rsid w:val="00816F5F"/>
    <w:rsid w:val="0081757A"/>
    <w:rsid w:val="00817D75"/>
    <w:rsid w:val="00820B77"/>
    <w:rsid w:val="00820E50"/>
    <w:rsid w:val="008218BD"/>
    <w:rsid w:val="008221B3"/>
    <w:rsid w:val="00822BB2"/>
    <w:rsid w:val="008238DA"/>
    <w:rsid w:val="00823C89"/>
    <w:rsid w:val="00824674"/>
    <w:rsid w:val="00824A27"/>
    <w:rsid w:val="0082633A"/>
    <w:rsid w:val="00826C79"/>
    <w:rsid w:val="008276A7"/>
    <w:rsid w:val="008304D6"/>
    <w:rsid w:val="008319C2"/>
    <w:rsid w:val="00831B26"/>
    <w:rsid w:val="00831D0D"/>
    <w:rsid w:val="008322C7"/>
    <w:rsid w:val="0083322B"/>
    <w:rsid w:val="00834AE9"/>
    <w:rsid w:val="008352CD"/>
    <w:rsid w:val="008352F7"/>
    <w:rsid w:val="00835D12"/>
    <w:rsid w:val="00841008"/>
    <w:rsid w:val="008423EE"/>
    <w:rsid w:val="008427B0"/>
    <w:rsid w:val="00842DE6"/>
    <w:rsid w:val="00844266"/>
    <w:rsid w:val="008448E4"/>
    <w:rsid w:val="0085047C"/>
    <w:rsid w:val="00850F9F"/>
    <w:rsid w:val="00851FE6"/>
    <w:rsid w:val="0085291F"/>
    <w:rsid w:val="008544DE"/>
    <w:rsid w:val="008569DA"/>
    <w:rsid w:val="00857BCC"/>
    <w:rsid w:val="00860194"/>
    <w:rsid w:val="00861ACB"/>
    <w:rsid w:val="008623AD"/>
    <w:rsid w:val="008649BB"/>
    <w:rsid w:val="00865E6B"/>
    <w:rsid w:val="00866B29"/>
    <w:rsid w:val="00866F64"/>
    <w:rsid w:val="0086727A"/>
    <w:rsid w:val="00867ED3"/>
    <w:rsid w:val="00871718"/>
    <w:rsid w:val="00874D41"/>
    <w:rsid w:val="008755D0"/>
    <w:rsid w:val="008755EF"/>
    <w:rsid w:val="00875E36"/>
    <w:rsid w:val="0087648E"/>
    <w:rsid w:val="0087691A"/>
    <w:rsid w:val="008769AA"/>
    <w:rsid w:val="00877425"/>
    <w:rsid w:val="0087754E"/>
    <w:rsid w:val="008777CA"/>
    <w:rsid w:val="00877FE4"/>
    <w:rsid w:val="00880EC5"/>
    <w:rsid w:val="00885B42"/>
    <w:rsid w:val="00885D2A"/>
    <w:rsid w:val="00885D56"/>
    <w:rsid w:val="0088617A"/>
    <w:rsid w:val="008865E4"/>
    <w:rsid w:val="00887044"/>
    <w:rsid w:val="008873A2"/>
    <w:rsid w:val="0088774C"/>
    <w:rsid w:val="008878E9"/>
    <w:rsid w:val="0089010C"/>
    <w:rsid w:val="00891AA0"/>
    <w:rsid w:val="0089264D"/>
    <w:rsid w:val="00892A1E"/>
    <w:rsid w:val="00892F46"/>
    <w:rsid w:val="008968DE"/>
    <w:rsid w:val="008974F8"/>
    <w:rsid w:val="00897D18"/>
    <w:rsid w:val="008A0B94"/>
    <w:rsid w:val="008A1460"/>
    <w:rsid w:val="008A1AB7"/>
    <w:rsid w:val="008A1E31"/>
    <w:rsid w:val="008A1EB6"/>
    <w:rsid w:val="008A3043"/>
    <w:rsid w:val="008A63AB"/>
    <w:rsid w:val="008B07EE"/>
    <w:rsid w:val="008B3051"/>
    <w:rsid w:val="008B35DA"/>
    <w:rsid w:val="008B3745"/>
    <w:rsid w:val="008B5487"/>
    <w:rsid w:val="008B5815"/>
    <w:rsid w:val="008B5AD3"/>
    <w:rsid w:val="008B5F60"/>
    <w:rsid w:val="008B6511"/>
    <w:rsid w:val="008B6FE8"/>
    <w:rsid w:val="008B7795"/>
    <w:rsid w:val="008B7D75"/>
    <w:rsid w:val="008C21E1"/>
    <w:rsid w:val="008C3156"/>
    <w:rsid w:val="008C485A"/>
    <w:rsid w:val="008C53E6"/>
    <w:rsid w:val="008C7C92"/>
    <w:rsid w:val="008C7F68"/>
    <w:rsid w:val="008D0461"/>
    <w:rsid w:val="008D06C7"/>
    <w:rsid w:val="008D0B78"/>
    <w:rsid w:val="008D2A68"/>
    <w:rsid w:val="008D2CB8"/>
    <w:rsid w:val="008D3E65"/>
    <w:rsid w:val="008D3F3A"/>
    <w:rsid w:val="008D3F9A"/>
    <w:rsid w:val="008D4735"/>
    <w:rsid w:val="008D57FE"/>
    <w:rsid w:val="008D5A99"/>
    <w:rsid w:val="008D5D13"/>
    <w:rsid w:val="008D5E56"/>
    <w:rsid w:val="008D7158"/>
    <w:rsid w:val="008D79FF"/>
    <w:rsid w:val="008D7DBF"/>
    <w:rsid w:val="008E0D56"/>
    <w:rsid w:val="008E27D6"/>
    <w:rsid w:val="008E380C"/>
    <w:rsid w:val="008E4B92"/>
    <w:rsid w:val="008E5ECE"/>
    <w:rsid w:val="008E7552"/>
    <w:rsid w:val="008F25D2"/>
    <w:rsid w:val="008F2D08"/>
    <w:rsid w:val="008F3528"/>
    <w:rsid w:val="008F4580"/>
    <w:rsid w:val="008F4B6B"/>
    <w:rsid w:val="008F62BC"/>
    <w:rsid w:val="008F7AD3"/>
    <w:rsid w:val="0090025D"/>
    <w:rsid w:val="009007E0"/>
    <w:rsid w:val="00901716"/>
    <w:rsid w:val="0090218A"/>
    <w:rsid w:val="0090244B"/>
    <w:rsid w:val="009025BB"/>
    <w:rsid w:val="00904545"/>
    <w:rsid w:val="00905491"/>
    <w:rsid w:val="009116D7"/>
    <w:rsid w:val="00911739"/>
    <w:rsid w:val="00911CD5"/>
    <w:rsid w:val="00912D83"/>
    <w:rsid w:val="009146AE"/>
    <w:rsid w:val="0091495E"/>
    <w:rsid w:val="00914C27"/>
    <w:rsid w:val="00914CC6"/>
    <w:rsid w:val="009153F4"/>
    <w:rsid w:val="00915DA5"/>
    <w:rsid w:val="00916BD7"/>
    <w:rsid w:val="00917B41"/>
    <w:rsid w:val="00921B4A"/>
    <w:rsid w:val="00922421"/>
    <w:rsid w:val="00922560"/>
    <w:rsid w:val="009253B8"/>
    <w:rsid w:val="0092571E"/>
    <w:rsid w:val="00926882"/>
    <w:rsid w:val="00932067"/>
    <w:rsid w:val="009321F2"/>
    <w:rsid w:val="00932509"/>
    <w:rsid w:val="00933E0F"/>
    <w:rsid w:val="009355D6"/>
    <w:rsid w:val="00936DDA"/>
    <w:rsid w:val="00941159"/>
    <w:rsid w:val="00941954"/>
    <w:rsid w:val="00942FBC"/>
    <w:rsid w:val="009449D9"/>
    <w:rsid w:val="0094568A"/>
    <w:rsid w:val="00951A5D"/>
    <w:rsid w:val="00952E2A"/>
    <w:rsid w:val="009532FF"/>
    <w:rsid w:val="009564AE"/>
    <w:rsid w:val="00956FA5"/>
    <w:rsid w:val="00957BD3"/>
    <w:rsid w:val="00957FE0"/>
    <w:rsid w:val="00960A33"/>
    <w:rsid w:val="00960E06"/>
    <w:rsid w:val="0096118F"/>
    <w:rsid w:val="00961CCE"/>
    <w:rsid w:val="0096281E"/>
    <w:rsid w:val="00962A99"/>
    <w:rsid w:val="0096540A"/>
    <w:rsid w:val="00966BB6"/>
    <w:rsid w:val="0096727D"/>
    <w:rsid w:val="009701F1"/>
    <w:rsid w:val="009706AC"/>
    <w:rsid w:val="009726BB"/>
    <w:rsid w:val="00972CD1"/>
    <w:rsid w:val="00972FB5"/>
    <w:rsid w:val="00975172"/>
    <w:rsid w:val="009751F4"/>
    <w:rsid w:val="0097545B"/>
    <w:rsid w:val="00975659"/>
    <w:rsid w:val="009804F0"/>
    <w:rsid w:val="00980682"/>
    <w:rsid w:val="00980ACF"/>
    <w:rsid w:val="00981755"/>
    <w:rsid w:val="009818B6"/>
    <w:rsid w:val="009818FB"/>
    <w:rsid w:val="00982C35"/>
    <w:rsid w:val="0098402E"/>
    <w:rsid w:val="009851C9"/>
    <w:rsid w:val="00986681"/>
    <w:rsid w:val="00986C32"/>
    <w:rsid w:val="0099050F"/>
    <w:rsid w:val="00990A40"/>
    <w:rsid w:val="00991A65"/>
    <w:rsid w:val="00992798"/>
    <w:rsid w:val="00992EEF"/>
    <w:rsid w:val="00993D03"/>
    <w:rsid w:val="0099462F"/>
    <w:rsid w:val="00994FE8"/>
    <w:rsid w:val="009950C6"/>
    <w:rsid w:val="00995566"/>
    <w:rsid w:val="00995900"/>
    <w:rsid w:val="00997280"/>
    <w:rsid w:val="009A1634"/>
    <w:rsid w:val="009A3354"/>
    <w:rsid w:val="009A3C9D"/>
    <w:rsid w:val="009A509D"/>
    <w:rsid w:val="009A6D0F"/>
    <w:rsid w:val="009A6F06"/>
    <w:rsid w:val="009A7250"/>
    <w:rsid w:val="009A7779"/>
    <w:rsid w:val="009B05F2"/>
    <w:rsid w:val="009B0ECD"/>
    <w:rsid w:val="009B12A2"/>
    <w:rsid w:val="009B2598"/>
    <w:rsid w:val="009B39C0"/>
    <w:rsid w:val="009B3A00"/>
    <w:rsid w:val="009B6A2A"/>
    <w:rsid w:val="009B7D2F"/>
    <w:rsid w:val="009B7E94"/>
    <w:rsid w:val="009C233A"/>
    <w:rsid w:val="009C450D"/>
    <w:rsid w:val="009C45A2"/>
    <w:rsid w:val="009C474F"/>
    <w:rsid w:val="009C5824"/>
    <w:rsid w:val="009C5D2A"/>
    <w:rsid w:val="009C69C3"/>
    <w:rsid w:val="009C6DE6"/>
    <w:rsid w:val="009C70EC"/>
    <w:rsid w:val="009C7AB5"/>
    <w:rsid w:val="009D23EB"/>
    <w:rsid w:val="009D282F"/>
    <w:rsid w:val="009D3D3A"/>
    <w:rsid w:val="009D65BA"/>
    <w:rsid w:val="009D6F78"/>
    <w:rsid w:val="009E00EA"/>
    <w:rsid w:val="009E2DD7"/>
    <w:rsid w:val="009E3C21"/>
    <w:rsid w:val="009E3D9D"/>
    <w:rsid w:val="009E6C46"/>
    <w:rsid w:val="009F1902"/>
    <w:rsid w:val="009F1F1F"/>
    <w:rsid w:val="009F2E91"/>
    <w:rsid w:val="009F51A5"/>
    <w:rsid w:val="009F5850"/>
    <w:rsid w:val="009F5BBB"/>
    <w:rsid w:val="009F66CE"/>
    <w:rsid w:val="009F6CD8"/>
    <w:rsid w:val="009F762C"/>
    <w:rsid w:val="009F797B"/>
    <w:rsid w:val="00A000B2"/>
    <w:rsid w:val="00A00403"/>
    <w:rsid w:val="00A00B40"/>
    <w:rsid w:val="00A0110D"/>
    <w:rsid w:val="00A02F1E"/>
    <w:rsid w:val="00A044FF"/>
    <w:rsid w:val="00A06181"/>
    <w:rsid w:val="00A07506"/>
    <w:rsid w:val="00A11436"/>
    <w:rsid w:val="00A1153B"/>
    <w:rsid w:val="00A167CA"/>
    <w:rsid w:val="00A17A66"/>
    <w:rsid w:val="00A20354"/>
    <w:rsid w:val="00A21F15"/>
    <w:rsid w:val="00A22A88"/>
    <w:rsid w:val="00A25847"/>
    <w:rsid w:val="00A264B2"/>
    <w:rsid w:val="00A274E3"/>
    <w:rsid w:val="00A3015B"/>
    <w:rsid w:val="00A30521"/>
    <w:rsid w:val="00A31452"/>
    <w:rsid w:val="00A316CB"/>
    <w:rsid w:val="00A31C88"/>
    <w:rsid w:val="00A322DE"/>
    <w:rsid w:val="00A331E7"/>
    <w:rsid w:val="00A33D57"/>
    <w:rsid w:val="00A33D61"/>
    <w:rsid w:val="00A34818"/>
    <w:rsid w:val="00A34819"/>
    <w:rsid w:val="00A34A6C"/>
    <w:rsid w:val="00A35F2A"/>
    <w:rsid w:val="00A36EF9"/>
    <w:rsid w:val="00A36FFF"/>
    <w:rsid w:val="00A402D1"/>
    <w:rsid w:val="00A408A9"/>
    <w:rsid w:val="00A40B77"/>
    <w:rsid w:val="00A41C3C"/>
    <w:rsid w:val="00A42258"/>
    <w:rsid w:val="00A42313"/>
    <w:rsid w:val="00A42F32"/>
    <w:rsid w:val="00A43A4A"/>
    <w:rsid w:val="00A44246"/>
    <w:rsid w:val="00A44535"/>
    <w:rsid w:val="00A44F03"/>
    <w:rsid w:val="00A45601"/>
    <w:rsid w:val="00A46E6C"/>
    <w:rsid w:val="00A503F6"/>
    <w:rsid w:val="00A505C4"/>
    <w:rsid w:val="00A508E0"/>
    <w:rsid w:val="00A50B2A"/>
    <w:rsid w:val="00A50C6F"/>
    <w:rsid w:val="00A5145A"/>
    <w:rsid w:val="00A514F4"/>
    <w:rsid w:val="00A52450"/>
    <w:rsid w:val="00A5264D"/>
    <w:rsid w:val="00A52ADA"/>
    <w:rsid w:val="00A52CE1"/>
    <w:rsid w:val="00A53A25"/>
    <w:rsid w:val="00A54336"/>
    <w:rsid w:val="00A548F7"/>
    <w:rsid w:val="00A5503F"/>
    <w:rsid w:val="00A550DF"/>
    <w:rsid w:val="00A5514E"/>
    <w:rsid w:val="00A5524E"/>
    <w:rsid w:val="00A55C27"/>
    <w:rsid w:val="00A57D42"/>
    <w:rsid w:val="00A57F07"/>
    <w:rsid w:val="00A6105E"/>
    <w:rsid w:val="00A6190D"/>
    <w:rsid w:val="00A61F97"/>
    <w:rsid w:val="00A644BD"/>
    <w:rsid w:val="00A65756"/>
    <w:rsid w:val="00A65DF4"/>
    <w:rsid w:val="00A70033"/>
    <w:rsid w:val="00A70AAA"/>
    <w:rsid w:val="00A71C3B"/>
    <w:rsid w:val="00A7207D"/>
    <w:rsid w:val="00A72DA6"/>
    <w:rsid w:val="00A7342D"/>
    <w:rsid w:val="00A73949"/>
    <w:rsid w:val="00A73AAD"/>
    <w:rsid w:val="00A73AED"/>
    <w:rsid w:val="00A74C2A"/>
    <w:rsid w:val="00A74F05"/>
    <w:rsid w:val="00A7635D"/>
    <w:rsid w:val="00A76F0B"/>
    <w:rsid w:val="00A770AC"/>
    <w:rsid w:val="00A81031"/>
    <w:rsid w:val="00A81C7A"/>
    <w:rsid w:val="00A821D0"/>
    <w:rsid w:val="00A83175"/>
    <w:rsid w:val="00A83794"/>
    <w:rsid w:val="00A83E2F"/>
    <w:rsid w:val="00A85041"/>
    <w:rsid w:val="00A859FC"/>
    <w:rsid w:val="00A85B51"/>
    <w:rsid w:val="00A8727A"/>
    <w:rsid w:val="00A918BA"/>
    <w:rsid w:val="00A91B7E"/>
    <w:rsid w:val="00A91EF5"/>
    <w:rsid w:val="00A934A8"/>
    <w:rsid w:val="00A93695"/>
    <w:rsid w:val="00A94142"/>
    <w:rsid w:val="00A9428D"/>
    <w:rsid w:val="00A94C35"/>
    <w:rsid w:val="00A94C68"/>
    <w:rsid w:val="00A9516B"/>
    <w:rsid w:val="00A9535E"/>
    <w:rsid w:val="00A95F74"/>
    <w:rsid w:val="00A96B59"/>
    <w:rsid w:val="00A96BDE"/>
    <w:rsid w:val="00AA0A83"/>
    <w:rsid w:val="00AA11E1"/>
    <w:rsid w:val="00AA1BFE"/>
    <w:rsid w:val="00AA24DC"/>
    <w:rsid w:val="00AA3AC9"/>
    <w:rsid w:val="00AA46BC"/>
    <w:rsid w:val="00AA4C14"/>
    <w:rsid w:val="00AA61E5"/>
    <w:rsid w:val="00AA6240"/>
    <w:rsid w:val="00AA729B"/>
    <w:rsid w:val="00AA7A8D"/>
    <w:rsid w:val="00AA7F87"/>
    <w:rsid w:val="00AB0B27"/>
    <w:rsid w:val="00AB1612"/>
    <w:rsid w:val="00AB166D"/>
    <w:rsid w:val="00AB2652"/>
    <w:rsid w:val="00AB479A"/>
    <w:rsid w:val="00AB5A3C"/>
    <w:rsid w:val="00AB6330"/>
    <w:rsid w:val="00AB668A"/>
    <w:rsid w:val="00AB7D6F"/>
    <w:rsid w:val="00AC0A48"/>
    <w:rsid w:val="00AC1341"/>
    <w:rsid w:val="00AC1BB1"/>
    <w:rsid w:val="00AC1F47"/>
    <w:rsid w:val="00AD10EA"/>
    <w:rsid w:val="00AD10F0"/>
    <w:rsid w:val="00AD484F"/>
    <w:rsid w:val="00AD48D1"/>
    <w:rsid w:val="00AD4948"/>
    <w:rsid w:val="00AD6249"/>
    <w:rsid w:val="00AD6FD6"/>
    <w:rsid w:val="00AE0B28"/>
    <w:rsid w:val="00AE157A"/>
    <w:rsid w:val="00AE1A35"/>
    <w:rsid w:val="00AE268F"/>
    <w:rsid w:val="00AE2F40"/>
    <w:rsid w:val="00AE309B"/>
    <w:rsid w:val="00AE543A"/>
    <w:rsid w:val="00AE555B"/>
    <w:rsid w:val="00AE5F06"/>
    <w:rsid w:val="00AE6218"/>
    <w:rsid w:val="00AE6CE7"/>
    <w:rsid w:val="00AF0416"/>
    <w:rsid w:val="00AF04DD"/>
    <w:rsid w:val="00AF0934"/>
    <w:rsid w:val="00AF09BD"/>
    <w:rsid w:val="00AF16F9"/>
    <w:rsid w:val="00AF1F14"/>
    <w:rsid w:val="00AF21EA"/>
    <w:rsid w:val="00AF2284"/>
    <w:rsid w:val="00AF313F"/>
    <w:rsid w:val="00AF36D0"/>
    <w:rsid w:val="00AF3709"/>
    <w:rsid w:val="00AF3A32"/>
    <w:rsid w:val="00AF4624"/>
    <w:rsid w:val="00AF5170"/>
    <w:rsid w:val="00AF7BE9"/>
    <w:rsid w:val="00AF7FF2"/>
    <w:rsid w:val="00B008DC"/>
    <w:rsid w:val="00B0106A"/>
    <w:rsid w:val="00B01AC8"/>
    <w:rsid w:val="00B02320"/>
    <w:rsid w:val="00B02A94"/>
    <w:rsid w:val="00B02DF1"/>
    <w:rsid w:val="00B03CA8"/>
    <w:rsid w:val="00B0473B"/>
    <w:rsid w:val="00B0566D"/>
    <w:rsid w:val="00B06A51"/>
    <w:rsid w:val="00B072E7"/>
    <w:rsid w:val="00B0788F"/>
    <w:rsid w:val="00B07AF5"/>
    <w:rsid w:val="00B10A71"/>
    <w:rsid w:val="00B10E6E"/>
    <w:rsid w:val="00B11429"/>
    <w:rsid w:val="00B11525"/>
    <w:rsid w:val="00B121C1"/>
    <w:rsid w:val="00B143DB"/>
    <w:rsid w:val="00B146CF"/>
    <w:rsid w:val="00B1521B"/>
    <w:rsid w:val="00B15F29"/>
    <w:rsid w:val="00B16548"/>
    <w:rsid w:val="00B17151"/>
    <w:rsid w:val="00B20697"/>
    <w:rsid w:val="00B20DE7"/>
    <w:rsid w:val="00B21534"/>
    <w:rsid w:val="00B22505"/>
    <w:rsid w:val="00B229D4"/>
    <w:rsid w:val="00B22C46"/>
    <w:rsid w:val="00B23930"/>
    <w:rsid w:val="00B245D8"/>
    <w:rsid w:val="00B24BCC"/>
    <w:rsid w:val="00B24E45"/>
    <w:rsid w:val="00B2714D"/>
    <w:rsid w:val="00B33D7B"/>
    <w:rsid w:val="00B349E8"/>
    <w:rsid w:val="00B36903"/>
    <w:rsid w:val="00B37DE8"/>
    <w:rsid w:val="00B40480"/>
    <w:rsid w:val="00B40E24"/>
    <w:rsid w:val="00B41376"/>
    <w:rsid w:val="00B41A47"/>
    <w:rsid w:val="00B42301"/>
    <w:rsid w:val="00B440A7"/>
    <w:rsid w:val="00B4503D"/>
    <w:rsid w:val="00B4719A"/>
    <w:rsid w:val="00B473FA"/>
    <w:rsid w:val="00B47500"/>
    <w:rsid w:val="00B47513"/>
    <w:rsid w:val="00B47A57"/>
    <w:rsid w:val="00B51560"/>
    <w:rsid w:val="00B51742"/>
    <w:rsid w:val="00B52073"/>
    <w:rsid w:val="00B52DF1"/>
    <w:rsid w:val="00B53DD3"/>
    <w:rsid w:val="00B55837"/>
    <w:rsid w:val="00B55972"/>
    <w:rsid w:val="00B561EC"/>
    <w:rsid w:val="00B57905"/>
    <w:rsid w:val="00B57E2F"/>
    <w:rsid w:val="00B608FD"/>
    <w:rsid w:val="00B65606"/>
    <w:rsid w:val="00B65773"/>
    <w:rsid w:val="00B6750D"/>
    <w:rsid w:val="00B67AEA"/>
    <w:rsid w:val="00B70679"/>
    <w:rsid w:val="00B70916"/>
    <w:rsid w:val="00B72AB5"/>
    <w:rsid w:val="00B74E62"/>
    <w:rsid w:val="00B756FB"/>
    <w:rsid w:val="00B80717"/>
    <w:rsid w:val="00B80B1C"/>
    <w:rsid w:val="00B80B24"/>
    <w:rsid w:val="00B83A4C"/>
    <w:rsid w:val="00B84A1E"/>
    <w:rsid w:val="00B8553D"/>
    <w:rsid w:val="00B91983"/>
    <w:rsid w:val="00B93BC5"/>
    <w:rsid w:val="00B94AEA"/>
    <w:rsid w:val="00B95323"/>
    <w:rsid w:val="00B96A3E"/>
    <w:rsid w:val="00B97F66"/>
    <w:rsid w:val="00BA0B6D"/>
    <w:rsid w:val="00BA318C"/>
    <w:rsid w:val="00BA48EB"/>
    <w:rsid w:val="00BA5F7E"/>
    <w:rsid w:val="00BA648A"/>
    <w:rsid w:val="00BA7317"/>
    <w:rsid w:val="00BB11AA"/>
    <w:rsid w:val="00BB18A1"/>
    <w:rsid w:val="00BB1EBC"/>
    <w:rsid w:val="00BB25F1"/>
    <w:rsid w:val="00BB2C9C"/>
    <w:rsid w:val="00BB331C"/>
    <w:rsid w:val="00BB3D9F"/>
    <w:rsid w:val="00BB418D"/>
    <w:rsid w:val="00BB5945"/>
    <w:rsid w:val="00BB671B"/>
    <w:rsid w:val="00BB703D"/>
    <w:rsid w:val="00BB7483"/>
    <w:rsid w:val="00BB7726"/>
    <w:rsid w:val="00BB7B67"/>
    <w:rsid w:val="00BC09D2"/>
    <w:rsid w:val="00BC0A2B"/>
    <w:rsid w:val="00BC135F"/>
    <w:rsid w:val="00BC2A4D"/>
    <w:rsid w:val="00BC2BB9"/>
    <w:rsid w:val="00BC3187"/>
    <w:rsid w:val="00BC34FD"/>
    <w:rsid w:val="00BC3848"/>
    <w:rsid w:val="00BC3C1F"/>
    <w:rsid w:val="00BC6548"/>
    <w:rsid w:val="00BC7F26"/>
    <w:rsid w:val="00BD081C"/>
    <w:rsid w:val="00BD0BA0"/>
    <w:rsid w:val="00BD1FD2"/>
    <w:rsid w:val="00BD33EF"/>
    <w:rsid w:val="00BD663D"/>
    <w:rsid w:val="00BD7BEB"/>
    <w:rsid w:val="00BE066A"/>
    <w:rsid w:val="00BE15D1"/>
    <w:rsid w:val="00BE307A"/>
    <w:rsid w:val="00BE31E1"/>
    <w:rsid w:val="00BE3D61"/>
    <w:rsid w:val="00BE6281"/>
    <w:rsid w:val="00BE7011"/>
    <w:rsid w:val="00BE7644"/>
    <w:rsid w:val="00BE7996"/>
    <w:rsid w:val="00BF0AA8"/>
    <w:rsid w:val="00BF1982"/>
    <w:rsid w:val="00BF19CC"/>
    <w:rsid w:val="00BF2710"/>
    <w:rsid w:val="00BF3076"/>
    <w:rsid w:val="00BF4416"/>
    <w:rsid w:val="00BF4C03"/>
    <w:rsid w:val="00BF5167"/>
    <w:rsid w:val="00BF5FFA"/>
    <w:rsid w:val="00BF6F9E"/>
    <w:rsid w:val="00BF7293"/>
    <w:rsid w:val="00BF776B"/>
    <w:rsid w:val="00C00765"/>
    <w:rsid w:val="00C016FB"/>
    <w:rsid w:val="00C01A92"/>
    <w:rsid w:val="00C02C20"/>
    <w:rsid w:val="00C04F2A"/>
    <w:rsid w:val="00C050B0"/>
    <w:rsid w:val="00C05C0F"/>
    <w:rsid w:val="00C07826"/>
    <w:rsid w:val="00C07D30"/>
    <w:rsid w:val="00C10391"/>
    <w:rsid w:val="00C10464"/>
    <w:rsid w:val="00C11570"/>
    <w:rsid w:val="00C11B28"/>
    <w:rsid w:val="00C1261C"/>
    <w:rsid w:val="00C15C6E"/>
    <w:rsid w:val="00C16435"/>
    <w:rsid w:val="00C16CE7"/>
    <w:rsid w:val="00C17D99"/>
    <w:rsid w:val="00C17DFB"/>
    <w:rsid w:val="00C2026A"/>
    <w:rsid w:val="00C20E53"/>
    <w:rsid w:val="00C20EB0"/>
    <w:rsid w:val="00C21791"/>
    <w:rsid w:val="00C22865"/>
    <w:rsid w:val="00C23922"/>
    <w:rsid w:val="00C24AE8"/>
    <w:rsid w:val="00C2576A"/>
    <w:rsid w:val="00C27707"/>
    <w:rsid w:val="00C27918"/>
    <w:rsid w:val="00C301FE"/>
    <w:rsid w:val="00C30E23"/>
    <w:rsid w:val="00C312C5"/>
    <w:rsid w:val="00C3164D"/>
    <w:rsid w:val="00C3195F"/>
    <w:rsid w:val="00C32011"/>
    <w:rsid w:val="00C3444E"/>
    <w:rsid w:val="00C346FE"/>
    <w:rsid w:val="00C4009F"/>
    <w:rsid w:val="00C40967"/>
    <w:rsid w:val="00C40CDA"/>
    <w:rsid w:val="00C40D2C"/>
    <w:rsid w:val="00C42416"/>
    <w:rsid w:val="00C44301"/>
    <w:rsid w:val="00C47873"/>
    <w:rsid w:val="00C500EF"/>
    <w:rsid w:val="00C50ADF"/>
    <w:rsid w:val="00C51255"/>
    <w:rsid w:val="00C517B4"/>
    <w:rsid w:val="00C517EC"/>
    <w:rsid w:val="00C51DAA"/>
    <w:rsid w:val="00C561A5"/>
    <w:rsid w:val="00C57FAD"/>
    <w:rsid w:val="00C60476"/>
    <w:rsid w:val="00C61EB1"/>
    <w:rsid w:val="00C625ED"/>
    <w:rsid w:val="00C62728"/>
    <w:rsid w:val="00C63D43"/>
    <w:rsid w:val="00C644AC"/>
    <w:rsid w:val="00C70706"/>
    <w:rsid w:val="00C71273"/>
    <w:rsid w:val="00C714CE"/>
    <w:rsid w:val="00C717AB"/>
    <w:rsid w:val="00C719C1"/>
    <w:rsid w:val="00C720A5"/>
    <w:rsid w:val="00C725B2"/>
    <w:rsid w:val="00C726C4"/>
    <w:rsid w:val="00C72D7A"/>
    <w:rsid w:val="00C733FB"/>
    <w:rsid w:val="00C74134"/>
    <w:rsid w:val="00C74DB2"/>
    <w:rsid w:val="00C767CB"/>
    <w:rsid w:val="00C81387"/>
    <w:rsid w:val="00C81D2F"/>
    <w:rsid w:val="00C81E0D"/>
    <w:rsid w:val="00C81F7B"/>
    <w:rsid w:val="00C823B1"/>
    <w:rsid w:val="00C82696"/>
    <w:rsid w:val="00C82FC1"/>
    <w:rsid w:val="00C83434"/>
    <w:rsid w:val="00C86962"/>
    <w:rsid w:val="00C91514"/>
    <w:rsid w:val="00C91E5F"/>
    <w:rsid w:val="00C921E4"/>
    <w:rsid w:val="00C94976"/>
    <w:rsid w:val="00C96D76"/>
    <w:rsid w:val="00C97574"/>
    <w:rsid w:val="00C978A8"/>
    <w:rsid w:val="00C97D05"/>
    <w:rsid w:val="00CA0BF5"/>
    <w:rsid w:val="00CA18D5"/>
    <w:rsid w:val="00CA271E"/>
    <w:rsid w:val="00CA2BD6"/>
    <w:rsid w:val="00CA3FAD"/>
    <w:rsid w:val="00CA524B"/>
    <w:rsid w:val="00CA6153"/>
    <w:rsid w:val="00CA7375"/>
    <w:rsid w:val="00CA74BB"/>
    <w:rsid w:val="00CA771E"/>
    <w:rsid w:val="00CA7F2B"/>
    <w:rsid w:val="00CB1B41"/>
    <w:rsid w:val="00CB224E"/>
    <w:rsid w:val="00CB2D59"/>
    <w:rsid w:val="00CB39E8"/>
    <w:rsid w:val="00CB42ED"/>
    <w:rsid w:val="00CB4921"/>
    <w:rsid w:val="00CB55D7"/>
    <w:rsid w:val="00CB6477"/>
    <w:rsid w:val="00CB6CB7"/>
    <w:rsid w:val="00CB6D87"/>
    <w:rsid w:val="00CB7414"/>
    <w:rsid w:val="00CB7B2B"/>
    <w:rsid w:val="00CC402A"/>
    <w:rsid w:val="00CC5E2E"/>
    <w:rsid w:val="00CC6AB7"/>
    <w:rsid w:val="00CC6F70"/>
    <w:rsid w:val="00CD02B6"/>
    <w:rsid w:val="00CD0767"/>
    <w:rsid w:val="00CD0843"/>
    <w:rsid w:val="00CD1302"/>
    <w:rsid w:val="00CD25D8"/>
    <w:rsid w:val="00CD3DD0"/>
    <w:rsid w:val="00CD484D"/>
    <w:rsid w:val="00CD53B2"/>
    <w:rsid w:val="00CD5E29"/>
    <w:rsid w:val="00CD6357"/>
    <w:rsid w:val="00CE02AC"/>
    <w:rsid w:val="00CE22C6"/>
    <w:rsid w:val="00CE32FB"/>
    <w:rsid w:val="00CE3725"/>
    <w:rsid w:val="00CE3C04"/>
    <w:rsid w:val="00CE4B43"/>
    <w:rsid w:val="00CE608C"/>
    <w:rsid w:val="00CE70E1"/>
    <w:rsid w:val="00CF02F2"/>
    <w:rsid w:val="00CF105E"/>
    <w:rsid w:val="00CF146D"/>
    <w:rsid w:val="00CF14F6"/>
    <w:rsid w:val="00CF1905"/>
    <w:rsid w:val="00CF28F1"/>
    <w:rsid w:val="00CF4853"/>
    <w:rsid w:val="00CF4EFB"/>
    <w:rsid w:val="00CF6106"/>
    <w:rsid w:val="00CF65D6"/>
    <w:rsid w:val="00CF75D4"/>
    <w:rsid w:val="00D00394"/>
    <w:rsid w:val="00D00AFE"/>
    <w:rsid w:val="00D00EC3"/>
    <w:rsid w:val="00D01251"/>
    <w:rsid w:val="00D01423"/>
    <w:rsid w:val="00D01CFE"/>
    <w:rsid w:val="00D0228B"/>
    <w:rsid w:val="00D03731"/>
    <w:rsid w:val="00D038EB"/>
    <w:rsid w:val="00D0469D"/>
    <w:rsid w:val="00D04785"/>
    <w:rsid w:val="00D05AA6"/>
    <w:rsid w:val="00D06461"/>
    <w:rsid w:val="00D0733A"/>
    <w:rsid w:val="00D07C4B"/>
    <w:rsid w:val="00D11081"/>
    <w:rsid w:val="00D11E33"/>
    <w:rsid w:val="00D1461E"/>
    <w:rsid w:val="00D14F84"/>
    <w:rsid w:val="00D1516C"/>
    <w:rsid w:val="00D15F58"/>
    <w:rsid w:val="00D165F0"/>
    <w:rsid w:val="00D1696C"/>
    <w:rsid w:val="00D16C70"/>
    <w:rsid w:val="00D172AD"/>
    <w:rsid w:val="00D174B7"/>
    <w:rsid w:val="00D17CAD"/>
    <w:rsid w:val="00D21A39"/>
    <w:rsid w:val="00D225D8"/>
    <w:rsid w:val="00D22EC4"/>
    <w:rsid w:val="00D23020"/>
    <w:rsid w:val="00D2348C"/>
    <w:rsid w:val="00D24F49"/>
    <w:rsid w:val="00D2610F"/>
    <w:rsid w:val="00D26F73"/>
    <w:rsid w:val="00D27203"/>
    <w:rsid w:val="00D27C7A"/>
    <w:rsid w:val="00D27D42"/>
    <w:rsid w:val="00D300AF"/>
    <w:rsid w:val="00D30A32"/>
    <w:rsid w:val="00D31B2A"/>
    <w:rsid w:val="00D32B6A"/>
    <w:rsid w:val="00D32D3B"/>
    <w:rsid w:val="00D32EE8"/>
    <w:rsid w:val="00D339E1"/>
    <w:rsid w:val="00D33A2E"/>
    <w:rsid w:val="00D33D11"/>
    <w:rsid w:val="00D3498E"/>
    <w:rsid w:val="00D34C45"/>
    <w:rsid w:val="00D35B76"/>
    <w:rsid w:val="00D364CD"/>
    <w:rsid w:val="00D36782"/>
    <w:rsid w:val="00D3760A"/>
    <w:rsid w:val="00D401DA"/>
    <w:rsid w:val="00D41E19"/>
    <w:rsid w:val="00D422D3"/>
    <w:rsid w:val="00D4263F"/>
    <w:rsid w:val="00D436FB"/>
    <w:rsid w:val="00D44ADF"/>
    <w:rsid w:val="00D45320"/>
    <w:rsid w:val="00D45C9B"/>
    <w:rsid w:val="00D46680"/>
    <w:rsid w:val="00D46EAA"/>
    <w:rsid w:val="00D503B4"/>
    <w:rsid w:val="00D54038"/>
    <w:rsid w:val="00D55436"/>
    <w:rsid w:val="00D55C80"/>
    <w:rsid w:val="00D57941"/>
    <w:rsid w:val="00D60116"/>
    <w:rsid w:val="00D60AAE"/>
    <w:rsid w:val="00D615B0"/>
    <w:rsid w:val="00D61CE3"/>
    <w:rsid w:val="00D6259C"/>
    <w:rsid w:val="00D62E09"/>
    <w:rsid w:val="00D634F4"/>
    <w:rsid w:val="00D63E26"/>
    <w:rsid w:val="00D63F28"/>
    <w:rsid w:val="00D648E9"/>
    <w:rsid w:val="00D6586D"/>
    <w:rsid w:val="00D65B13"/>
    <w:rsid w:val="00D660AB"/>
    <w:rsid w:val="00D66F90"/>
    <w:rsid w:val="00D71F60"/>
    <w:rsid w:val="00D74237"/>
    <w:rsid w:val="00D74581"/>
    <w:rsid w:val="00D752E1"/>
    <w:rsid w:val="00D75457"/>
    <w:rsid w:val="00D76011"/>
    <w:rsid w:val="00D76019"/>
    <w:rsid w:val="00D80C14"/>
    <w:rsid w:val="00D838C6"/>
    <w:rsid w:val="00D864C3"/>
    <w:rsid w:val="00D86530"/>
    <w:rsid w:val="00D86AFF"/>
    <w:rsid w:val="00D872BF"/>
    <w:rsid w:val="00D87D86"/>
    <w:rsid w:val="00D90F49"/>
    <w:rsid w:val="00D93244"/>
    <w:rsid w:val="00D93B7C"/>
    <w:rsid w:val="00D94979"/>
    <w:rsid w:val="00D95492"/>
    <w:rsid w:val="00D957A0"/>
    <w:rsid w:val="00D95FDC"/>
    <w:rsid w:val="00D97ECA"/>
    <w:rsid w:val="00DA0862"/>
    <w:rsid w:val="00DA0A99"/>
    <w:rsid w:val="00DA10E6"/>
    <w:rsid w:val="00DA234C"/>
    <w:rsid w:val="00DA2A6A"/>
    <w:rsid w:val="00DA32DE"/>
    <w:rsid w:val="00DA363E"/>
    <w:rsid w:val="00DA47AD"/>
    <w:rsid w:val="00DA5D6D"/>
    <w:rsid w:val="00DA610D"/>
    <w:rsid w:val="00DB0E62"/>
    <w:rsid w:val="00DB143B"/>
    <w:rsid w:val="00DB1477"/>
    <w:rsid w:val="00DB1F66"/>
    <w:rsid w:val="00DB2049"/>
    <w:rsid w:val="00DB20C0"/>
    <w:rsid w:val="00DB2A4E"/>
    <w:rsid w:val="00DB3766"/>
    <w:rsid w:val="00DB3D6B"/>
    <w:rsid w:val="00DB4547"/>
    <w:rsid w:val="00DB46FA"/>
    <w:rsid w:val="00DB56E7"/>
    <w:rsid w:val="00DB5EAF"/>
    <w:rsid w:val="00DB649F"/>
    <w:rsid w:val="00DB6B68"/>
    <w:rsid w:val="00DC2AF9"/>
    <w:rsid w:val="00DD0BF7"/>
    <w:rsid w:val="00DD29C7"/>
    <w:rsid w:val="00DD3370"/>
    <w:rsid w:val="00DD338E"/>
    <w:rsid w:val="00DD364F"/>
    <w:rsid w:val="00DD46BC"/>
    <w:rsid w:val="00DD5A0A"/>
    <w:rsid w:val="00DD72B8"/>
    <w:rsid w:val="00DE0151"/>
    <w:rsid w:val="00DE01F6"/>
    <w:rsid w:val="00DE0AB0"/>
    <w:rsid w:val="00DE3E15"/>
    <w:rsid w:val="00DE4223"/>
    <w:rsid w:val="00DE50FB"/>
    <w:rsid w:val="00DE671C"/>
    <w:rsid w:val="00DE7546"/>
    <w:rsid w:val="00DE75E7"/>
    <w:rsid w:val="00DF2A5E"/>
    <w:rsid w:val="00DF5540"/>
    <w:rsid w:val="00DF624F"/>
    <w:rsid w:val="00DF6DF8"/>
    <w:rsid w:val="00E00424"/>
    <w:rsid w:val="00E05DF1"/>
    <w:rsid w:val="00E0615F"/>
    <w:rsid w:val="00E06416"/>
    <w:rsid w:val="00E06D10"/>
    <w:rsid w:val="00E0725A"/>
    <w:rsid w:val="00E07542"/>
    <w:rsid w:val="00E07EC2"/>
    <w:rsid w:val="00E10AF2"/>
    <w:rsid w:val="00E113F4"/>
    <w:rsid w:val="00E122A3"/>
    <w:rsid w:val="00E14F45"/>
    <w:rsid w:val="00E15DD7"/>
    <w:rsid w:val="00E20458"/>
    <w:rsid w:val="00E2057F"/>
    <w:rsid w:val="00E20B4B"/>
    <w:rsid w:val="00E20DB5"/>
    <w:rsid w:val="00E21A5A"/>
    <w:rsid w:val="00E229D8"/>
    <w:rsid w:val="00E236DA"/>
    <w:rsid w:val="00E23812"/>
    <w:rsid w:val="00E23A39"/>
    <w:rsid w:val="00E24556"/>
    <w:rsid w:val="00E2510E"/>
    <w:rsid w:val="00E25AB7"/>
    <w:rsid w:val="00E2605C"/>
    <w:rsid w:val="00E27A52"/>
    <w:rsid w:val="00E32264"/>
    <w:rsid w:val="00E32B81"/>
    <w:rsid w:val="00E336B0"/>
    <w:rsid w:val="00E33CAB"/>
    <w:rsid w:val="00E3539D"/>
    <w:rsid w:val="00E379BB"/>
    <w:rsid w:val="00E40545"/>
    <w:rsid w:val="00E427F4"/>
    <w:rsid w:val="00E42CA4"/>
    <w:rsid w:val="00E43E15"/>
    <w:rsid w:val="00E44E04"/>
    <w:rsid w:val="00E45203"/>
    <w:rsid w:val="00E45D9C"/>
    <w:rsid w:val="00E46C9B"/>
    <w:rsid w:val="00E471F6"/>
    <w:rsid w:val="00E47849"/>
    <w:rsid w:val="00E47C04"/>
    <w:rsid w:val="00E5077A"/>
    <w:rsid w:val="00E50C3F"/>
    <w:rsid w:val="00E51EBA"/>
    <w:rsid w:val="00E51FBD"/>
    <w:rsid w:val="00E520B1"/>
    <w:rsid w:val="00E52C48"/>
    <w:rsid w:val="00E53FC5"/>
    <w:rsid w:val="00E54515"/>
    <w:rsid w:val="00E546DF"/>
    <w:rsid w:val="00E54A2A"/>
    <w:rsid w:val="00E54F4E"/>
    <w:rsid w:val="00E55446"/>
    <w:rsid w:val="00E5629D"/>
    <w:rsid w:val="00E56487"/>
    <w:rsid w:val="00E57267"/>
    <w:rsid w:val="00E57816"/>
    <w:rsid w:val="00E57B14"/>
    <w:rsid w:val="00E60867"/>
    <w:rsid w:val="00E60B51"/>
    <w:rsid w:val="00E612FB"/>
    <w:rsid w:val="00E62003"/>
    <w:rsid w:val="00E62A4D"/>
    <w:rsid w:val="00E64E9F"/>
    <w:rsid w:val="00E6679F"/>
    <w:rsid w:val="00E677E7"/>
    <w:rsid w:val="00E70BD7"/>
    <w:rsid w:val="00E70F06"/>
    <w:rsid w:val="00E7118B"/>
    <w:rsid w:val="00E711E5"/>
    <w:rsid w:val="00E71322"/>
    <w:rsid w:val="00E74E0A"/>
    <w:rsid w:val="00E754D6"/>
    <w:rsid w:val="00E773B0"/>
    <w:rsid w:val="00E81299"/>
    <w:rsid w:val="00E842AF"/>
    <w:rsid w:val="00E918D6"/>
    <w:rsid w:val="00E922DC"/>
    <w:rsid w:val="00E9276E"/>
    <w:rsid w:val="00E92E1D"/>
    <w:rsid w:val="00E97D65"/>
    <w:rsid w:val="00EA045C"/>
    <w:rsid w:val="00EA3FE4"/>
    <w:rsid w:val="00EA79A5"/>
    <w:rsid w:val="00EB0882"/>
    <w:rsid w:val="00EB157C"/>
    <w:rsid w:val="00EB1C27"/>
    <w:rsid w:val="00EB6564"/>
    <w:rsid w:val="00EB6BC8"/>
    <w:rsid w:val="00EC0D37"/>
    <w:rsid w:val="00EC13CB"/>
    <w:rsid w:val="00EC1F63"/>
    <w:rsid w:val="00EC3A46"/>
    <w:rsid w:val="00EC3ECB"/>
    <w:rsid w:val="00EC442B"/>
    <w:rsid w:val="00EC52C0"/>
    <w:rsid w:val="00EC593F"/>
    <w:rsid w:val="00EC60D2"/>
    <w:rsid w:val="00EC6BFF"/>
    <w:rsid w:val="00EC6C5B"/>
    <w:rsid w:val="00EC7B4C"/>
    <w:rsid w:val="00ED1526"/>
    <w:rsid w:val="00ED249E"/>
    <w:rsid w:val="00ED3DD0"/>
    <w:rsid w:val="00ED5EA7"/>
    <w:rsid w:val="00ED6E85"/>
    <w:rsid w:val="00ED74F6"/>
    <w:rsid w:val="00EE0272"/>
    <w:rsid w:val="00EE0A05"/>
    <w:rsid w:val="00EE25D5"/>
    <w:rsid w:val="00EE3EE1"/>
    <w:rsid w:val="00EE429F"/>
    <w:rsid w:val="00EE5C78"/>
    <w:rsid w:val="00EE5F1C"/>
    <w:rsid w:val="00EE7E3E"/>
    <w:rsid w:val="00EF03A8"/>
    <w:rsid w:val="00EF13B5"/>
    <w:rsid w:val="00EF1CE2"/>
    <w:rsid w:val="00EF2076"/>
    <w:rsid w:val="00EF2A0A"/>
    <w:rsid w:val="00EF3269"/>
    <w:rsid w:val="00EF3B2B"/>
    <w:rsid w:val="00EF495D"/>
    <w:rsid w:val="00EF4BDD"/>
    <w:rsid w:val="00EF564F"/>
    <w:rsid w:val="00EF604A"/>
    <w:rsid w:val="00EF6363"/>
    <w:rsid w:val="00EF7865"/>
    <w:rsid w:val="00F0026A"/>
    <w:rsid w:val="00F003D7"/>
    <w:rsid w:val="00F00EE9"/>
    <w:rsid w:val="00F013C3"/>
    <w:rsid w:val="00F028A7"/>
    <w:rsid w:val="00F03617"/>
    <w:rsid w:val="00F047C1"/>
    <w:rsid w:val="00F04FC5"/>
    <w:rsid w:val="00F07A0E"/>
    <w:rsid w:val="00F07AA8"/>
    <w:rsid w:val="00F10AA6"/>
    <w:rsid w:val="00F11E8E"/>
    <w:rsid w:val="00F1775D"/>
    <w:rsid w:val="00F17D32"/>
    <w:rsid w:val="00F22151"/>
    <w:rsid w:val="00F22248"/>
    <w:rsid w:val="00F22B84"/>
    <w:rsid w:val="00F23751"/>
    <w:rsid w:val="00F2413B"/>
    <w:rsid w:val="00F241C7"/>
    <w:rsid w:val="00F25455"/>
    <w:rsid w:val="00F25583"/>
    <w:rsid w:val="00F26219"/>
    <w:rsid w:val="00F26839"/>
    <w:rsid w:val="00F26B70"/>
    <w:rsid w:val="00F275AC"/>
    <w:rsid w:val="00F30214"/>
    <w:rsid w:val="00F30A1B"/>
    <w:rsid w:val="00F311C0"/>
    <w:rsid w:val="00F3133E"/>
    <w:rsid w:val="00F31C01"/>
    <w:rsid w:val="00F31D89"/>
    <w:rsid w:val="00F322CA"/>
    <w:rsid w:val="00F3280A"/>
    <w:rsid w:val="00F32B57"/>
    <w:rsid w:val="00F339CF"/>
    <w:rsid w:val="00F3408A"/>
    <w:rsid w:val="00F340F9"/>
    <w:rsid w:val="00F3643F"/>
    <w:rsid w:val="00F36B3D"/>
    <w:rsid w:val="00F40097"/>
    <w:rsid w:val="00F40C74"/>
    <w:rsid w:val="00F41FD5"/>
    <w:rsid w:val="00F423DE"/>
    <w:rsid w:val="00F4403D"/>
    <w:rsid w:val="00F44062"/>
    <w:rsid w:val="00F441DA"/>
    <w:rsid w:val="00F44F43"/>
    <w:rsid w:val="00F47244"/>
    <w:rsid w:val="00F47FE5"/>
    <w:rsid w:val="00F50FE5"/>
    <w:rsid w:val="00F51016"/>
    <w:rsid w:val="00F51580"/>
    <w:rsid w:val="00F51F59"/>
    <w:rsid w:val="00F53FCB"/>
    <w:rsid w:val="00F54961"/>
    <w:rsid w:val="00F5498D"/>
    <w:rsid w:val="00F55614"/>
    <w:rsid w:val="00F56A50"/>
    <w:rsid w:val="00F60F76"/>
    <w:rsid w:val="00F6116D"/>
    <w:rsid w:val="00F6456C"/>
    <w:rsid w:val="00F64EFF"/>
    <w:rsid w:val="00F66014"/>
    <w:rsid w:val="00F670A3"/>
    <w:rsid w:val="00F67D99"/>
    <w:rsid w:val="00F702C6"/>
    <w:rsid w:val="00F70D92"/>
    <w:rsid w:val="00F72B69"/>
    <w:rsid w:val="00F72F84"/>
    <w:rsid w:val="00F740AB"/>
    <w:rsid w:val="00F74671"/>
    <w:rsid w:val="00F75A19"/>
    <w:rsid w:val="00F76FC1"/>
    <w:rsid w:val="00F80CF4"/>
    <w:rsid w:val="00F815AE"/>
    <w:rsid w:val="00F82247"/>
    <w:rsid w:val="00F8295F"/>
    <w:rsid w:val="00F82B52"/>
    <w:rsid w:val="00F838E2"/>
    <w:rsid w:val="00F8421B"/>
    <w:rsid w:val="00F846B7"/>
    <w:rsid w:val="00F84CF5"/>
    <w:rsid w:val="00F84FDC"/>
    <w:rsid w:val="00F85089"/>
    <w:rsid w:val="00F8591A"/>
    <w:rsid w:val="00F870A2"/>
    <w:rsid w:val="00F8738A"/>
    <w:rsid w:val="00F87788"/>
    <w:rsid w:val="00F90EEE"/>
    <w:rsid w:val="00F926BC"/>
    <w:rsid w:val="00F930B2"/>
    <w:rsid w:val="00F9543A"/>
    <w:rsid w:val="00F96C64"/>
    <w:rsid w:val="00FA04DB"/>
    <w:rsid w:val="00FA05FB"/>
    <w:rsid w:val="00FA09B0"/>
    <w:rsid w:val="00FA0D4C"/>
    <w:rsid w:val="00FA162B"/>
    <w:rsid w:val="00FA1A6A"/>
    <w:rsid w:val="00FA1C2A"/>
    <w:rsid w:val="00FA2232"/>
    <w:rsid w:val="00FA294F"/>
    <w:rsid w:val="00FA2C26"/>
    <w:rsid w:val="00FA38E0"/>
    <w:rsid w:val="00FA5A88"/>
    <w:rsid w:val="00FA5F45"/>
    <w:rsid w:val="00FA6089"/>
    <w:rsid w:val="00FA6BD1"/>
    <w:rsid w:val="00FA6C8F"/>
    <w:rsid w:val="00FA6D7A"/>
    <w:rsid w:val="00FA782A"/>
    <w:rsid w:val="00FB1173"/>
    <w:rsid w:val="00FB12CD"/>
    <w:rsid w:val="00FB6B3D"/>
    <w:rsid w:val="00FB7EEC"/>
    <w:rsid w:val="00FC24A6"/>
    <w:rsid w:val="00FC2567"/>
    <w:rsid w:val="00FC2C59"/>
    <w:rsid w:val="00FC2C6B"/>
    <w:rsid w:val="00FC2D09"/>
    <w:rsid w:val="00FC3052"/>
    <w:rsid w:val="00FC3558"/>
    <w:rsid w:val="00FC4509"/>
    <w:rsid w:val="00FC55B7"/>
    <w:rsid w:val="00FC6CAB"/>
    <w:rsid w:val="00FC6F59"/>
    <w:rsid w:val="00FD0F5B"/>
    <w:rsid w:val="00FD16E4"/>
    <w:rsid w:val="00FD178C"/>
    <w:rsid w:val="00FD1A04"/>
    <w:rsid w:val="00FD20EB"/>
    <w:rsid w:val="00FD2563"/>
    <w:rsid w:val="00FD2F5E"/>
    <w:rsid w:val="00FD2FE9"/>
    <w:rsid w:val="00FD326E"/>
    <w:rsid w:val="00FD389E"/>
    <w:rsid w:val="00FD3E0C"/>
    <w:rsid w:val="00FD59F4"/>
    <w:rsid w:val="00FD61F2"/>
    <w:rsid w:val="00FD76FC"/>
    <w:rsid w:val="00FD79B4"/>
    <w:rsid w:val="00FD7B61"/>
    <w:rsid w:val="00FD7FCB"/>
    <w:rsid w:val="00FE00FD"/>
    <w:rsid w:val="00FE1BFB"/>
    <w:rsid w:val="00FE23FA"/>
    <w:rsid w:val="00FE2788"/>
    <w:rsid w:val="00FE3566"/>
    <w:rsid w:val="00FE3761"/>
    <w:rsid w:val="00FE3B57"/>
    <w:rsid w:val="00FE3C6A"/>
    <w:rsid w:val="00FE43D6"/>
    <w:rsid w:val="00FE449A"/>
    <w:rsid w:val="00FE5B20"/>
    <w:rsid w:val="00FE7B16"/>
    <w:rsid w:val="00FF057B"/>
    <w:rsid w:val="00FF18C5"/>
    <w:rsid w:val="00FF18D4"/>
    <w:rsid w:val="00FF1B4A"/>
    <w:rsid w:val="00FF1E92"/>
    <w:rsid w:val="00FF37CC"/>
    <w:rsid w:val="00FF51E8"/>
    <w:rsid w:val="00FF5265"/>
    <w:rsid w:val="00FF5564"/>
    <w:rsid w:val="00FF64CA"/>
    <w:rsid w:val="00FF6B3C"/>
    <w:rsid w:val="00FF6D37"/>
    <w:rsid w:val="00FF75BE"/>
    <w:rsid w:val="00FF7F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Line 48"/>
        <o:r id="V:Rule2" type="connector" idref="#Line 39"/>
        <o:r id="V:Rule3" type="connector" idref="#Line 62"/>
        <o:r id="V:Rule4" type="connector" idref="#Line 38"/>
        <o:r id="V:Rule5" type="connector" idref="#Line 44"/>
        <o:r id="V:Rule6" type="connector" idref="#Line 59"/>
        <o:r id="V:Rule7" type="connector" idref="#AutoShape 61"/>
      </o:rules>
    </o:shapelayout>
  </w:shapeDefaults>
  <w:decimalSymbol w:val="."/>
  <w:listSeparator w:val=","/>
  <w14:docId w14:val="43F7252B"/>
  <w15:chartTrackingRefBased/>
  <w15:docId w15:val="{0F081398-215C-4FFA-B3F4-5F381029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5D"/>
    <w:pPr>
      <w:jc w:val="both"/>
    </w:pPr>
    <w:rPr>
      <w:sz w:val="22"/>
      <w:lang w:eastAsia="en-US"/>
    </w:rPr>
  </w:style>
  <w:style w:type="paragraph" w:styleId="Heading1">
    <w:name w:val="heading 1"/>
    <w:basedOn w:val="Normal"/>
    <w:next w:val="BodyText"/>
    <w:link w:val="Heading1Char"/>
    <w:qFormat/>
    <w:rsid w:val="00D76019"/>
    <w:pPr>
      <w:tabs>
        <w:tab w:val="left" w:pos="567"/>
      </w:tabs>
      <w:spacing w:after="480"/>
      <w:jc w:val="left"/>
      <w:outlineLvl w:val="0"/>
    </w:pPr>
    <w:rPr>
      <w:rFonts w:ascii="Arial" w:hAnsi="Arial"/>
      <w:b/>
      <w:sz w:val="44"/>
    </w:rPr>
  </w:style>
  <w:style w:type="paragraph" w:styleId="Heading2">
    <w:name w:val="heading 2"/>
    <w:basedOn w:val="Normal"/>
    <w:next w:val="BodyText"/>
    <w:link w:val="Heading2Char"/>
    <w:qFormat/>
    <w:rsid w:val="00DF624F"/>
    <w:pPr>
      <w:keepNext/>
      <w:spacing w:before="360" w:after="120"/>
      <w:jc w:val="left"/>
      <w:outlineLvl w:val="1"/>
    </w:pPr>
    <w:rPr>
      <w:rFonts w:ascii="Arial" w:hAnsi="Arial"/>
      <w:b/>
      <w:sz w:val="36"/>
    </w:rPr>
  </w:style>
  <w:style w:type="paragraph" w:styleId="Heading3">
    <w:name w:val="heading 3"/>
    <w:basedOn w:val="Normal"/>
    <w:next w:val="BodyText"/>
    <w:link w:val="Heading3Char"/>
    <w:qFormat/>
    <w:rsid w:val="00092AC3"/>
    <w:pPr>
      <w:keepNext/>
      <w:spacing w:before="360" w:after="120"/>
      <w:jc w:val="left"/>
      <w:outlineLvl w:val="2"/>
    </w:pPr>
    <w:rPr>
      <w:rFonts w:ascii="Arial" w:hAnsi="Arial"/>
      <w:b/>
      <w:sz w:val="28"/>
    </w:rPr>
  </w:style>
  <w:style w:type="paragraph" w:styleId="Heading4">
    <w:name w:val="heading 4"/>
    <w:basedOn w:val="Normal"/>
    <w:next w:val="BodyText"/>
    <w:link w:val="Heading4Char"/>
    <w:qFormat/>
    <w:rsid w:val="00B41376"/>
    <w:pPr>
      <w:keepNext/>
      <w:spacing w:before="240" w:after="120"/>
      <w:outlineLvl w:val="3"/>
    </w:pPr>
    <w:rPr>
      <w:rFonts w:ascii="Arial" w:hAnsi="Arial"/>
      <w:b/>
      <w:sz w:val="24"/>
    </w:rPr>
  </w:style>
  <w:style w:type="paragraph" w:styleId="Heading5">
    <w:name w:val="heading 5"/>
    <w:basedOn w:val="Normal"/>
    <w:next w:val="BodyText"/>
    <w:link w:val="Heading5Char"/>
    <w:qFormat/>
    <w:rsid w:val="004C43E9"/>
    <w:pPr>
      <w:spacing w:before="240" w:after="60"/>
      <w:outlineLvl w:val="4"/>
    </w:pPr>
    <w:rPr>
      <w:rFonts w:ascii="Arial" w:hAnsi="Arial"/>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514E"/>
  </w:style>
  <w:style w:type="character" w:customStyle="1" w:styleId="BodyTextChar">
    <w:name w:val="Body Text Char"/>
    <w:link w:val="BodyText"/>
    <w:rsid w:val="00332177"/>
    <w:rPr>
      <w:sz w:val="22"/>
      <w:lang w:eastAsia="en-US"/>
    </w:rPr>
  </w:style>
  <w:style w:type="character" w:customStyle="1" w:styleId="Heading1Char">
    <w:name w:val="Heading 1 Char"/>
    <w:link w:val="Heading1"/>
    <w:rsid w:val="00502B92"/>
    <w:rPr>
      <w:rFonts w:ascii="Arial" w:hAnsi="Arial"/>
      <w:b/>
      <w:sz w:val="44"/>
      <w:lang w:eastAsia="en-US"/>
    </w:rPr>
  </w:style>
  <w:style w:type="character" w:customStyle="1" w:styleId="Heading2Char">
    <w:name w:val="Heading 2 Char"/>
    <w:link w:val="Heading2"/>
    <w:rsid w:val="005752A8"/>
    <w:rPr>
      <w:rFonts w:ascii="Arial" w:hAnsi="Arial"/>
      <w:b/>
      <w:sz w:val="36"/>
      <w:lang w:eastAsia="en-US"/>
    </w:rPr>
  </w:style>
  <w:style w:type="character" w:customStyle="1" w:styleId="Heading3Char">
    <w:name w:val="Heading 3 Char"/>
    <w:link w:val="Heading3"/>
    <w:rsid w:val="005752A8"/>
    <w:rPr>
      <w:rFonts w:ascii="Arial" w:hAnsi="Arial"/>
      <w:b/>
      <w:sz w:val="28"/>
      <w:lang w:eastAsia="en-US"/>
    </w:rPr>
  </w:style>
  <w:style w:type="character" w:customStyle="1" w:styleId="Heading4Char">
    <w:name w:val="Heading 4 Char"/>
    <w:link w:val="Heading4"/>
    <w:rsid w:val="005752A8"/>
    <w:rPr>
      <w:rFonts w:ascii="Arial" w:hAnsi="Arial"/>
      <w:b/>
      <w:sz w:val="24"/>
      <w:lang w:eastAsia="en-US"/>
    </w:rPr>
  </w:style>
  <w:style w:type="character" w:customStyle="1" w:styleId="Heading5Char">
    <w:name w:val="Heading 5 Char"/>
    <w:link w:val="Heading5"/>
    <w:rsid w:val="005752A8"/>
    <w:rPr>
      <w:rFonts w:ascii="Arial" w:hAnsi="Arial"/>
      <w:bCs/>
      <w:i/>
      <w:iCs/>
      <w:sz w:val="22"/>
      <w:szCs w:val="26"/>
      <w:lang w:eastAsia="en-US"/>
    </w:rPr>
  </w:style>
  <w:style w:type="table" w:styleId="TableGrid">
    <w:name w:val="Table Grid"/>
    <w:basedOn w:val="TableNormal"/>
    <w:rsid w:val="00A3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2E94"/>
    <w:pPr>
      <w:jc w:val="center"/>
    </w:pPr>
    <w:rPr>
      <w:rFonts w:ascii="Arial" w:hAnsi="Arial"/>
      <w:sz w:val="16"/>
    </w:rPr>
  </w:style>
  <w:style w:type="paragraph" w:styleId="Quote">
    <w:name w:val="Quote"/>
    <w:basedOn w:val="Normal"/>
    <w:next w:val="BodyText"/>
    <w:qFormat/>
    <w:rsid w:val="00092AC3"/>
    <w:pPr>
      <w:ind w:left="567" w:right="567"/>
    </w:pPr>
    <w:rPr>
      <w:sz w:val="20"/>
    </w:rPr>
  </w:style>
  <w:style w:type="paragraph" w:customStyle="1" w:styleId="Box">
    <w:name w:val="Box"/>
    <w:basedOn w:val="Normal"/>
    <w:next w:val="Normal"/>
    <w:rsid w:val="00772E94"/>
    <w:pPr>
      <w:pBdr>
        <w:top w:val="single" w:sz="6" w:space="15" w:color="auto"/>
        <w:left w:val="single" w:sz="6" w:space="15" w:color="auto"/>
        <w:bottom w:val="single" w:sz="6" w:space="15" w:color="auto"/>
        <w:right w:val="single" w:sz="6" w:space="15" w:color="auto"/>
      </w:pBdr>
      <w:ind w:left="284" w:right="284"/>
    </w:pPr>
    <w:rPr>
      <w:rFonts w:ascii="Arial" w:hAnsi="Arial"/>
      <w:sz w:val="20"/>
    </w:rPr>
  </w:style>
  <w:style w:type="paragraph" w:customStyle="1" w:styleId="Boxbullet">
    <w:name w:val="Box bullet"/>
    <w:basedOn w:val="Box"/>
    <w:rsid w:val="00772E94"/>
    <w:pPr>
      <w:tabs>
        <w:tab w:val="num" w:pos="851"/>
      </w:tabs>
      <w:spacing w:before="120"/>
      <w:ind w:left="851" w:hanging="567"/>
      <w:jc w:val="left"/>
    </w:pPr>
  </w:style>
  <w:style w:type="paragraph" w:customStyle="1" w:styleId="Boxheading">
    <w:name w:val="Box heading"/>
    <w:basedOn w:val="Box"/>
    <w:next w:val="Box"/>
    <w:rsid w:val="00772E94"/>
    <w:pPr>
      <w:spacing w:after="240"/>
    </w:pPr>
    <w:rPr>
      <w:b/>
      <w:sz w:val="22"/>
    </w:rPr>
  </w:style>
  <w:style w:type="paragraph" w:customStyle="1" w:styleId="Bullet">
    <w:name w:val="Bullet"/>
    <w:basedOn w:val="Normal"/>
    <w:uiPriority w:val="99"/>
    <w:rsid w:val="00092AC3"/>
    <w:pPr>
      <w:tabs>
        <w:tab w:val="num" w:pos="397"/>
      </w:tabs>
      <w:spacing w:before="120"/>
      <w:ind w:left="397" w:hanging="397"/>
    </w:pPr>
  </w:style>
  <w:style w:type="paragraph" w:customStyle="1" w:styleId="Heading">
    <w:name w:val="Heading"/>
    <w:basedOn w:val="Heading1"/>
    <w:next w:val="Normal"/>
    <w:rsid w:val="000D5C95"/>
    <w:pPr>
      <w:outlineLvl w:val="9"/>
    </w:pPr>
  </w:style>
  <w:style w:type="paragraph" w:styleId="Footer">
    <w:name w:val="footer"/>
    <w:basedOn w:val="Normal"/>
    <w:rsid w:val="004D28BA"/>
    <w:pPr>
      <w:tabs>
        <w:tab w:val="center" w:pos="4153"/>
        <w:tab w:val="right" w:pos="8306"/>
      </w:tabs>
    </w:pPr>
  </w:style>
  <w:style w:type="paragraph" w:customStyle="1" w:styleId="Sub-list">
    <w:name w:val="Sub-list"/>
    <w:basedOn w:val="Normal"/>
    <w:rsid w:val="00A70AAA"/>
    <w:pPr>
      <w:tabs>
        <w:tab w:val="num" w:pos="397"/>
        <w:tab w:val="left" w:pos="794"/>
      </w:tabs>
      <w:spacing w:before="60"/>
      <w:ind w:left="397"/>
    </w:pPr>
  </w:style>
  <w:style w:type="paragraph" w:customStyle="1" w:styleId="Figureheading">
    <w:name w:val="Figure heading"/>
    <w:basedOn w:val="Normal"/>
    <w:next w:val="Normal"/>
    <w:rsid w:val="003C4184"/>
    <w:pPr>
      <w:keepNext/>
      <w:spacing w:after="120"/>
      <w:ind w:left="1134" w:hanging="1134"/>
      <w:jc w:val="left"/>
    </w:pPr>
    <w:rPr>
      <w:rFonts w:ascii="Arial" w:hAnsi="Arial"/>
      <w:b/>
      <w:sz w:val="20"/>
    </w:rPr>
  </w:style>
  <w:style w:type="character" w:styleId="FootnoteReference">
    <w:name w:val="footnote reference"/>
    <w:uiPriority w:val="99"/>
    <w:semiHidden/>
    <w:rsid w:val="00772E94"/>
    <w:rPr>
      <w:vertAlign w:val="superscript"/>
    </w:rPr>
  </w:style>
  <w:style w:type="paragraph" w:styleId="FootnoteText">
    <w:name w:val="footnote text"/>
    <w:basedOn w:val="Normal"/>
    <w:link w:val="FootnoteTextChar"/>
    <w:uiPriority w:val="99"/>
    <w:rsid w:val="00772E94"/>
    <w:pPr>
      <w:spacing w:after="120"/>
      <w:ind w:left="284" w:hanging="284"/>
    </w:pPr>
    <w:rPr>
      <w:sz w:val="19"/>
      <w:lang w:val="x-none"/>
    </w:rPr>
  </w:style>
  <w:style w:type="character" w:customStyle="1" w:styleId="FootnoteTextChar">
    <w:name w:val="Footnote Text Char"/>
    <w:link w:val="FootnoteText"/>
    <w:uiPriority w:val="99"/>
    <w:rsid w:val="009355D6"/>
    <w:rPr>
      <w:sz w:val="19"/>
      <w:lang w:eastAsia="en-US"/>
    </w:rPr>
  </w:style>
  <w:style w:type="character" w:styleId="Hyperlink">
    <w:name w:val="Hyperlink"/>
    <w:rsid w:val="00772E94"/>
    <w:rPr>
      <w:color w:val="0000FF"/>
      <w:u w:val="none"/>
    </w:rPr>
  </w:style>
  <w:style w:type="paragraph" w:customStyle="1" w:styleId="Imprint">
    <w:name w:val="Imprint"/>
    <w:basedOn w:val="Normal"/>
    <w:rsid w:val="00C016FB"/>
    <w:pPr>
      <w:jc w:val="left"/>
    </w:pPr>
    <w:rPr>
      <w:rFonts w:ascii="Arial" w:hAnsi="Arial"/>
    </w:rPr>
  </w:style>
  <w:style w:type="paragraph" w:customStyle="1" w:styleId="Note">
    <w:name w:val="Note"/>
    <w:basedOn w:val="Normal"/>
    <w:next w:val="Normal"/>
    <w:rsid w:val="00A70AAA"/>
    <w:pPr>
      <w:tabs>
        <w:tab w:val="left" w:pos="680"/>
      </w:tabs>
      <w:spacing w:before="120"/>
      <w:ind w:left="680" w:hanging="680"/>
    </w:pPr>
    <w:rPr>
      <w:rFonts w:ascii="Arial" w:hAnsi="Arial"/>
      <w:sz w:val="16"/>
    </w:rPr>
  </w:style>
  <w:style w:type="character" w:styleId="PageNumber">
    <w:name w:val="page number"/>
    <w:rsid w:val="009116D7"/>
    <w:rPr>
      <w:rFonts w:ascii="Arial" w:hAnsi="Arial"/>
      <w:b/>
      <w:sz w:val="20"/>
      <w:lang w:val="en-NZ"/>
    </w:rPr>
  </w:style>
  <w:style w:type="paragraph" w:customStyle="1" w:styleId="References">
    <w:name w:val="References"/>
    <w:basedOn w:val="Normal"/>
    <w:rsid w:val="00772E94"/>
    <w:pPr>
      <w:spacing w:after="120"/>
    </w:pPr>
    <w:rPr>
      <w:sz w:val="20"/>
    </w:rPr>
  </w:style>
  <w:style w:type="paragraph" w:customStyle="1" w:styleId="Source">
    <w:name w:val="Source"/>
    <w:basedOn w:val="Normal"/>
    <w:next w:val="Normal"/>
    <w:rsid w:val="00765A47"/>
    <w:pPr>
      <w:tabs>
        <w:tab w:val="left" w:pos="680"/>
      </w:tabs>
      <w:spacing w:before="120"/>
      <w:jc w:val="left"/>
    </w:pPr>
    <w:rPr>
      <w:rFonts w:ascii="Arial" w:hAnsi="Arial"/>
      <w:sz w:val="16"/>
    </w:rPr>
  </w:style>
  <w:style w:type="paragraph" w:styleId="Title">
    <w:name w:val="Title"/>
    <w:basedOn w:val="Normal"/>
    <w:qFormat/>
    <w:rsid w:val="00772E94"/>
    <w:pPr>
      <w:spacing w:line="360" w:lineRule="auto"/>
      <w:jc w:val="center"/>
    </w:pPr>
    <w:rPr>
      <w:rFonts w:ascii="Arial" w:hAnsi="Arial"/>
      <w:b/>
      <w:sz w:val="48"/>
    </w:rPr>
  </w:style>
  <w:style w:type="paragraph" w:styleId="Subtitle">
    <w:name w:val="Subtitle"/>
    <w:basedOn w:val="Title"/>
    <w:qFormat/>
    <w:rsid w:val="00772E94"/>
    <w:pPr>
      <w:spacing w:before="600" w:line="240" w:lineRule="auto"/>
      <w:outlineLvl w:val="1"/>
    </w:pPr>
    <w:rPr>
      <w:sz w:val="36"/>
    </w:rPr>
  </w:style>
  <w:style w:type="paragraph" w:customStyle="1" w:styleId="Tableheading">
    <w:name w:val="Table heading"/>
    <w:basedOn w:val="Normal"/>
    <w:next w:val="Normal"/>
    <w:rsid w:val="00407749"/>
    <w:pPr>
      <w:keepNext/>
      <w:spacing w:after="120"/>
      <w:ind w:left="1134" w:hanging="1134"/>
      <w:jc w:val="left"/>
    </w:pPr>
    <w:rPr>
      <w:rFonts w:ascii="Arial" w:hAnsi="Arial"/>
      <w:b/>
      <w:sz w:val="20"/>
    </w:rPr>
  </w:style>
  <w:style w:type="paragraph" w:customStyle="1" w:styleId="TableText">
    <w:name w:val="TableText"/>
    <w:basedOn w:val="Normal"/>
    <w:rsid w:val="00E97D65"/>
    <w:pPr>
      <w:spacing w:before="60" w:after="60"/>
      <w:jc w:val="left"/>
    </w:pPr>
    <w:rPr>
      <w:rFonts w:ascii="Arial" w:hAnsi="Arial"/>
      <w:sz w:val="16"/>
    </w:rPr>
  </w:style>
  <w:style w:type="paragraph" w:customStyle="1" w:styleId="TableTextbold">
    <w:name w:val="TableText bold"/>
    <w:basedOn w:val="TableText"/>
    <w:rsid w:val="00E97D65"/>
    <w:rPr>
      <w:b/>
    </w:rPr>
  </w:style>
  <w:style w:type="paragraph" w:styleId="TOC1">
    <w:name w:val="toc 1"/>
    <w:basedOn w:val="Normal"/>
    <w:next w:val="Normal"/>
    <w:uiPriority w:val="39"/>
    <w:rsid w:val="00782FAE"/>
    <w:pPr>
      <w:tabs>
        <w:tab w:val="right" w:pos="8505"/>
      </w:tabs>
      <w:spacing w:before="300"/>
      <w:ind w:left="567" w:right="567" w:hanging="567"/>
      <w:jc w:val="left"/>
    </w:pPr>
    <w:rPr>
      <w:rFonts w:ascii="Arial" w:hAnsi="Arial"/>
      <w:sz w:val="28"/>
    </w:rPr>
  </w:style>
  <w:style w:type="paragraph" w:styleId="TOC2">
    <w:name w:val="toc 2"/>
    <w:basedOn w:val="Normal"/>
    <w:next w:val="Normal"/>
    <w:uiPriority w:val="39"/>
    <w:rsid w:val="00772E94"/>
    <w:pPr>
      <w:tabs>
        <w:tab w:val="right" w:pos="8505"/>
      </w:tabs>
      <w:spacing w:before="60"/>
      <w:ind w:left="1134" w:right="567" w:hanging="567"/>
      <w:jc w:val="left"/>
    </w:pPr>
    <w:rPr>
      <w:rFonts w:ascii="Arial" w:hAnsi="Arial"/>
      <w:sz w:val="20"/>
    </w:rPr>
  </w:style>
  <w:style w:type="paragraph" w:customStyle="1" w:styleId="Captions">
    <w:name w:val="Captions"/>
    <w:basedOn w:val="Note"/>
    <w:next w:val="Normal"/>
    <w:rsid w:val="00B440A7"/>
    <w:pPr>
      <w:tabs>
        <w:tab w:val="clear" w:pos="680"/>
        <w:tab w:val="left" w:pos="851"/>
      </w:tabs>
      <w:ind w:left="0" w:firstLine="0"/>
    </w:pPr>
  </w:style>
  <w:style w:type="paragraph" w:customStyle="1" w:styleId="Glossary">
    <w:name w:val="Glossary"/>
    <w:basedOn w:val="Normal"/>
    <w:rsid w:val="005600B7"/>
    <w:pPr>
      <w:tabs>
        <w:tab w:val="left" w:pos="2835"/>
      </w:tabs>
      <w:ind w:left="2835" w:hanging="2835"/>
    </w:pPr>
  </w:style>
  <w:style w:type="paragraph" w:customStyle="1" w:styleId="Footerodd">
    <w:name w:val="Footer odd"/>
    <w:basedOn w:val="Normal"/>
    <w:rsid w:val="00227394"/>
    <w:pPr>
      <w:pBdr>
        <w:top w:val="single" w:sz="4" w:space="4" w:color="auto"/>
      </w:pBdr>
      <w:tabs>
        <w:tab w:val="right" w:pos="7655"/>
        <w:tab w:val="right" w:pos="8505"/>
      </w:tabs>
      <w:jc w:val="left"/>
    </w:pPr>
    <w:rPr>
      <w:rFonts w:ascii="Arial" w:hAnsi="Arial"/>
      <w:sz w:val="16"/>
    </w:rPr>
  </w:style>
  <w:style w:type="paragraph" w:customStyle="1" w:styleId="Footereven">
    <w:name w:val="Footer even"/>
    <w:basedOn w:val="Normal"/>
    <w:rsid w:val="00D62E09"/>
    <w:pPr>
      <w:pBdr>
        <w:top w:val="single" w:sz="4" w:space="4" w:color="auto"/>
      </w:pBdr>
      <w:tabs>
        <w:tab w:val="left" w:pos="851"/>
      </w:tabs>
    </w:pPr>
    <w:rPr>
      <w:rFonts w:ascii="Arial" w:hAnsi="Arial"/>
      <w:sz w:val="16"/>
    </w:rPr>
  </w:style>
  <w:style w:type="paragraph" w:customStyle="1" w:styleId="Numberedparagraph">
    <w:name w:val="Numbered paragraph"/>
    <w:basedOn w:val="Normal"/>
    <w:rsid w:val="003E6315"/>
    <w:pPr>
      <w:tabs>
        <w:tab w:val="num" w:pos="397"/>
      </w:tabs>
      <w:spacing w:before="120" w:after="120"/>
      <w:ind w:left="397" w:hanging="397"/>
    </w:pPr>
  </w:style>
  <w:style w:type="paragraph" w:customStyle="1" w:styleId="Sub-lista">
    <w:name w:val="Sub-list a"/>
    <w:aliases w:val="b"/>
    <w:basedOn w:val="Normal"/>
    <w:rsid w:val="00227394"/>
    <w:pPr>
      <w:tabs>
        <w:tab w:val="num" w:pos="794"/>
      </w:tabs>
      <w:spacing w:before="60" w:after="60"/>
      <w:ind w:left="794" w:hanging="397"/>
    </w:pPr>
  </w:style>
  <w:style w:type="paragraph" w:styleId="EndnoteText">
    <w:name w:val="endnote text"/>
    <w:basedOn w:val="Normal"/>
    <w:rsid w:val="00E51EBA"/>
    <w:pPr>
      <w:spacing w:after="60"/>
    </w:pPr>
    <w:rPr>
      <w:sz w:val="20"/>
    </w:rPr>
  </w:style>
  <w:style w:type="paragraph" w:styleId="TOC3">
    <w:name w:val="toc 3"/>
    <w:basedOn w:val="Normal"/>
    <w:next w:val="Normal"/>
    <w:autoRedefine/>
    <w:uiPriority w:val="39"/>
    <w:rsid w:val="005D3DC5"/>
    <w:pPr>
      <w:ind w:left="440"/>
    </w:pPr>
  </w:style>
  <w:style w:type="paragraph" w:styleId="TableofFigures">
    <w:name w:val="table of figures"/>
    <w:basedOn w:val="Normal"/>
    <w:next w:val="Normal"/>
    <w:uiPriority w:val="99"/>
    <w:rsid w:val="00BF4C03"/>
    <w:pPr>
      <w:spacing w:before="80"/>
      <w:ind w:left="1134" w:hanging="1134"/>
    </w:pPr>
    <w:rPr>
      <w:rFonts w:ascii="Arial" w:hAnsi="Arial"/>
      <w:sz w:val="20"/>
    </w:rPr>
  </w:style>
  <w:style w:type="paragraph" w:customStyle="1" w:styleId="Sub-listi">
    <w:name w:val="Sub-list i"/>
    <w:aliases w:val="ii"/>
    <w:basedOn w:val="BodyText"/>
    <w:rsid w:val="0024367F"/>
    <w:pPr>
      <w:tabs>
        <w:tab w:val="num" w:pos="1191"/>
      </w:tabs>
      <w:spacing w:before="60" w:after="60"/>
      <w:ind w:left="1191" w:hanging="397"/>
    </w:pPr>
  </w:style>
  <w:style w:type="paragraph" w:customStyle="1" w:styleId="TableBullet">
    <w:name w:val="TableBullet"/>
    <w:basedOn w:val="Normal"/>
    <w:rsid w:val="00E97D65"/>
    <w:pPr>
      <w:tabs>
        <w:tab w:val="num" w:pos="284"/>
      </w:tabs>
      <w:spacing w:before="40" w:after="40"/>
      <w:ind w:left="284" w:hanging="284"/>
      <w:jc w:val="left"/>
    </w:pPr>
    <w:rPr>
      <w:rFonts w:ascii="Arial" w:hAnsi="Arial" w:cs="Arial"/>
      <w:sz w:val="16"/>
      <w:szCs w:val="16"/>
    </w:rPr>
  </w:style>
  <w:style w:type="paragraph" w:customStyle="1" w:styleId="TableDash">
    <w:name w:val="TableDash"/>
    <w:basedOn w:val="TableBullet"/>
    <w:rsid w:val="00E97D65"/>
    <w:pPr>
      <w:tabs>
        <w:tab w:val="clear" w:pos="284"/>
        <w:tab w:val="num" w:pos="567"/>
      </w:tabs>
      <w:spacing w:before="20" w:after="20"/>
      <w:ind w:left="568"/>
    </w:pPr>
  </w:style>
  <w:style w:type="paragraph" w:styleId="BalloonText">
    <w:name w:val="Balloon Text"/>
    <w:basedOn w:val="Normal"/>
    <w:link w:val="BalloonTextChar"/>
    <w:semiHidden/>
    <w:unhideWhenUsed/>
    <w:rsid w:val="009F51A5"/>
    <w:rPr>
      <w:rFonts w:ascii="Tahoma" w:hAnsi="Tahoma" w:cs="Tahoma"/>
      <w:sz w:val="16"/>
      <w:szCs w:val="16"/>
    </w:rPr>
  </w:style>
  <w:style w:type="character" w:customStyle="1" w:styleId="BalloonTextChar">
    <w:name w:val="Balloon Text Char"/>
    <w:link w:val="BalloonText"/>
    <w:uiPriority w:val="99"/>
    <w:semiHidden/>
    <w:rsid w:val="009F51A5"/>
    <w:rPr>
      <w:rFonts w:ascii="Tahoma" w:hAnsi="Tahoma" w:cs="Tahoma"/>
      <w:sz w:val="16"/>
      <w:szCs w:val="16"/>
      <w:lang w:eastAsia="en-US"/>
    </w:rPr>
  </w:style>
  <w:style w:type="paragraph" w:styleId="ListParagraph">
    <w:name w:val="List Paragraph"/>
    <w:basedOn w:val="Normal"/>
    <w:uiPriority w:val="34"/>
    <w:qFormat/>
    <w:rsid w:val="001D6AB0"/>
    <w:pPr>
      <w:ind w:left="720"/>
      <w:contextualSpacing/>
    </w:pPr>
  </w:style>
  <w:style w:type="character" w:styleId="EndnoteReference">
    <w:name w:val="endnote reference"/>
    <w:uiPriority w:val="99"/>
    <w:semiHidden/>
    <w:unhideWhenUsed/>
    <w:rsid w:val="00BA7317"/>
    <w:rPr>
      <w:vertAlign w:val="superscript"/>
    </w:rPr>
  </w:style>
  <w:style w:type="character" w:styleId="CommentReference">
    <w:name w:val="annotation reference"/>
    <w:uiPriority w:val="99"/>
    <w:semiHidden/>
    <w:unhideWhenUsed/>
    <w:rsid w:val="00FE449A"/>
    <w:rPr>
      <w:sz w:val="16"/>
      <w:szCs w:val="16"/>
    </w:rPr>
  </w:style>
  <w:style w:type="paragraph" w:styleId="CommentText">
    <w:name w:val="annotation text"/>
    <w:basedOn w:val="Normal"/>
    <w:link w:val="CommentTextChar"/>
    <w:uiPriority w:val="99"/>
    <w:unhideWhenUsed/>
    <w:rsid w:val="00FE449A"/>
    <w:rPr>
      <w:sz w:val="20"/>
    </w:rPr>
  </w:style>
  <w:style w:type="character" w:customStyle="1" w:styleId="CommentTextChar">
    <w:name w:val="Comment Text Char"/>
    <w:link w:val="CommentText"/>
    <w:uiPriority w:val="99"/>
    <w:rsid w:val="00FE449A"/>
    <w:rPr>
      <w:lang w:eastAsia="en-US"/>
    </w:rPr>
  </w:style>
  <w:style w:type="paragraph" w:styleId="CommentSubject">
    <w:name w:val="annotation subject"/>
    <w:basedOn w:val="CommentText"/>
    <w:next w:val="CommentText"/>
    <w:link w:val="CommentSubjectChar"/>
    <w:semiHidden/>
    <w:unhideWhenUsed/>
    <w:rsid w:val="00FE449A"/>
    <w:rPr>
      <w:b/>
      <w:bCs/>
    </w:rPr>
  </w:style>
  <w:style w:type="character" w:customStyle="1" w:styleId="CommentSubjectChar">
    <w:name w:val="Comment Subject Char"/>
    <w:link w:val="CommentSubject"/>
    <w:uiPriority w:val="99"/>
    <w:semiHidden/>
    <w:rsid w:val="00FE449A"/>
    <w:rPr>
      <w:b/>
      <w:bCs/>
      <w:lang w:eastAsia="en-US"/>
    </w:rPr>
  </w:style>
  <w:style w:type="paragraph" w:customStyle="1" w:styleId="Blockquote">
    <w:name w:val="Blockquote"/>
    <w:basedOn w:val="Normal"/>
    <w:rsid w:val="00722542"/>
    <w:pPr>
      <w:spacing w:before="120"/>
      <w:ind w:left="567" w:right="567"/>
    </w:pPr>
    <w:rPr>
      <w:i/>
      <w:sz w:val="20"/>
    </w:rPr>
  </w:style>
  <w:style w:type="paragraph" w:styleId="HTMLPreformatted">
    <w:name w:val="HTML Preformatted"/>
    <w:basedOn w:val="Normal"/>
    <w:link w:val="HTMLPreformattedChar"/>
    <w:rsid w:val="000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rsid w:val="00067C59"/>
    <w:rPr>
      <w:rFonts w:ascii="Courier New" w:hAnsi="Courier New" w:cs="Courier New"/>
      <w:lang w:val="en-US" w:eastAsia="en-US"/>
    </w:rPr>
  </w:style>
  <w:style w:type="paragraph" w:customStyle="1" w:styleId="Table">
    <w:name w:val="Table"/>
    <w:basedOn w:val="Normal"/>
    <w:next w:val="Normal"/>
    <w:rsid w:val="009A7779"/>
    <w:pPr>
      <w:keepNext/>
      <w:spacing w:before="120" w:after="120"/>
      <w:ind w:left="1134" w:hanging="1134"/>
      <w:jc w:val="left"/>
    </w:pPr>
    <w:rPr>
      <w:rFonts w:ascii="Arial" w:hAnsi="Arial"/>
      <w:b/>
      <w:sz w:val="20"/>
    </w:rPr>
  </w:style>
  <w:style w:type="paragraph" w:customStyle="1" w:styleId="Figure">
    <w:name w:val="Figure"/>
    <w:basedOn w:val="Normal"/>
    <w:next w:val="Normal"/>
    <w:rsid w:val="009A7779"/>
    <w:pPr>
      <w:spacing w:after="240"/>
      <w:ind w:left="1134" w:hanging="1134"/>
      <w:jc w:val="left"/>
    </w:pPr>
    <w:rPr>
      <w:rFonts w:ascii="Arial" w:hAnsi="Arial"/>
      <w:b/>
      <w:sz w:val="20"/>
    </w:rPr>
  </w:style>
  <w:style w:type="paragraph" w:customStyle="1" w:styleId="Dash">
    <w:name w:val="Dash"/>
    <w:basedOn w:val="Normal"/>
    <w:rsid w:val="009A7779"/>
    <w:pPr>
      <w:spacing w:before="60"/>
      <w:ind w:left="851" w:hanging="284"/>
    </w:pPr>
  </w:style>
  <w:style w:type="paragraph" w:customStyle="1" w:styleId="OddFooter">
    <w:name w:val="Odd Footer"/>
    <w:basedOn w:val="Normal"/>
    <w:next w:val="Normal"/>
    <w:rsid w:val="009A7779"/>
    <w:pPr>
      <w:pBdr>
        <w:top w:val="single" w:sz="6" w:space="6" w:color="auto"/>
      </w:pBdr>
      <w:tabs>
        <w:tab w:val="right" w:pos="7655"/>
        <w:tab w:val="right" w:pos="8505"/>
      </w:tabs>
      <w:jc w:val="left"/>
    </w:pPr>
    <w:rPr>
      <w:rFonts w:ascii="Arial" w:hAnsi="Arial"/>
      <w:sz w:val="16"/>
    </w:rPr>
  </w:style>
  <w:style w:type="paragraph" w:customStyle="1" w:styleId="EvenFooter">
    <w:name w:val="Even Footer"/>
    <w:basedOn w:val="Normal"/>
    <w:next w:val="Normal"/>
    <w:rsid w:val="009A7779"/>
    <w:pPr>
      <w:pBdr>
        <w:top w:val="single" w:sz="6" w:space="6" w:color="auto"/>
      </w:pBdr>
      <w:tabs>
        <w:tab w:val="left" w:pos="851"/>
      </w:tabs>
    </w:pPr>
    <w:rPr>
      <w:rFonts w:ascii="Arial" w:hAnsi="Arial"/>
      <w:sz w:val="16"/>
    </w:rPr>
  </w:style>
  <w:style w:type="paragraph" w:customStyle="1" w:styleId="BoxBullet0">
    <w:name w:val="Box Bullet"/>
    <w:basedOn w:val="Box"/>
    <w:rsid w:val="009A7779"/>
    <w:pPr>
      <w:pBdr>
        <w:top w:val="single" w:sz="4" w:space="12" w:color="auto"/>
        <w:left w:val="single" w:sz="4" w:space="12" w:color="auto"/>
        <w:bottom w:val="single" w:sz="4" w:space="12" w:color="auto"/>
        <w:right w:val="single" w:sz="4" w:space="12" w:color="auto"/>
      </w:pBdr>
      <w:shd w:val="clear" w:color="auto" w:fill="D9D9D9"/>
      <w:tabs>
        <w:tab w:val="num" w:pos="851"/>
      </w:tabs>
      <w:spacing w:before="120"/>
      <w:ind w:left="851" w:hanging="567"/>
      <w:jc w:val="left"/>
    </w:pPr>
  </w:style>
  <w:style w:type="paragraph" w:customStyle="1" w:styleId="BoxHeading0">
    <w:name w:val="BoxHeading"/>
    <w:basedOn w:val="Box"/>
    <w:next w:val="Box"/>
    <w:rsid w:val="009A7779"/>
    <w:pPr>
      <w:pBdr>
        <w:top w:val="single" w:sz="4" w:space="12" w:color="auto"/>
        <w:left w:val="single" w:sz="4" w:space="12" w:color="auto"/>
        <w:bottom w:val="single" w:sz="4" w:space="12" w:color="auto"/>
        <w:right w:val="single" w:sz="4" w:space="12" w:color="auto"/>
      </w:pBdr>
      <w:shd w:val="clear" w:color="auto" w:fill="D9D9D9"/>
      <w:spacing w:after="240"/>
      <w:jc w:val="left"/>
    </w:pPr>
    <w:rPr>
      <w:b/>
      <w:sz w:val="22"/>
    </w:rPr>
  </w:style>
  <w:style w:type="paragraph" w:customStyle="1" w:styleId="ContentsHeading">
    <w:name w:val="ContentsHeading"/>
    <w:basedOn w:val="Heading"/>
    <w:next w:val="Normal"/>
    <w:rsid w:val="009A7779"/>
    <w:pPr>
      <w:tabs>
        <w:tab w:val="clear" w:pos="567"/>
      </w:tabs>
      <w:ind w:left="851" w:hanging="851"/>
    </w:pPr>
    <w:rPr>
      <w:sz w:val="48"/>
    </w:rPr>
  </w:style>
  <w:style w:type="paragraph" w:customStyle="1" w:styleId="TableHeading0">
    <w:name w:val="Table Heading"/>
    <w:basedOn w:val="TableText"/>
    <w:rsid w:val="00462DA0"/>
    <w:pPr>
      <w:tabs>
        <w:tab w:val="left" w:pos="567"/>
      </w:tabs>
      <w:spacing w:before="80" w:after="80"/>
    </w:pPr>
    <w:rPr>
      <w:b/>
      <w:noProof/>
      <w:sz w:val="20"/>
    </w:rPr>
  </w:style>
  <w:style w:type="paragraph" w:styleId="NormalWeb">
    <w:name w:val="Normal (Web)"/>
    <w:basedOn w:val="Normal"/>
    <w:uiPriority w:val="99"/>
    <w:rsid w:val="009A7779"/>
    <w:pPr>
      <w:spacing w:after="150"/>
      <w:jc w:val="left"/>
    </w:pPr>
    <w:rPr>
      <w:color w:val="000000"/>
      <w:sz w:val="24"/>
      <w:szCs w:val="24"/>
      <w:lang w:eastAsia="en-NZ"/>
    </w:rPr>
  </w:style>
  <w:style w:type="paragraph" w:customStyle="1" w:styleId="Paragraphbody">
    <w:name w:val="Paragraph body"/>
    <w:basedOn w:val="Normal"/>
    <w:rsid w:val="009A7779"/>
    <w:pPr>
      <w:tabs>
        <w:tab w:val="num" w:pos="567"/>
      </w:tabs>
      <w:spacing w:before="120" w:after="120"/>
      <w:ind w:left="567" w:hanging="567"/>
      <w:jc w:val="left"/>
    </w:pPr>
    <w:rPr>
      <w:rFonts w:ascii="Arial" w:hAnsi="Arial"/>
      <w:szCs w:val="24"/>
      <w:lang w:val="en-AU"/>
    </w:rPr>
  </w:style>
  <w:style w:type="paragraph" w:customStyle="1" w:styleId="Default">
    <w:name w:val="Default"/>
    <w:rsid w:val="009A777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9A7779"/>
    <w:rPr>
      <w:color w:val="800080"/>
      <w:u w:val="single"/>
    </w:rPr>
  </w:style>
  <w:style w:type="character" w:styleId="SubtleEmphasis">
    <w:name w:val="Subtle Emphasis"/>
    <w:uiPriority w:val="19"/>
    <w:qFormat/>
    <w:rsid w:val="00A71C3B"/>
    <w:rPr>
      <w:i/>
      <w:iCs/>
      <w:color w:val="808080"/>
    </w:rPr>
  </w:style>
  <w:style w:type="paragraph" w:styleId="NoSpacing">
    <w:name w:val="No Spacing"/>
    <w:uiPriority w:val="1"/>
    <w:qFormat/>
    <w:rsid w:val="00165117"/>
    <w:pPr>
      <w:jc w:val="both"/>
    </w:pPr>
    <w:rPr>
      <w:sz w:val="22"/>
      <w:lang w:eastAsia="en-US"/>
    </w:rPr>
  </w:style>
  <w:style w:type="character" w:styleId="HTMLDefinition">
    <w:name w:val="HTML Definition"/>
    <w:uiPriority w:val="99"/>
    <w:semiHidden/>
    <w:unhideWhenUsed/>
    <w:rsid w:val="0087691A"/>
    <w:rPr>
      <w:i/>
      <w:iCs/>
    </w:rPr>
  </w:style>
  <w:style w:type="character" w:customStyle="1" w:styleId="youarehere">
    <w:name w:val="youarehere"/>
    <w:basedOn w:val="DefaultParagraphFont"/>
    <w:rsid w:val="00357941"/>
  </w:style>
  <w:style w:type="character" w:styleId="Strong">
    <w:name w:val="Strong"/>
    <w:uiPriority w:val="22"/>
    <w:qFormat/>
    <w:rsid w:val="00357941"/>
    <w:rPr>
      <w:b/>
      <w:bCs/>
    </w:rPr>
  </w:style>
  <w:style w:type="paragraph" w:customStyle="1" w:styleId="labelled">
    <w:name w:val="labelled"/>
    <w:basedOn w:val="Normal"/>
    <w:rsid w:val="00CE22C6"/>
    <w:pPr>
      <w:jc w:val="left"/>
    </w:pPr>
    <w:rPr>
      <w:sz w:val="24"/>
      <w:szCs w:val="24"/>
      <w:lang w:eastAsia="zh-CN"/>
    </w:rPr>
  </w:style>
  <w:style w:type="character" w:customStyle="1" w:styleId="spc">
    <w:name w:val="spc"/>
    <w:rsid w:val="00CE22C6"/>
    <w:rPr>
      <w:strike w:val="0"/>
      <w:dstrike w:val="0"/>
      <w:u w:val="none"/>
      <w:effect w:val="none"/>
    </w:rPr>
  </w:style>
  <w:style w:type="character" w:customStyle="1" w:styleId="label">
    <w:name w:val="label"/>
    <w:basedOn w:val="DefaultParagraphFont"/>
    <w:rsid w:val="00CE22C6"/>
  </w:style>
  <w:style w:type="paragraph" w:customStyle="1" w:styleId="label8">
    <w:name w:val="label8"/>
    <w:basedOn w:val="Normal"/>
    <w:rsid w:val="00CE22C6"/>
    <w:pPr>
      <w:jc w:val="left"/>
    </w:pPr>
    <w:rPr>
      <w:sz w:val="24"/>
      <w:szCs w:val="24"/>
      <w:lang w:eastAsia="zh-CN"/>
    </w:rPr>
  </w:style>
  <w:style w:type="paragraph" w:customStyle="1" w:styleId="text">
    <w:name w:val="text"/>
    <w:basedOn w:val="Normal"/>
    <w:rsid w:val="00CE22C6"/>
    <w:pPr>
      <w:jc w:val="left"/>
    </w:pPr>
    <w:rPr>
      <w:sz w:val="24"/>
      <w:szCs w:val="24"/>
      <w:lang w:eastAsia="zh-CN"/>
    </w:rPr>
  </w:style>
  <w:style w:type="paragraph" w:styleId="DocumentMap">
    <w:name w:val="Document Map"/>
    <w:basedOn w:val="Normal"/>
    <w:link w:val="DocumentMapChar"/>
    <w:uiPriority w:val="99"/>
    <w:semiHidden/>
    <w:unhideWhenUsed/>
    <w:rsid w:val="00BE6281"/>
    <w:rPr>
      <w:rFonts w:ascii="Lucida Grande" w:hAnsi="Lucida Grande"/>
      <w:sz w:val="24"/>
      <w:szCs w:val="24"/>
    </w:rPr>
  </w:style>
  <w:style w:type="character" w:customStyle="1" w:styleId="DocumentMapChar">
    <w:name w:val="Document Map Char"/>
    <w:link w:val="DocumentMap"/>
    <w:uiPriority w:val="99"/>
    <w:semiHidden/>
    <w:rsid w:val="00BE6281"/>
    <w:rPr>
      <w:rFonts w:ascii="Lucida Grande" w:hAnsi="Lucida Grande"/>
      <w:sz w:val="24"/>
      <w:szCs w:val="24"/>
      <w:lang w:eastAsia="en-US"/>
    </w:rPr>
  </w:style>
  <w:style w:type="character" w:styleId="Emphasis">
    <w:name w:val="Emphasis"/>
    <w:uiPriority w:val="20"/>
    <w:qFormat/>
    <w:rsid w:val="00CA74BB"/>
    <w:rPr>
      <w:i/>
      <w:iCs/>
    </w:rPr>
  </w:style>
  <w:style w:type="character" w:customStyle="1" w:styleId="deleted">
    <w:name w:val="deleted"/>
    <w:basedOn w:val="DefaultParagraphFont"/>
    <w:rsid w:val="00CA74BB"/>
  </w:style>
  <w:style w:type="paragraph" w:customStyle="1" w:styleId="lead-paragraph">
    <w:name w:val="lead-paragraph"/>
    <w:basedOn w:val="Normal"/>
    <w:rsid w:val="00B95323"/>
    <w:pPr>
      <w:spacing w:before="100" w:beforeAutospacing="1" w:after="100" w:afterAutospacing="1"/>
      <w:jc w:val="left"/>
    </w:pPr>
    <w:rPr>
      <w:sz w:val="24"/>
      <w:szCs w:val="24"/>
      <w:lang w:eastAsia="en-NZ"/>
    </w:rPr>
  </w:style>
  <w:style w:type="paragraph" w:customStyle="1" w:styleId="label1">
    <w:name w:val="label1"/>
    <w:basedOn w:val="Normal"/>
    <w:rsid w:val="005F3633"/>
    <w:pPr>
      <w:spacing w:before="100" w:beforeAutospacing="1" w:after="100" w:afterAutospacing="1"/>
      <w:jc w:val="left"/>
    </w:pPr>
    <w:rPr>
      <w:sz w:val="24"/>
      <w:szCs w:val="24"/>
      <w:lang w:eastAsia="en-NZ"/>
    </w:rPr>
  </w:style>
  <w:style w:type="paragraph" w:customStyle="1" w:styleId="Body">
    <w:name w:val="Body"/>
    <w:basedOn w:val="Normal"/>
    <w:rsid w:val="00FD7B61"/>
    <w:pPr>
      <w:spacing w:after="240" w:line="300" w:lineRule="atLeast"/>
      <w:jc w:val="left"/>
    </w:pPr>
    <w:rPr>
      <w:rFonts w:ascii="Arial" w:hAnsi="Arial"/>
      <w:lang w:val="en-AU"/>
    </w:rPr>
  </w:style>
  <w:style w:type="paragraph" w:customStyle="1" w:styleId="bodycontent2">
    <w:name w:val="bodycontent2"/>
    <w:basedOn w:val="Normal"/>
    <w:rsid w:val="003326E2"/>
    <w:pPr>
      <w:spacing w:before="100" w:beforeAutospacing="1" w:after="100" w:afterAutospacing="1"/>
      <w:jc w:val="left"/>
    </w:pPr>
    <w:rPr>
      <w:sz w:val="24"/>
      <w:szCs w:val="24"/>
      <w:lang w:eastAsia="en-NZ"/>
    </w:rPr>
  </w:style>
  <w:style w:type="character" w:styleId="PlaceholderText">
    <w:name w:val="Placeholder Text"/>
    <w:uiPriority w:val="99"/>
    <w:semiHidden/>
    <w:rsid w:val="00AE543A"/>
    <w:rPr>
      <w:color w:val="808080"/>
    </w:rPr>
  </w:style>
  <w:style w:type="paragraph" w:styleId="PlainText">
    <w:name w:val="Plain Text"/>
    <w:basedOn w:val="Normal"/>
    <w:link w:val="PlainTextChar"/>
    <w:uiPriority w:val="99"/>
    <w:unhideWhenUsed/>
    <w:rsid w:val="00A81C7A"/>
    <w:pPr>
      <w:jc w:val="left"/>
    </w:pPr>
    <w:rPr>
      <w:rFonts w:ascii="Consolas" w:eastAsia="Calibri" w:hAnsi="Consolas"/>
      <w:sz w:val="21"/>
      <w:szCs w:val="21"/>
      <w:lang w:eastAsia="en-NZ"/>
    </w:rPr>
  </w:style>
  <w:style w:type="character" w:customStyle="1" w:styleId="PlainTextChar">
    <w:name w:val="Plain Text Char"/>
    <w:link w:val="PlainText"/>
    <w:uiPriority w:val="99"/>
    <w:rsid w:val="00A81C7A"/>
    <w:rPr>
      <w:rFonts w:ascii="Consolas" w:eastAsia="Calibri" w:hAnsi="Consolas"/>
      <w:sz w:val="21"/>
      <w:szCs w:val="21"/>
    </w:rPr>
  </w:style>
  <w:style w:type="character" w:customStyle="1" w:styleId="apple-converted-space">
    <w:name w:val="apple-converted-space"/>
    <w:rsid w:val="002E1D2A"/>
  </w:style>
  <w:style w:type="paragraph" w:styleId="Caption">
    <w:name w:val="caption"/>
    <w:basedOn w:val="Normal"/>
    <w:next w:val="Normal"/>
    <w:uiPriority w:val="35"/>
    <w:unhideWhenUsed/>
    <w:qFormat/>
    <w:rsid w:val="0090025D"/>
    <w:pPr>
      <w:spacing w:after="200"/>
    </w:pPr>
    <w:rPr>
      <w:b/>
      <w:bCs/>
      <w:color w:val="4F81BD"/>
      <w:sz w:val="18"/>
      <w:szCs w:val="18"/>
    </w:rPr>
  </w:style>
  <w:style w:type="paragraph" w:styleId="TOC4">
    <w:name w:val="toc 4"/>
    <w:basedOn w:val="Normal"/>
    <w:next w:val="Normal"/>
    <w:autoRedefine/>
    <w:uiPriority w:val="39"/>
    <w:unhideWhenUsed/>
    <w:rsid w:val="00020B84"/>
    <w:pPr>
      <w:spacing w:after="100"/>
      <w:ind w:left="660"/>
    </w:pPr>
  </w:style>
  <w:style w:type="paragraph" w:styleId="TOC5">
    <w:name w:val="toc 5"/>
    <w:basedOn w:val="Normal"/>
    <w:next w:val="Normal"/>
    <w:autoRedefine/>
    <w:uiPriority w:val="39"/>
    <w:unhideWhenUsed/>
    <w:rsid w:val="00020B84"/>
    <w:pPr>
      <w:spacing w:after="100"/>
      <w:ind w:left="880"/>
    </w:pPr>
  </w:style>
  <w:style w:type="paragraph" w:styleId="Revision">
    <w:name w:val="Revision"/>
    <w:hidden/>
    <w:uiPriority w:val="99"/>
    <w:semiHidden/>
    <w:rsid w:val="006B2F3A"/>
    <w:rPr>
      <w:sz w:val="22"/>
      <w:lang w:eastAsia="en-US"/>
    </w:rPr>
  </w:style>
  <w:style w:type="character" w:styleId="UnresolvedMention">
    <w:name w:val="Unresolved Mention"/>
    <w:uiPriority w:val="99"/>
    <w:semiHidden/>
    <w:unhideWhenUsed/>
    <w:rsid w:val="006B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803">
      <w:bodyDiv w:val="1"/>
      <w:marLeft w:val="0"/>
      <w:marRight w:val="0"/>
      <w:marTop w:val="0"/>
      <w:marBottom w:val="0"/>
      <w:divBdr>
        <w:top w:val="none" w:sz="0" w:space="0" w:color="auto"/>
        <w:left w:val="none" w:sz="0" w:space="0" w:color="auto"/>
        <w:bottom w:val="none" w:sz="0" w:space="0" w:color="auto"/>
        <w:right w:val="none" w:sz="0" w:space="0" w:color="auto"/>
      </w:divBdr>
    </w:div>
    <w:div w:id="102963207">
      <w:bodyDiv w:val="1"/>
      <w:marLeft w:val="0"/>
      <w:marRight w:val="0"/>
      <w:marTop w:val="0"/>
      <w:marBottom w:val="0"/>
      <w:divBdr>
        <w:top w:val="none" w:sz="0" w:space="0" w:color="auto"/>
        <w:left w:val="none" w:sz="0" w:space="0" w:color="auto"/>
        <w:bottom w:val="none" w:sz="0" w:space="0" w:color="auto"/>
        <w:right w:val="none" w:sz="0" w:space="0" w:color="auto"/>
      </w:divBdr>
    </w:div>
    <w:div w:id="108937825">
      <w:bodyDiv w:val="1"/>
      <w:marLeft w:val="0"/>
      <w:marRight w:val="0"/>
      <w:marTop w:val="0"/>
      <w:marBottom w:val="0"/>
      <w:divBdr>
        <w:top w:val="none" w:sz="0" w:space="0" w:color="auto"/>
        <w:left w:val="none" w:sz="0" w:space="0" w:color="auto"/>
        <w:bottom w:val="none" w:sz="0" w:space="0" w:color="auto"/>
        <w:right w:val="none" w:sz="0" w:space="0" w:color="auto"/>
      </w:divBdr>
    </w:div>
    <w:div w:id="311524913">
      <w:bodyDiv w:val="1"/>
      <w:marLeft w:val="0"/>
      <w:marRight w:val="0"/>
      <w:marTop w:val="0"/>
      <w:marBottom w:val="0"/>
      <w:divBdr>
        <w:top w:val="none" w:sz="0" w:space="0" w:color="auto"/>
        <w:left w:val="none" w:sz="0" w:space="0" w:color="auto"/>
        <w:bottom w:val="none" w:sz="0" w:space="0" w:color="auto"/>
        <w:right w:val="none" w:sz="0" w:space="0" w:color="auto"/>
      </w:divBdr>
    </w:div>
    <w:div w:id="395208528">
      <w:bodyDiv w:val="1"/>
      <w:marLeft w:val="0"/>
      <w:marRight w:val="0"/>
      <w:marTop w:val="0"/>
      <w:marBottom w:val="0"/>
      <w:divBdr>
        <w:top w:val="none" w:sz="0" w:space="0" w:color="auto"/>
        <w:left w:val="none" w:sz="0" w:space="0" w:color="auto"/>
        <w:bottom w:val="none" w:sz="0" w:space="0" w:color="auto"/>
        <w:right w:val="none" w:sz="0" w:space="0" w:color="auto"/>
      </w:divBdr>
    </w:div>
    <w:div w:id="423455993">
      <w:bodyDiv w:val="1"/>
      <w:marLeft w:val="0"/>
      <w:marRight w:val="0"/>
      <w:marTop w:val="0"/>
      <w:marBottom w:val="0"/>
      <w:divBdr>
        <w:top w:val="none" w:sz="0" w:space="0" w:color="auto"/>
        <w:left w:val="none" w:sz="0" w:space="0" w:color="auto"/>
        <w:bottom w:val="none" w:sz="0" w:space="0" w:color="auto"/>
        <w:right w:val="none" w:sz="0" w:space="0" w:color="auto"/>
      </w:divBdr>
    </w:div>
    <w:div w:id="649208174">
      <w:bodyDiv w:val="1"/>
      <w:marLeft w:val="0"/>
      <w:marRight w:val="0"/>
      <w:marTop w:val="0"/>
      <w:marBottom w:val="0"/>
      <w:divBdr>
        <w:top w:val="none" w:sz="0" w:space="0" w:color="auto"/>
        <w:left w:val="none" w:sz="0" w:space="0" w:color="auto"/>
        <w:bottom w:val="none" w:sz="0" w:space="0" w:color="auto"/>
        <w:right w:val="none" w:sz="0" w:space="0" w:color="auto"/>
      </w:divBdr>
    </w:div>
    <w:div w:id="703554501">
      <w:bodyDiv w:val="1"/>
      <w:marLeft w:val="0"/>
      <w:marRight w:val="0"/>
      <w:marTop w:val="0"/>
      <w:marBottom w:val="0"/>
      <w:divBdr>
        <w:top w:val="none" w:sz="0" w:space="0" w:color="auto"/>
        <w:left w:val="none" w:sz="0" w:space="0" w:color="auto"/>
        <w:bottom w:val="none" w:sz="0" w:space="0" w:color="auto"/>
        <w:right w:val="none" w:sz="0" w:space="0" w:color="auto"/>
      </w:divBdr>
      <w:divsChild>
        <w:div w:id="441849138">
          <w:marLeft w:val="0"/>
          <w:marRight w:val="0"/>
          <w:marTop w:val="0"/>
          <w:marBottom w:val="0"/>
          <w:divBdr>
            <w:top w:val="none" w:sz="0" w:space="0" w:color="auto"/>
            <w:left w:val="none" w:sz="0" w:space="0" w:color="auto"/>
            <w:bottom w:val="none" w:sz="0" w:space="0" w:color="auto"/>
            <w:right w:val="none" w:sz="0" w:space="0" w:color="auto"/>
          </w:divBdr>
        </w:div>
        <w:div w:id="497890878">
          <w:marLeft w:val="0"/>
          <w:marRight w:val="0"/>
          <w:marTop w:val="0"/>
          <w:marBottom w:val="0"/>
          <w:divBdr>
            <w:top w:val="none" w:sz="0" w:space="0" w:color="auto"/>
            <w:left w:val="none" w:sz="0" w:space="0" w:color="auto"/>
            <w:bottom w:val="none" w:sz="0" w:space="0" w:color="auto"/>
            <w:right w:val="none" w:sz="0" w:space="0" w:color="auto"/>
          </w:divBdr>
        </w:div>
        <w:div w:id="656156949">
          <w:marLeft w:val="0"/>
          <w:marRight w:val="0"/>
          <w:marTop w:val="0"/>
          <w:marBottom w:val="0"/>
          <w:divBdr>
            <w:top w:val="none" w:sz="0" w:space="0" w:color="auto"/>
            <w:left w:val="none" w:sz="0" w:space="0" w:color="auto"/>
            <w:bottom w:val="none" w:sz="0" w:space="0" w:color="auto"/>
            <w:right w:val="none" w:sz="0" w:space="0" w:color="auto"/>
          </w:divBdr>
        </w:div>
        <w:div w:id="787552432">
          <w:marLeft w:val="0"/>
          <w:marRight w:val="0"/>
          <w:marTop w:val="0"/>
          <w:marBottom w:val="0"/>
          <w:divBdr>
            <w:top w:val="none" w:sz="0" w:space="0" w:color="auto"/>
            <w:left w:val="none" w:sz="0" w:space="0" w:color="auto"/>
            <w:bottom w:val="none" w:sz="0" w:space="0" w:color="auto"/>
            <w:right w:val="none" w:sz="0" w:space="0" w:color="auto"/>
          </w:divBdr>
        </w:div>
        <w:div w:id="1028489069">
          <w:marLeft w:val="0"/>
          <w:marRight w:val="0"/>
          <w:marTop w:val="0"/>
          <w:marBottom w:val="0"/>
          <w:divBdr>
            <w:top w:val="none" w:sz="0" w:space="0" w:color="auto"/>
            <w:left w:val="none" w:sz="0" w:space="0" w:color="auto"/>
            <w:bottom w:val="none" w:sz="0" w:space="0" w:color="auto"/>
            <w:right w:val="none" w:sz="0" w:space="0" w:color="auto"/>
          </w:divBdr>
        </w:div>
        <w:div w:id="1444499508">
          <w:marLeft w:val="0"/>
          <w:marRight w:val="0"/>
          <w:marTop w:val="0"/>
          <w:marBottom w:val="0"/>
          <w:divBdr>
            <w:top w:val="none" w:sz="0" w:space="0" w:color="auto"/>
            <w:left w:val="none" w:sz="0" w:space="0" w:color="auto"/>
            <w:bottom w:val="none" w:sz="0" w:space="0" w:color="auto"/>
            <w:right w:val="none" w:sz="0" w:space="0" w:color="auto"/>
          </w:divBdr>
        </w:div>
        <w:div w:id="2122993413">
          <w:marLeft w:val="0"/>
          <w:marRight w:val="0"/>
          <w:marTop w:val="0"/>
          <w:marBottom w:val="0"/>
          <w:divBdr>
            <w:top w:val="none" w:sz="0" w:space="0" w:color="auto"/>
            <w:left w:val="none" w:sz="0" w:space="0" w:color="auto"/>
            <w:bottom w:val="none" w:sz="0" w:space="0" w:color="auto"/>
            <w:right w:val="none" w:sz="0" w:space="0" w:color="auto"/>
          </w:divBdr>
        </w:div>
        <w:div w:id="2125078672">
          <w:marLeft w:val="0"/>
          <w:marRight w:val="0"/>
          <w:marTop w:val="0"/>
          <w:marBottom w:val="0"/>
          <w:divBdr>
            <w:top w:val="none" w:sz="0" w:space="0" w:color="auto"/>
            <w:left w:val="none" w:sz="0" w:space="0" w:color="auto"/>
            <w:bottom w:val="none" w:sz="0" w:space="0" w:color="auto"/>
            <w:right w:val="none" w:sz="0" w:space="0" w:color="auto"/>
          </w:divBdr>
        </w:div>
      </w:divsChild>
    </w:div>
    <w:div w:id="8595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75334">
          <w:marLeft w:val="0"/>
          <w:marRight w:val="0"/>
          <w:marTop w:val="0"/>
          <w:marBottom w:val="0"/>
          <w:divBdr>
            <w:top w:val="none" w:sz="0" w:space="0" w:color="auto"/>
            <w:left w:val="none" w:sz="0" w:space="0" w:color="auto"/>
            <w:bottom w:val="none" w:sz="0" w:space="0" w:color="auto"/>
            <w:right w:val="none" w:sz="0" w:space="0" w:color="auto"/>
          </w:divBdr>
        </w:div>
        <w:div w:id="368142310">
          <w:marLeft w:val="0"/>
          <w:marRight w:val="0"/>
          <w:marTop w:val="0"/>
          <w:marBottom w:val="0"/>
          <w:divBdr>
            <w:top w:val="none" w:sz="0" w:space="0" w:color="auto"/>
            <w:left w:val="none" w:sz="0" w:space="0" w:color="auto"/>
            <w:bottom w:val="none" w:sz="0" w:space="0" w:color="auto"/>
            <w:right w:val="none" w:sz="0" w:space="0" w:color="auto"/>
          </w:divBdr>
        </w:div>
        <w:div w:id="480315023">
          <w:marLeft w:val="0"/>
          <w:marRight w:val="0"/>
          <w:marTop w:val="0"/>
          <w:marBottom w:val="0"/>
          <w:divBdr>
            <w:top w:val="none" w:sz="0" w:space="0" w:color="auto"/>
            <w:left w:val="none" w:sz="0" w:space="0" w:color="auto"/>
            <w:bottom w:val="none" w:sz="0" w:space="0" w:color="auto"/>
            <w:right w:val="none" w:sz="0" w:space="0" w:color="auto"/>
          </w:divBdr>
        </w:div>
        <w:div w:id="787893635">
          <w:marLeft w:val="0"/>
          <w:marRight w:val="0"/>
          <w:marTop w:val="0"/>
          <w:marBottom w:val="0"/>
          <w:divBdr>
            <w:top w:val="none" w:sz="0" w:space="0" w:color="auto"/>
            <w:left w:val="none" w:sz="0" w:space="0" w:color="auto"/>
            <w:bottom w:val="none" w:sz="0" w:space="0" w:color="auto"/>
            <w:right w:val="none" w:sz="0" w:space="0" w:color="auto"/>
          </w:divBdr>
        </w:div>
        <w:div w:id="941572751">
          <w:marLeft w:val="0"/>
          <w:marRight w:val="0"/>
          <w:marTop w:val="0"/>
          <w:marBottom w:val="0"/>
          <w:divBdr>
            <w:top w:val="none" w:sz="0" w:space="0" w:color="auto"/>
            <w:left w:val="none" w:sz="0" w:space="0" w:color="auto"/>
            <w:bottom w:val="none" w:sz="0" w:space="0" w:color="auto"/>
            <w:right w:val="none" w:sz="0" w:space="0" w:color="auto"/>
          </w:divBdr>
        </w:div>
        <w:div w:id="1009409458">
          <w:marLeft w:val="0"/>
          <w:marRight w:val="0"/>
          <w:marTop w:val="0"/>
          <w:marBottom w:val="0"/>
          <w:divBdr>
            <w:top w:val="none" w:sz="0" w:space="0" w:color="auto"/>
            <w:left w:val="none" w:sz="0" w:space="0" w:color="auto"/>
            <w:bottom w:val="none" w:sz="0" w:space="0" w:color="auto"/>
            <w:right w:val="none" w:sz="0" w:space="0" w:color="auto"/>
          </w:divBdr>
        </w:div>
        <w:div w:id="1987976217">
          <w:marLeft w:val="0"/>
          <w:marRight w:val="0"/>
          <w:marTop w:val="0"/>
          <w:marBottom w:val="0"/>
          <w:divBdr>
            <w:top w:val="none" w:sz="0" w:space="0" w:color="auto"/>
            <w:left w:val="none" w:sz="0" w:space="0" w:color="auto"/>
            <w:bottom w:val="none" w:sz="0" w:space="0" w:color="auto"/>
            <w:right w:val="none" w:sz="0" w:space="0" w:color="auto"/>
          </w:divBdr>
        </w:div>
        <w:div w:id="2121797274">
          <w:marLeft w:val="0"/>
          <w:marRight w:val="0"/>
          <w:marTop w:val="0"/>
          <w:marBottom w:val="0"/>
          <w:divBdr>
            <w:top w:val="none" w:sz="0" w:space="0" w:color="auto"/>
            <w:left w:val="none" w:sz="0" w:space="0" w:color="auto"/>
            <w:bottom w:val="none" w:sz="0" w:space="0" w:color="auto"/>
            <w:right w:val="none" w:sz="0" w:space="0" w:color="auto"/>
          </w:divBdr>
        </w:div>
        <w:div w:id="2126532505">
          <w:marLeft w:val="0"/>
          <w:marRight w:val="0"/>
          <w:marTop w:val="0"/>
          <w:marBottom w:val="0"/>
          <w:divBdr>
            <w:top w:val="none" w:sz="0" w:space="0" w:color="auto"/>
            <w:left w:val="none" w:sz="0" w:space="0" w:color="auto"/>
            <w:bottom w:val="none" w:sz="0" w:space="0" w:color="auto"/>
            <w:right w:val="none" w:sz="0" w:space="0" w:color="auto"/>
          </w:divBdr>
        </w:div>
      </w:divsChild>
    </w:div>
    <w:div w:id="1001465684">
      <w:bodyDiv w:val="1"/>
      <w:marLeft w:val="0"/>
      <w:marRight w:val="0"/>
      <w:marTop w:val="0"/>
      <w:marBottom w:val="0"/>
      <w:divBdr>
        <w:top w:val="none" w:sz="0" w:space="0" w:color="auto"/>
        <w:left w:val="none" w:sz="0" w:space="0" w:color="auto"/>
        <w:bottom w:val="none" w:sz="0" w:space="0" w:color="auto"/>
        <w:right w:val="none" w:sz="0" w:space="0" w:color="auto"/>
      </w:divBdr>
    </w:div>
    <w:div w:id="1027104018">
      <w:bodyDiv w:val="1"/>
      <w:marLeft w:val="0"/>
      <w:marRight w:val="0"/>
      <w:marTop w:val="0"/>
      <w:marBottom w:val="0"/>
      <w:divBdr>
        <w:top w:val="none" w:sz="0" w:space="0" w:color="auto"/>
        <w:left w:val="none" w:sz="0" w:space="0" w:color="auto"/>
        <w:bottom w:val="none" w:sz="0" w:space="0" w:color="auto"/>
        <w:right w:val="none" w:sz="0" w:space="0" w:color="auto"/>
      </w:divBdr>
    </w:div>
    <w:div w:id="1060178514">
      <w:bodyDiv w:val="1"/>
      <w:marLeft w:val="0"/>
      <w:marRight w:val="0"/>
      <w:marTop w:val="0"/>
      <w:marBottom w:val="0"/>
      <w:divBdr>
        <w:top w:val="none" w:sz="0" w:space="0" w:color="auto"/>
        <w:left w:val="none" w:sz="0" w:space="0" w:color="auto"/>
        <w:bottom w:val="none" w:sz="0" w:space="0" w:color="auto"/>
        <w:right w:val="none" w:sz="0" w:space="0" w:color="auto"/>
      </w:divBdr>
      <w:divsChild>
        <w:div w:id="1917157046">
          <w:marLeft w:val="0"/>
          <w:marRight w:val="0"/>
          <w:marTop w:val="0"/>
          <w:marBottom w:val="0"/>
          <w:divBdr>
            <w:top w:val="none" w:sz="0" w:space="0" w:color="auto"/>
            <w:left w:val="none" w:sz="0" w:space="0" w:color="auto"/>
            <w:bottom w:val="none" w:sz="0" w:space="0" w:color="auto"/>
            <w:right w:val="none" w:sz="0" w:space="0" w:color="auto"/>
          </w:divBdr>
          <w:divsChild>
            <w:div w:id="564679432">
              <w:marLeft w:val="0"/>
              <w:marRight w:val="0"/>
              <w:marTop w:val="0"/>
              <w:marBottom w:val="0"/>
              <w:divBdr>
                <w:top w:val="none" w:sz="0" w:space="0" w:color="auto"/>
                <w:left w:val="none" w:sz="0" w:space="0" w:color="auto"/>
                <w:bottom w:val="none" w:sz="0" w:space="0" w:color="auto"/>
                <w:right w:val="none" w:sz="0" w:space="0" w:color="auto"/>
              </w:divBdr>
            </w:div>
            <w:div w:id="1536961105">
              <w:marLeft w:val="0"/>
              <w:marRight w:val="0"/>
              <w:marTop w:val="0"/>
              <w:marBottom w:val="0"/>
              <w:divBdr>
                <w:top w:val="none" w:sz="0" w:space="0" w:color="auto"/>
                <w:left w:val="none" w:sz="0" w:space="0" w:color="auto"/>
                <w:bottom w:val="none" w:sz="0" w:space="0" w:color="auto"/>
                <w:right w:val="none" w:sz="0" w:space="0" w:color="auto"/>
              </w:divBdr>
              <w:divsChild>
                <w:div w:id="21094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9345">
      <w:bodyDiv w:val="1"/>
      <w:marLeft w:val="0"/>
      <w:marRight w:val="0"/>
      <w:marTop w:val="0"/>
      <w:marBottom w:val="0"/>
      <w:divBdr>
        <w:top w:val="none" w:sz="0" w:space="0" w:color="auto"/>
        <w:left w:val="none" w:sz="0" w:space="0" w:color="auto"/>
        <w:bottom w:val="none" w:sz="0" w:space="0" w:color="auto"/>
        <w:right w:val="none" w:sz="0" w:space="0" w:color="auto"/>
      </w:divBdr>
    </w:div>
    <w:div w:id="1386418248">
      <w:bodyDiv w:val="1"/>
      <w:marLeft w:val="0"/>
      <w:marRight w:val="0"/>
      <w:marTop w:val="0"/>
      <w:marBottom w:val="0"/>
      <w:divBdr>
        <w:top w:val="none" w:sz="0" w:space="0" w:color="auto"/>
        <w:left w:val="none" w:sz="0" w:space="0" w:color="auto"/>
        <w:bottom w:val="none" w:sz="0" w:space="0" w:color="auto"/>
        <w:right w:val="none" w:sz="0" w:space="0" w:color="auto"/>
      </w:divBdr>
    </w:div>
    <w:div w:id="1447458093">
      <w:bodyDiv w:val="1"/>
      <w:marLeft w:val="0"/>
      <w:marRight w:val="0"/>
      <w:marTop w:val="0"/>
      <w:marBottom w:val="0"/>
      <w:divBdr>
        <w:top w:val="none" w:sz="0" w:space="0" w:color="auto"/>
        <w:left w:val="none" w:sz="0" w:space="0" w:color="auto"/>
        <w:bottom w:val="none" w:sz="0" w:space="0" w:color="auto"/>
        <w:right w:val="none" w:sz="0" w:space="0" w:color="auto"/>
      </w:divBdr>
    </w:div>
    <w:div w:id="1554150042">
      <w:bodyDiv w:val="1"/>
      <w:marLeft w:val="0"/>
      <w:marRight w:val="0"/>
      <w:marTop w:val="0"/>
      <w:marBottom w:val="0"/>
      <w:divBdr>
        <w:top w:val="none" w:sz="0" w:space="0" w:color="auto"/>
        <w:left w:val="none" w:sz="0" w:space="0" w:color="auto"/>
        <w:bottom w:val="none" w:sz="0" w:space="0" w:color="auto"/>
        <w:right w:val="none" w:sz="0" w:space="0" w:color="auto"/>
      </w:divBdr>
    </w:div>
    <w:div w:id="1676347622">
      <w:bodyDiv w:val="1"/>
      <w:marLeft w:val="0"/>
      <w:marRight w:val="0"/>
      <w:marTop w:val="0"/>
      <w:marBottom w:val="0"/>
      <w:divBdr>
        <w:top w:val="none" w:sz="0" w:space="0" w:color="auto"/>
        <w:left w:val="none" w:sz="0" w:space="0" w:color="auto"/>
        <w:bottom w:val="none" w:sz="0" w:space="0" w:color="auto"/>
        <w:right w:val="none" w:sz="0" w:space="0" w:color="auto"/>
      </w:divBdr>
    </w:div>
    <w:div w:id="1937324353">
      <w:bodyDiv w:val="1"/>
      <w:marLeft w:val="0"/>
      <w:marRight w:val="0"/>
      <w:marTop w:val="0"/>
      <w:marBottom w:val="0"/>
      <w:divBdr>
        <w:top w:val="none" w:sz="0" w:space="0" w:color="auto"/>
        <w:left w:val="none" w:sz="0" w:space="0" w:color="auto"/>
        <w:bottom w:val="none" w:sz="0" w:space="0" w:color="auto"/>
        <w:right w:val="none" w:sz="0" w:space="0" w:color="auto"/>
      </w:divBdr>
      <w:divsChild>
        <w:div w:id="259530839">
          <w:marLeft w:val="0"/>
          <w:marRight w:val="0"/>
          <w:marTop w:val="0"/>
          <w:marBottom w:val="0"/>
          <w:divBdr>
            <w:top w:val="none" w:sz="0" w:space="0" w:color="auto"/>
            <w:left w:val="none" w:sz="0" w:space="0" w:color="auto"/>
            <w:bottom w:val="none" w:sz="0" w:space="0" w:color="auto"/>
            <w:right w:val="none" w:sz="0" w:space="0" w:color="auto"/>
          </w:divBdr>
        </w:div>
        <w:div w:id="594825509">
          <w:marLeft w:val="0"/>
          <w:marRight w:val="0"/>
          <w:marTop w:val="0"/>
          <w:marBottom w:val="0"/>
          <w:divBdr>
            <w:top w:val="none" w:sz="0" w:space="0" w:color="auto"/>
            <w:left w:val="none" w:sz="0" w:space="0" w:color="auto"/>
            <w:bottom w:val="none" w:sz="0" w:space="0" w:color="auto"/>
            <w:right w:val="none" w:sz="0" w:space="0" w:color="auto"/>
          </w:divBdr>
        </w:div>
        <w:div w:id="595405443">
          <w:marLeft w:val="0"/>
          <w:marRight w:val="0"/>
          <w:marTop w:val="0"/>
          <w:marBottom w:val="0"/>
          <w:divBdr>
            <w:top w:val="none" w:sz="0" w:space="0" w:color="auto"/>
            <w:left w:val="none" w:sz="0" w:space="0" w:color="auto"/>
            <w:bottom w:val="none" w:sz="0" w:space="0" w:color="auto"/>
            <w:right w:val="none" w:sz="0" w:space="0" w:color="auto"/>
          </w:divBdr>
        </w:div>
        <w:div w:id="744424791">
          <w:marLeft w:val="0"/>
          <w:marRight w:val="0"/>
          <w:marTop w:val="0"/>
          <w:marBottom w:val="0"/>
          <w:divBdr>
            <w:top w:val="none" w:sz="0" w:space="0" w:color="auto"/>
            <w:left w:val="none" w:sz="0" w:space="0" w:color="auto"/>
            <w:bottom w:val="none" w:sz="0" w:space="0" w:color="auto"/>
            <w:right w:val="none" w:sz="0" w:space="0" w:color="auto"/>
          </w:divBdr>
        </w:div>
        <w:div w:id="1513258054">
          <w:marLeft w:val="0"/>
          <w:marRight w:val="0"/>
          <w:marTop w:val="0"/>
          <w:marBottom w:val="0"/>
          <w:divBdr>
            <w:top w:val="none" w:sz="0" w:space="0" w:color="auto"/>
            <w:left w:val="none" w:sz="0" w:space="0" w:color="auto"/>
            <w:bottom w:val="none" w:sz="0" w:space="0" w:color="auto"/>
            <w:right w:val="none" w:sz="0" w:space="0" w:color="auto"/>
          </w:divBdr>
        </w:div>
        <w:div w:id="1739786576">
          <w:marLeft w:val="0"/>
          <w:marRight w:val="0"/>
          <w:marTop w:val="0"/>
          <w:marBottom w:val="0"/>
          <w:divBdr>
            <w:top w:val="none" w:sz="0" w:space="0" w:color="auto"/>
            <w:left w:val="none" w:sz="0" w:space="0" w:color="auto"/>
            <w:bottom w:val="none" w:sz="0" w:space="0" w:color="auto"/>
            <w:right w:val="none" w:sz="0" w:space="0" w:color="auto"/>
          </w:divBdr>
        </w:div>
      </w:divsChild>
    </w:div>
    <w:div w:id="1943951793">
      <w:bodyDiv w:val="1"/>
      <w:marLeft w:val="0"/>
      <w:marRight w:val="0"/>
      <w:marTop w:val="0"/>
      <w:marBottom w:val="0"/>
      <w:divBdr>
        <w:top w:val="none" w:sz="0" w:space="0" w:color="auto"/>
        <w:left w:val="none" w:sz="0" w:space="0" w:color="auto"/>
        <w:bottom w:val="none" w:sz="0" w:space="0" w:color="auto"/>
        <w:right w:val="none" w:sz="0" w:space="0" w:color="auto"/>
      </w:divBdr>
      <w:divsChild>
        <w:div w:id="205414838">
          <w:marLeft w:val="0"/>
          <w:marRight w:val="0"/>
          <w:marTop w:val="0"/>
          <w:marBottom w:val="0"/>
          <w:divBdr>
            <w:top w:val="none" w:sz="0" w:space="0" w:color="auto"/>
            <w:left w:val="none" w:sz="0" w:space="0" w:color="auto"/>
            <w:bottom w:val="none" w:sz="0" w:space="0" w:color="auto"/>
            <w:right w:val="none" w:sz="0" w:space="0" w:color="auto"/>
          </w:divBdr>
        </w:div>
        <w:div w:id="630063609">
          <w:marLeft w:val="0"/>
          <w:marRight w:val="0"/>
          <w:marTop w:val="0"/>
          <w:marBottom w:val="0"/>
          <w:divBdr>
            <w:top w:val="none" w:sz="0" w:space="0" w:color="auto"/>
            <w:left w:val="none" w:sz="0" w:space="0" w:color="auto"/>
            <w:bottom w:val="none" w:sz="0" w:space="0" w:color="auto"/>
            <w:right w:val="none" w:sz="0" w:space="0" w:color="auto"/>
          </w:divBdr>
        </w:div>
        <w:div w:id="880020654">
          <w:marLeft w:val="0"/>
          <w:marRight w:val="0"/>
          <w:marTop w:val="0"/>
          <w:marBottom w:val="0"/>
          <w:divBdr>
            <w:top w:val="none" w:sz="0" w:space="0" w:color="auto"/>
            <w:left w:val="none" w:sz="0" w:space="0" w:color="auto"/>
            <w:bottom w:val="none" w:sz="0" w:space="0" w:color="auto"/>
            <w:right w:val="none" w:sz="0" w:space="0" w:color="auto"/>
          </w:divBdr>
        </w:div>
        <w:div w:id="89203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5.xml"/><Relationship Id="rId42" Type="http://schemas.openxmlformats.org/officeDocument/2006/relationships/hyperlink" Target="http://www.mfe.govt.nz" TargetMode="External"/><Relationship Id="rId47" Type="http://schemas.openxmlformats.org/officeDocument/2006/relationships/hyperlink" Target="http://www.mfe.govt.nz" TargetMode="External"/><Relationship Id="rId63" Type="http://schemas.openxmlformats.org/officeDocument/2006/relationships/diagramData" Target="diagrams/data2.xml"/><Relationship Id="rId68" Type="http://schemas.openxmlformats.org/officeDocument/2006/relationships/hyperlink" Target="http://www.epa.gov/ttn/amtic/criteria.html"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yperlink" Target="file:///\\mfeprodfps01\StirlingL$\Desktop\environment@mfe.govt.nz" TargetMode="External"/><Relationship Id="rId24" Type="http://schemas.openxmlformats.org/officeDocument/2006/relationships/hyperlink" Target="mailto:air@mfe.govt.nz" TargetMode="External"/><Relationship Id="rId32" Type="http://schemas.openxmlformats.org/officeDocument/2006/relationships/hyperlink" Target="http://www.legislation.govt.nz/act/public/1991/0069/latest/link.aspx?search=ts_act_Resource+Management_resel&amp;id=DLM235230" TargetMode="External"/><Relationship Id="rId37" Type="http://schemas.openxmlformats.org/officeDocument/2006/relationships/hyperlink" Target="http://www.mfe.govt.nz" TargetMode="External"/><Relationship Id="rId40" Type="http://schemas.openxmlformats.org/officeDocument/2006/relationships/hyperlink" Target="http://www.mfe.govt.nz" TargetMode="External"/><Relationship Id="rId45" Type="http://schemas.openxmlformats.org/officeDocument/2006/relationships/hyperlink" Target="http://www.mfe.govt.nz/issues/waste/waste-data" TargetMode="External"/><Relationship Id="rId53" Type="http://schemas.openxmlformats.org/officeDocument/2006/relationships/hyperlink" Target="http://www.tki.org.nz/Schools" TargetMode="External"/><Relationship Id="rId58" Type="http://schemas.openxmlformats.org/officeDocument/2006/relationships/diagramData" Target="diagrams/data1.xml"/><Relationship Id="rId66" Type="http://schemas.openxmlformats.org/officeDocument/2006/relationships/diagramColors" Target="diagrams/colors2.xml"/><Relationship Id="rId5" Type="http://schemas.openxmlformats.org/officeDocument/2006/relationships/settings" Target="settings.xml"/><Relationship Id="rId61" Type="http://schemas.openxmlformats.org/officeDocument/2006/relationships/diagramColors" Target="diagrams/colors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yperlink" Target="http://en.wikipedia.org/wiki/Teratogen" TargetMode="External"/><Relationship Id="rId35" Type="http://schemas.openxmlformats.org/officeDocument/2006/relationships/hyperlink" Target="http://www.mfe.govt.nz" TargetMode="External"/><Relationship Id="rId43" Type="http://schemas.openxmlformats.org/officeDocument/2006/relationships/hyperlink" Target="http://www.mfe.govt.nz/" TargetMode="External"/><Relationship Id="rId48" Type="http://schemas.openxmlformats.org/officeDocument/2006/relationships/hyperlink" Target="http://www.mfe.govt.nz" TargetMode="External"/><Relationship Id="rId56" Type="http://schemas.openxmlformats.org/officeDocument/2006/relationships/hyperlink" Target="http://www.mfe.govt.nz" TargetMode="External"/><Relationship Id="rId64" Type="http://schemas.openxmlformats.org/officeDocument/2006/relationships/diagramLayout" Target="diagrams/layout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fe.govt.nz"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legislation.govt.nz/act/public/1991/0069/latest/link.aspx?search=ts_act_resource+management+act_resel&amp;p=1&amp;id=DLM232526" TargetMode="External"/><Relationship Id="rId38" Type="http://schemas.openxmlformats.org/officeDocument/2006/relationships/hyperlink" Target="http://www.mfe.govt.nz" TargetMode="External"/><Relationship Id="rId46" Type="http://schemas.openxmlformats.org/officeDocument/2006/relationships/hyperlink" Target="http://www.hapinz.org.nz" TargetMode="External"/><Relationship Id="rId59" Type="http://schemas.openxmlformats.org/officeDocument/2006/relationships/diagramLayout" Target="diagrams/layout1.xml"/><Relationship Id="rId67" Type="http://schemas.microsoft.com/office/2007/relationships/diagramDrawing" Target="diagrams/drawing2.xml"/><Relationship Id="rId20" Type="http://schemas.openxmlformats.org/officeDocument/2006/relationships/footer" Target="footer4.xml"/><Relationship Id="rId41" Type="http://schemas.openxmlformats.org/officeDocument/2006/relationships/image" Target="media/image4.jpeg"/><Relationship Id="rId54" Type="http://schemas.openxmlformats.org/officeDocument/2006/relationships/hyperlink" Target="http://www.basel.int/text/17Jun2010-conv-e.pdf" TargetMode="External"/><Relationship Id="rId62" Type="http://schemas.microsoft.com/office/2007/relationships/diagramDrawing" Target="diagrams/drawing1.xm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egislation.govt.nz" TargetMode="External"/><Relationship Id="rId28" Type="http://schemas.openxmlformats.org/officeDocument/2006/relationships/footer" Target="footer7.xml"/><Relationship Id="rId36" Type="http://schemas.openxmlformats.org/officeDocument/2006/relationships/hyperlink" Target="http://www.mfe.govt.nz" TargetMode="External"/><Relationship Id="rId49" Type="http://schemas.openxmlformats.org/officeDocument/2006/relationships/hyperlink" Target="http://www.mfe.govt.nz" TargetMode="External"/><Relationship Id="rId57" Type="http://schemas.openxmlformats.org/officeDocument/2006/relationships/hyperlink" Target="http://www.who.int" TargetMode="External"/><Relationship Id="rId10" Type="http://schemas.openxmlformats.org/officeDocument/2006/relationships/footer" Target="footer1.xml"/><Relationship Id="rId31" Type="http://schemas.openxmlformats.org/officeDocument/2006/relationships/hyperlink" Target="http://www.basel.int/text/17Jun2010-conv-e.pdf" TargetMode="External"/><Relationship Id="rId44" Type="http://schemas.openxmlformats.org/officeDocument/2006/relationships/hyperlink" Target="http://www.mfe.govt.nz" TargetMode="External"/><Relationship Id="rId52" Type="http://schemas.openxmlformats.org/officeDocument/2006/relationships/hyperlink" Target="http://www.mfe.govt.nz" TargetMode="External"/><Relationship Id="rId60" Type="http://schemas.openxmlformats.org/officeDocument/2006/relationships/diagramQuickStyle" Target="diagrams/quickStyle1.xml"/><Relationship Id="rId65"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image" Target="media/image3.png"/><Relationship Id="rId34" Type="http://schemas.openxmlformats.org/officeDocument/2006/relationships/hyperlink" Target="http://www.legislation.govt.nz/act/public/1991/0069/latest/link.aspx?search=ts_act_resource+management+act_resel&amp;p=1&amp;id=DLM232526" TargetMode="External"/><Relationship Id="rId50" Type="http://schemas.openxmlformats.org/officeDocument/2006/relationships/hyperlink" Target="http://www.mfe.govt.nz" TargetMode="External"/><Relationship Id="rId55" Type="http://schemas.openxmlformats.org/officeDocument/2006/relationships/hyperlink" Target="http://www.epa.gov/apti/ozonehealth/population.html%20accessed%207%20July%202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16212-8066-47A8-AFFB-04C93774573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76079614-AF99-4FB9-BB23-EE2D36F7EDEF}">
      <dgm:prSet phldrT="[Text]"/>
      <dgm:spPr/>
      <dgm:t>
        <a:bodyPr/>
        <a:lstStyle/>
        <a:p>
          <a:r>
            <a:rPr lang="en-NZ"/>
            <a:t>Define Airshed</a:t>
          </a:r>
        </a:p>
      </dgm:t>
    </dgm:pt>
    <dgm:pt modelId="{14825CAD-7622-4884-9515-BD3DFEBC7E82}" type="parTrans" cxnId="{0DD137B6-922B-4B80-83F5-A08477BD1A69}">
      <dgm:prSet/>
      <dgm:spPr/>
      <dgm:t>
        <a:bodyPr/>
        <a:lstStyle/>
        <a:p>
          <a:endParaRPr lang="en-NZ"/>
        </a:p>
      </dgm:t>
    </dgm:pt>
    <dgm:pt modelId="{CA48BCB4-E24C-43F7-9103-FF6A6E807E01}" type="sibTrans" cxnId="{0DD137B6-922B-4B80-83F5-A08477BD1A69}">
      <dgm:prSet/>
      <dgm:spPr/>
      <dgm:t>
        <a:bodyPr/>
        <a:lstStyle/>
        <a:p>
          <a:endParaRPr lang="en-NZ"/>
        </a:p>
      </dgm:t>
    </dgm:pt>
    <dgm:pt modelId="{92818859-6749-4C49-A055-C54D128E6BD5}">
      <dgm:prSet phldrT="[Text]"/>
      <dgm:spPr>
        <a:ln>
          <a:solidFill>
            <a:schemeClr val="accent6"/>
          </a:solidFill>
        </a:ln>
      </dgm:spPr>
      <dgm:t>
        <a:bodyPr/>
        <a:lstStyle/>
        <a:p>
          <a:r>
            <a:rPr lang="en-NZ"/>
            <a:t>Prepare Graphic Description Plan</a:t>
          </a:r>
        </a:p>
      </dgm:t>
    </dgm:pt>
    <dgm:pt modelId="{04424FB4-CD8F-4C66-8C1D-509A6EED7614}" type="parTrans" cxnId="{B91C1ECF-F2C8-426C-B0E4-AA7EC5AE533A}">
      <dgm:prSet/>
      <dgm:spPr/>
      <dgm:t>
        <a:bodyPr/>
        <a:lstStyle/>
        <a:p>
          <a:endParaRPr lang="en-NZ"/>
        </a:p>
      </dgm:t>
    </dgm:pt>
    <dgm:pt modelId="{92CE05AA-211F-4C27-A708-1F03B34BF3FC}" type="sibTrans" cxnId="{B91C1ECF-F2C8-426C-B0E4-AA7EC5AE533A}">
      <dgm:prSet/>
      <dgm:spPr/>
      <dgm:t>
        <a:bodyPr/>
        <a:lstStyle/>
        <a:p>
          <a:endParaRPr lang="en-NZ"/>
        </a:p>
      </dgm:t>
    </dgm:pt>
    <dgm:pt modelId="{C6CAE0A0-D42B-47AB-BDDA-B903EF9FB258}">
      <dgm:prSet phldrT="[Text]"/>
      <dgm:spPr/>
      <dgm:t>
        <a:bodyPr/>
        <a:lstStyle/>
        <a:p>
          <a:r>
            <a:rPr lang="en-NZ"/>
            <a:t>Lodge with LINZ</a:t>
          </a:r>
        </a:p>
      </dgm:t>
    </dgm:pt>
    <dgm:pt modelId="{C988159F-7AFD-41EE-8006-2B950C652079}" type="parTrans" cxnId="{A6277545-4F03-4D56-A1B5-4582BE7CBFB1}">
      <dgm:prSet/>
      <dgm:spPr/>
      <dgm:t>
        <a:bodyPr/>
        <a:lstStyle/>
        <a:p>
          <a:endParaRPr lang="en-NZ"/>
        </a:p>
      </dgm:t>
    </dgm:pt>
    <dgm:pt modelId="{1F0B9A15-9DF0-4437-ABD0-44B5CDD95D0E}" type="sibTrans" cxnId="{A6277545-4F03-4D56-A1B5-4582BE7CBFB1}">
      <dgm:prSet/>
      <dgm:spPr/>
      <dgm:t>
        <a:bodyPr/>
        <a:lstStyle/>
        <a:p>
          <a:endParaRPr lang="en-NZ"/>
        </a:p>
      </dgm:t>
    </dgm:pt>
    <dgm:pt modelId="{44E8DEA5-50F8-47A8-A063-8A8969DB1873}">
      <dgm:prSet phldrT="[Text]"/>
      <dgm:spPr>
        <a:ln>
          <a:solidFill>
            <a:schemeClr val="accent6"/>
          </a:solidFill>
        </a:ln>
      </dgm:spPr>
      <dgm:t>
        <a:bodyPr/>
        <a:lstStyle/>
        <a:p>
          <a:r>
            <a:rPr lang="en-NZ"/>
            <a:t>LINZ certifies plan and provides SO number</a:t>
          </a:r>
        </a:p>
      </dgm:t>
    </dgm:pt>
    <dgm:pt modelId="{1FF5A2BC-E1EE-44C7-A5C3-8CD97BBECFB4}" type="parTrans" cxnId="{28E978B8-3496-4BF0-B0A0-51AB2BAC2B67}">
      <dgm:prSet/>
      <dgm:spPr/>
      <dgm:t>
        <a:bodyPr/>
        <a:lstStyle/>
        <a:p>
          <a:endParaRPr lang="en-NZ"/>
        </a:p>
      </dgm:t>
    </dgm:pt>
    <dgm:pt modelId="{74CAE36A-3048-4DEA-BFFC-6DEB84493380}" type="sibTrans" cxnId="{28E978B8-3496-4BF0-B0A0-51AB2BAC2B67}">
      <dgm:prSet/>
      <dgm:spPr/>
      <dgm:t>
        <a:bodyPr/>
        <a:lstStyle/>
        <a:p>
          <a:endParaRPr lang="en-NZ"/>
        </a:p>
      </dgm:t>
    </dgm:pt>
    <dgm:pt modelId="{8D455FAC-13F8-4EFC-8637-90EC685890AF}">
      <dgm:prSet phldrT="[Text]"/>
      <dgm:spPr/>
      <dgm:t>
        <a:bodyPr/>
        <a:lstStyle/>
        <a:p>
          <a:r>
            <a:rPr lang="en-NZ"/>
            <a:t>Request Minister gazette airshed</a:t>
          </a:r>
        </a:p>
      </dgm:t>
    </dgm:pt>
    <dgm:pt modelId="{5956C538-8425-4C2D-8A52-984CBFE33814}" type="parTrans" cxnId="{EC3D9BB8-CF94-441D-9459-CD7789F68963}">
      <dgm:prSet/>
      <dgm:spPr/>
      <dgm:t>
        <a:bodyPr/>
        <a:lstStyle/>
        <a:p>
          <a:endParaRPr lang="en-NZ"/>
        </a:p>
      </dgm:t>
    </dgm:pt>
    <dgm:pt modelId="{90259091-DA8B-480C-B257-7176C94244E7}" type="sibTrans" cxnId="{EC3D9BB8-CF94-441D-9459-CD7789F68963}">
      <dgm:prSet/>
      <dgm:spPr/>
      <dgm:t>
        <a:bodyPr/>
        <a:lstStyle/>
        <a:p>
          <a:endParaRPr lang="en-NZ"/>
        </a:p>
      </dgm:t>
    </dgm:pt>
    <dgm:pt modelId="{D7D7BA2D-CACD-4A70-A13E-7ED07CAA872E}">
      <dgm:prSet phldrT="[Text]"/>
      <dgm:spPr>
        <a:ln>
          <a:solidFill>
            <a:schemeClr val="accent6"/>
          </a:solidFill>
        </a:ln>
      </dgm:spPr>
      <dgm:t>
        <a:bodyPr/>
        <a:lstStyle/>
        <a:p>
          <a:r>
            <a:rPr lang="en-NZ"/>
            <a:t>Provide maps, rationale, SO numbers and preferred date of entry into force</a:t>
          </a:r>
        </a:p>
      </dgm:t>
    </dgm:pt>
    <dgm:pt modelId="{43F434D6-7856-425A-A23D-EE5EA31E9FE7}" type="parTrans" cxnId="{AF0B59DA-A007-4F50-94D5-87236B4D0906}">
      <dgm:prSet/>
      <dgm:spPr/>
      <dgm:t>
        <a:bodyPr/>
        <a:lstStyle/>
        <a:p>
          <a:endParaRPr lang="en-NZ"/>
        </a:p>
      </dgm:t>
    </dgm:pt>
    <dgm:pt modelId="{59FF2D5D-3A31-4BDE-9846-0C8DFDC63C8C}" type="sibTrans" cxnId="{AF0B59DA-A007-4F50-94D5-87236B4D0906}">
      <dgm:prSet/>
      <dgm:spPr/>
      <dgm:t>
        <a:bodyPr/>
        <a:lstStyle/>
        <a:p>
          <a:endParaRPr lang="en-NZ"/>
        </a:p>
      </dgm:t>
    </dgm:pt>
    <dgm:pt modelId="{16055A83-AFD2-494C-B36B-323941D3286F}" type="pres">
      <dgm:prSet presAssocID="{FA616212-8066-47A8-AFFB-04C93774573A}" presName="linearFlow" presStyleCnt="0">
        <dgm:presLayoutVars>
          <dgm:dir/>
          <dgm:animLvl val="lvl"/>
          <dgm:resizeHandles val="exact"/>
        </dgm:presLayoutVars>
      </dgm:prSet>
      <dgm:spPr/>
    </dgm:pt>
    <dgm:pt modelId="{41C87413-9F20-423F-9C79-164B10261D36}" type="pres">
      <dgm:prSet presAssocID="{76079614-AF99-4FB9-BB23-EE2D36F7EDEF}" presName="composite" presStyleCnt="0"/>
      <dgm:spPr/>
    </dgm:pt>
    <dgm:pt modelId="{EB57CFD7-E2DC-468C-BF67-09DD88199EA9}" type="pres">
      <dgm:prSet presAssocID="{76079614-AF99-4FB9-BB23-EE2D36F7EDEF}" presName="parTx" presStyleLbl="node1" presStyleIdx="0" presStyleCnt="3">
        <dgm:presLayoutVars>
          <dgm:chMax val="0"/>
          <dgm:chPref val="0"/>
          <dgm:bulletEnabled val="1"/>
        </dgm:presLayoutVars>
      </dgm:prSet>
      <dgm:spPr/>
    </dgm:pt>
    <dgm:pt modelId="{8AE0E290-4B07-460E-8054-3E8C347CB830}" type="pres">
      <dgm:prSet presAssocID="{76079614-AF99-4FB9-BB23-EE2D36F7EDEF}" presName="parSh" presStyleLbl="node1" presStyleIdx="0" presStyleCnt="3"/>
      <dgm:spPr/>
    </dgm:pt>
    <dgm:pt modelId="{29A9CEAA-2605-46E5-831B-B26BF98AC7C7}" type="pres">
      <dgm:prSet presAssocID="{76079614-AF99-4FB9-BB23-EE2D36F7EDEF}" presName="desTx" presStyleLbl="fgAcc1" presStyleIdx="0" presStyleCnt="3">
        <dgm:presLayoutVars>
          <dgm:bulletEnabled val="1"/>
        </dgm:presLayoutVars>
      </dgm:prSet>
      <dgm:spPr/>
    </dgm:pt>
    <dgm:pt modelId="{67A0845C-6BF2-4236-A039-C5C9E8D8C33C}" type="pres">
      <dgm:prSet presAssocID="{CA48BCB4-E24C-43F7-9103-FF6A6E807E01}" presName="sibTrans" presStyleLbl="sibTrans2D1" presStyleIdx="0" presStyleCnt="2"/>
      <dgm:spPr/>
    </dgm:pt>
    <dgm:pt modelId="{90282AF1-64E8-45CB-B294-04A3F55C4A5E}" type="pres">
      <dgm:prSet presAssocID="{CA48BCB4-E24C-43F7-9103-FF6A6E807E01}" presName="connTx" presStyleLbl="sibTrans2D1" presStyleIdx="0" presStyleCnt="2"/>
      <dgm:spPr/>
    </dgm:pt>
    <dgm:pt modelId="{D98DDC44-3F0D-455B-8C0E-086044C7E685}" type="pres">
      <dgm:prSet presAssocID="{C6CAE0A0-D42B-47AB-BDDA-B903EF9FB258}" presName="composite" presStyleCnt="0"/>
      <dgm:spPr/>
    </dgm:pt>
    <dgm:pt modelId="{FD828CAF-2A16-4C3F-868D-F57E452225C1}" type="pres">
      <dgm:prSet presAssocID="{C6CAE0A0-D42B-47AB-BDDA-B903EF9FB258}" presName="parTx" presStyleLbl="node1" presStyleIdx="0" presStyleCnt="3">
        <dgm:presLayoutVars>
          <dgm:chMax val="0"/>
          <dgm:chPref val="0"/>
          <dgm:bulletEnabled val="1"/>
        </dgm:presLayoutVars>
      </dgm:prSet>
      <dgm:spPr/>
    </dgm:pt>
    <dgm:pt modelId="{C1652446-1F2F-47A2-B95A-EE569A85C8E2}" type="pres">
      <dgm:prSet presAssocID="{C6CAE0A0-D42B-47AB-BDDA-B903EF9FB258}" presName="parSh" presStyleLbl="node1" presStyleIdx="1" presStyleCnt="3"/>
      <dgm:spPr/>
    </dgm:pt>
    <dgm:pt modelId="{62204ACE-1E1E-4EEE-B883-C22DE98598B1}" type="pres">
      <dgm:prSet presAssocID="{C6CAE0A0-D42B-47AB-BDDA-B903EF9FB258}" presName="desTx" presStyleLbl="fgAcc1" presStyleIdx="1" presStyleCnt="3">
        <dgm:presLayoutVars>
          <dgm:bulletEnabled val="1"/>
        </dgm:presLayoutVars>
      </dgm:prSet>
      <dgm:spPr/>
    </dgm:pt>
    <dgm:pt modelId="{81F9B00D-BA90-4B87-AF36-E0B72E4B4092}" type="pres">
      <dgm:prSet presAssocID="{1F0B9A15-9DF0-4437-ABD0-44B5CDD95D0E}" presName="sibTrans" presStyleLbl="sibTrans2D1" presStyleIdx="1" presStyleCnt="2"/>
      <dgm:spPr/>
    </dgm:pt>
    <dgm:pt modelId="{1B610C45-9847-4674-98BB-7AB0D580CECD}" type="pres">
      <dgm:prSet presAssocID="{1F0B9A15-9DF0-4437-ABD0-44B5CDD95D0E}" presName="connTx" presStyleLbl="sibTrans2D1" presStyleIdx="1" presStyleCnt="2"/>
      <dgm:spPr/>
    </dgm:pt>
    <dgm:pt modelId="{976BD41D-8873-4C0E-AFF2-CC0A979C583A}" type="pres">
      <dgm:prSet presAssocID="{8D455FAC-13F8-4EFC-8637-90EC685890AF}" presName="composite" presStyleCnt="0"/>
      <dgm:spPr/>
    </dgm:pt>
    <dgm:pt modelId="{B01129B0-5B41-422B-93F5-D7852A2E250D}" type="pres">
      <dgm:prSet presAssocID="{8D455FAC-13F8-4EFC-8637-90EC685890AF}" presName="parTx" presStyleLbl="node1" presStyleIdx="1" presStyleCnt="3">
        <dgm:presLayoutVars>
          <dgm:chMax val="0"/>
          <dgm:chPref val="0"/>
          <dgm:bulletEnabled val="1"/>
        </dgm:presLayoutVars>
      </dgm:prSet>
      <dgm:spPr/>
    </dgm:pt>
    <dgm:pt modelId="{230D1601-51EF-47F7-A63E-C69BA9EF7D1E}" type="pres">
      <dgm:prSet presAssocID="{8D455FAC-13F8-4EFC-8637-90EC685890AF}" presName="parSh" presStyleLbl="node1" presStyleIdx="2" presStyleCnt="3"/>
      <dgm:spPr/>
    </dgm:pt>
    <dgm:pt modelId="{BB9B28AF-3B12-4F73-BB31-400EE4067782}" type="pres">
      <dgm:prSet presAssocID="{8D455FAC-13F8-4EFC-8637-90EC685890AF}" presName="desTx" presStyleLbl="fgAcc1" presStyleIdx="2" presStyleCnt="3">
        <dgm:presLayoutVars>
          <dgm:bulletEnabled val="1"/>
        </dgm:presLayoutVars>
      </dgm:prSet>
      <dgm:spPr/>
    </dgm:pt>
  </dgm:ptLst>
  <dgm:cxnLst>
    <dgm:cxn modelId="{E1443A06-30FF-4008-8FC6-EAAD5ACB5829}" type="presOf" srcId="{8D455FAC-13F8-4EFC-8637-90EC685890AF}" destId="{B01129B0-5B41-422B-93F5-D7852A2E250D}" srcOrd="0" destOrd="0" presId="urn:microsoft.com/office/officeart/2005/8/layout/process3"/>
    <dgm:cxn modelId="{5C81A90B-B023-431E-B8D3-92ED79AA09F3}" type="presOf" srcId="{76079614-AF99-4FB9-BB23-EE2D36F7EDEF}" destId="{8AE0E290-4B07-460E-8054-3E8C347CB830}" srcOrd="1" destOrd="0" presId="urn:microsoft.com/office/officeart/2005/8/layout/process3"/>
    <dgm:cxn modelId="{1972F716-2C7F-43FB-9AB2-E0208E12BD58}" type="presOf" srcId="{CA48BCB4-E24C-43F7-9103-FF6A6E807E01}" destId="{67A0845C-6BF2-4236-A039-C5C9E8D8C33C}" srcOrd="0" destOrd="0" presId="urn:microsoft.com/office/officeart/2005/8/layout/process3"/>
    <dgm:cxn modelId="{D4BD011B-F819-4437-9FFD-BA0C1196B94F}" type="presOf" srcId="{C6CAE0A0-D42B-47AB-BDDA-B903EF9FB258}" destId="{C1652446-1F2F-47A2-B95A-EE569A85C8E2}" srcOrd="1" destOrd="0" presId="urn:microsoft.com/office/officeart/2005/8/layout/process3"/>
    <dgm:cxn modelId="{16D17A28-3EE0-4345-B77D-D8C0F7BAEB02}" type="presOf" srcId="{44E8DEA5-50F8-47A8-A063-8A8969DB1873}" destId="{62204ACE-1E1E-4EEE-B883-C22DE98598B1}" srcOrd="0" destOrd="0" presId="urn:microsoft.com/office/officeart/2005/8/layout/process3"/>
    <dgm:cxn modelId="{8F1C852D-5DD0-4A51-9A64-C9C2DD9726DE}" type="presOf" srcId="{FA616212-8066-47A8-AFFB-04C93774573A}" destId="{16055A83-AFD2-494C-B36B-323941D3286F}" srcOrd="0" destOrd="0" presId="urn:microsoft.com/office/officeart/2005/8/layout/process3"/>
    <dgm:cxn modelId="{38CA9E33-7532-4D0E-9978-5FF15128DB77}" type="presOf" srcId="{76079614-AF99-4FB9-BB23-EE2D36F7EDEF}" destId="{EB57CFD7-E2DC-468C-BF67-09DD88199EA9}" srcOrd="0" destOrd="0" presId="urn:microsoft.com/office/officeart/2005/8/layout/process3"/>
    <dgm:cxn modelId="{822BC940-3FD9-4AB5-B51D-236365F16835}" type="presOf" srcId="{8D455FAC-13F8-4EFC-8637-90EC685890AF}" destId="{230D1601-51EF-47F7-A63E-C69BA9EF7D1E}" srcOrd="1" destOrd="0" presId="urn:microsoft.com/office/officeart/2005/8/layout/process3"/>
    <dgm:cxn modelId="{A6277545-4F03-4D56-A1B5-4582BE7CBFB1}" srcId="{FA616212-8066-47A8-AFFB-04C93774573A}" destId="{C6CAE0A0-D42B-47AB-BDDA-B903EF9FB258}" srcOrd="1" destOrd="0" parTransId="{C988159F-7AFD-41EE-8006-2B950C652079}" sibTransId="{1F0B9A15-9DF0-4437-ABD0-44B5CDD95D0E}"/>
    <dgm:cxn modelId="{05F61391-FB89-4187-81AE-BC71D9731490}" type="presOf" srcId="{1F0B9A15-9DF0-4437-ABD0-44B5CDD95D0E}" destId="{1B610C45-9847-4674-98BB-7AB0D580CECD}" srcOrd="1" destOrd="0" presId="urn:microsoft.com/office/officeart/2005/8/layout/process3"/>
    <dgm:cxn modelId="{A2BE0B98-67E8-4C3A-B560-C4FBD4041BDC}" type="presOf" srcId="{D7D7BA2D-CACD-4A70-A13E-7ED07CAA872E}" destId="{BB9B28AF-3B12-4F73-BB31-400EE4067782}" srcOrd="0" destOrd="0" presId="urn:microsoft.com/office/officeart/2005/8/layout/process3"/>
    <dgm:cxn modelId="{0C3743A7-DD74-4D6F-A6B0-DAE567BF701F}" type="presOf" srcId="{1F0B9A15-9DF0-4437-ABD0-44B5CDD95D0E}" destId="{81F9B00D-BA90-4B87-AF36-E0B72E4B4092}" srcOrd="0" destOrd="0" presId="urn:microsoft.com/office/officeart/2005/8/layout/process3"/>
    <dgm:cxn modelId="{EF9E60B0-BBF4-434F-86CD-13923913239D}" type="presOf" srcId="{CA48BCB4-E24C-43F7-9103-FF6A6E807E01}" destId="{90282AF1-64E8-45CB-B294-04A3F55C4A5E}" srcOrd="1" destOrd="0" presId="urn:microsoft.com/office/officeart/2005/8/layout/process3"/>
    <dgm:cxn modelId="{0DD137B6-922B-4B80-83F5-A08477BD1A69}" srcId="{FA616212-8066-47A8-AFFB-04C93774573A}" destId="{76079614-AF99-4FB9-BB23-EE2D36F7EDEF}" srcOrd="0" destOrd="0" parTransId="{14825CAD-7622-4884-9515-BD3DFEBC7E82}" sibTransId="{CA48BCB4-E24C-43F7-9103-FF6A6E807E01}"/>
    <dgm:cxn modelId="{28E978B8-3496-4BF0-B0A0-51AB2BAC2B67}" srcId="{C6CAE0A0-D42B-47AB-BDDA-B903EF9FB258}" destId="{44E8DEA5-50F8-47A8-A063-8A8969DB1873}" srcOrd="0" destOrd="0" parTransId="{1FF5A2BC-E1EE-44C7-A5C3-8CD97BBECFB4}" sibTransId="{74CAE36A-3048-4DEA-BFFC-6DEB84493380}"/>
    <dgm:cxn modelId="{EC3D9BB8-CF94-441D-9459-CD7789F68963}" srcId="{FA616212-8066-47A8-AFFB-04C93774573A}" destId="{8D455FAC-13F8-4EFC-8637-90EC685890AF}" srcOrd="2" destOrd="0" parTransId="{5956C538-8425-4C2D-8A52-984CBFE33814}" sibTransId="{90259091-DA8B-480C-B257-7176C94244E7}"/>
    <dgm:cxn modelId="{B91C1ECF-F2C8-426C-B0E4-AA7EC5AE533A}" srcId="{76079614-AF99-4FB9-BB23-EE2D36F7EDEF}" destId="{92818859-6749-4C49-A055-C54D128E6BD5}" srcOrd="0" destOrd="0" parTransId="{04424FB4-CD8F-4C66-8C1D-509A6EED7614}" sibTransId="{92CE05AA-211F-4C27-A708-1F03B34BF3FC}"/>
    <dgm:cxn modelId="{AF0B59DA-A007-4F50-94D5-87236B4D0906}" srcId="{8D455FAC-13F8-4EFC-8637-90EC685890AF}" destId="{D7D7BA2D-CACD-4A70-A13E-7ED07CAA872E}" srcOrd="0" destOrd="0" parTransId="{43F434D6-7856-425A-A23D-EE5EA31E9FE7}" sibTransId="{59FF2D5D-3A31-4BDE-9846-0C8DFDC63C8C}"/>
    <dgm:cxn modelId="{F12573F0-1F46-485C-8615-3AD6C731AF36}" type="presOf" srcId="{C6CAE0A0-D42B-47AB-BDDA-B903EF9FB258}" destId="{FD828CAF-2A16-4C3F-868D-F57E452225C1}" srcOrd="0" destOrd="0" presId="urn:microsoft.com/office/officeart/2005/8/layout/process3"/>
    <dgm:cxn modelId="{439750F3-4666-4DB3-BE61-552727C5D305}" type="presOf" srcId="{92818859-6749-4C49-A055-C54D128E6BD5}" destId="{29A9CEAA-2605-46E5-831B-B26BF98AC7C7}" srcOrd="0" destOrd="0" presId="urn:microsoft.com/office/officeart/2005/8/layout/process3"/>
    <dgm:cxn modelId="{7BDD3CB5-123F-4A61-9FE8-64EC68971D9F}" type="presParOf" srcId="{16055A83-AFD2-494C-B36B-323941D3286F}" destId="{41C87413-9F20-423F-9C79-164B10261D36}" srcOrd="0" destOrd="0" presId="urn:microsoft.com/office/officeart/2005/8/layout/process3"/>
    <dgm:cxn modelId="{768BCA86-769D-434C-B0C7-2E56E6D1E14E}" type="presParOf" srcId="{41C87413-9F20-423F-9C79-164B10261D36}" destId="{EB57CFD7-E2DC-468C-BF67-09DD88199EA9}" srcOrd="0" destOrd="0" presId="urn:microsoft.com/office/officeart/2005/8/layout/process3"/>
    <dgm:cxn modelId="{4C74861A-A0F3-499D-BC09-9C8E164D896E}" type="presParOf" srcId="{41C87413-9F20-423F-9C79-164B10261D36}" destId="{8AE0E290-4B07-460E-8054-3E8C347CB830}" srcOrd="1" destOrd="0" presId="urn:microsoft.com/office/officeart/2005/8/layout/process3"/>
    <dgm:cxn modelId="{E14AC91B-F767-4F6A-8F22-159D3ADE0EA3}" type="presParOf" srcId="{41C87413-9F20-423F-9C79-164B10261D36}" destId="{29A9CEAA-2605-46E5-831B-B26BF98AC7C7}" srcOrd="2" destOrd="0" presId="urn:microsoft.com/office/officeart/2005/8/layout/process3"/>
    <dgm:cxn modelId="{8A6CB294-0FA8-4A7C-952F-E5E54DA2FBA5}" type="presParOf" srcId="{16055A83-AFD2-494C-B36B-323941D3286F}" destId="{67A0845C-6BF2-4236-A039-C5C9E8D8C33C}" srcOrd="1" destOrd="0" presId="urn:microsoft.com/office/officeart/2005/8/layout/process3"/>
    <dgm:cxn modelId="{47A0E5FD-C326-4E95-9C38-F643B8729228}" type="presParOf" srcId="{67A0845C-6BF2-4236-A039-C5C9E8D8C33C}" destId="{90282AF1-64E8-45CB-B294-04A3F55C4A5E}" srcOrd="0" destOrd="0" presId="urn:microsoft.com/office/officeart/2005/8/layout/process3"/>
    <dgm:cxn modelId="{BB5CC09D-C98E-45B9-9361-998961046859}" type="presParOf" srcId="{16055A83-AFD2-494C-B36B-323941D3286F}" destId="{D98DDC44-3F0D-455B-8C0E-086044C7E685}" srcOrd="2" destOrd="0" presId="urn:microsoft.com/office/officeart/2005/8/layout/process3"/>
    <dgm:cxn modelId="{EE4020E9-97E9-4785-A922-07BFF8C9EF50}" type="presParOf" srcId="{D98DDC44-3F0D-455B-8C0E-086044C7E685}" destId="{FD828CAF-2A16-4C3F-868D-F57E452225C1}" srcOrd="0" destOrd="0" presId="urn:microsoft.com/office/officeart/2005/8/layout/process3"/>
    <dgm:cxn modelId="{29A001D7-F032-4F71-92FE-FCF3147AA7FF}" type="presParOf" srcId="{D98DDC44-3F0D-455B-8C0E-086044C7E685}" destId="{C1652446-1F2F-47A2-B95A-EE569A85C8E2}" srcOrd="1" destOrd="0" presId="urn:microsoft.com/office/officeart/2005/8/layout/process3"/>
    <dgm:cxn modelId="{CEB58B1A-2A8C-4475-8649-106AA9B735D0}" type="presParOf" srcId="{D98DDC44-3F0D-455B-8C0E-086044C7E685}" destId="{62204ACE-1E1E-4EEE-B883-C22DE98598B1}" srcOrd="2" destOrd="0" presId="urn:microsoft.com/office/officeart/2005/8/layout/process3"/>
    <dgm:cxn modelId="{A8837B19-ECF7-47B6-AC42-C7F0A1764D87}" type="presParOf" srcId="{16055A83-AFD2-494C-B36B-323941D3286F}" destId="{81F9B00D-BA90-4B87-AF36-E0B72E4B4092}" srcOrd="3" destOrd="0" presId="urn:microsoft.com/office/officeart/2005/8/layout/process3"/>
    <dgm:cxn modelId="{9B505CCF-60AF-40EC-8ABB-41D487AA36B2}" type="presParOf" srcId="{81F9B00D-BA90-4B87-AF36-E0B72E4B4092}" destId="{1B610C45-9847-4674-98BB-7AB0D580CECD}" srcOrd="0" destOrd="0" presId="urn:microsoft.com/office/officeart/2005/8/layout/process3"/>
    <dgm:cxn modelId="{C4658C5F-194F-4B51-B2FF-7CF1F785057F}" type="presParOf" srcId="{16055A83-AFD2-494C-B36B-323941D3286F}" destId="{976BD41D-8873-4C0E-AFF2-CC0A979C583A}" srcOrd="4" destOrd="0" presId="urn:microsoft.com/office/officeart/2005/8/layout/process3"/>
    <dgm:cxn modelId="{5C7D37CF-FC59-4776-B8A3-9A292ED72825}" type="presParOf" srcId="{976BD41D-8873-4C0E-AFF2-CC0A979C583A}" destId="{B01129B0-5B41-422B-93F5-D7852A2E250D}" srcOrd="0" destOrd="0" presId="urn:microsoft.com/office/officeart/2005/8/layout/process3"/>
    <dgm:cxn modelId="{66D74A7F-DC07-4173-8369-D6EEF859B2D3}" type="presParOf" srcId="{976BD41D-8873-4C0E-AFF2-CC0A979C583A}" destId="{230D1601-51EF-47F7-A63E-C69BA9EF7D1E}" srcOrd="1" destOrd="0" presId="urn:microsoft.com/office/officeart/2005/8/layout/process3"/>
    <dgm:cxn modelId="{AB5F62E9-0784-4B05-91D9-A967AA9D9D85}" type="presParOf" srcId="{976BD41D-8873-4C0E-AFF2-CC0A979C583A}" destId="{BB9B28AF-3B12-4F73-BB31-400EE4067782}" srcOrd="2" destOrd="0" presId="urn:microsoft.com/office/officeart/2005/8/layout/process3"/>
  </dgm:cxnLst>
  <dgm:bg>
    <a:solidFill>
      <a:schemeClr val="accent1"/>
    </a:solidFill>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616212-8066-47A8-AFFB-04C93774573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76079614-AF99-4FB9-BB23-EE2D36F7EDEF}">
      <dgm:prSet phldrT="[Text]"/>
      <dgm:spPr>
        <a:solidFill>
          <a:schemeClr val="accent6"/>
        </a:solidFill>
      </dgm:spPr>
      <dgm:t>
        <a:bodyPr/>
        <a:lstStyle/>
        <a:p>
          <a:r>
            <a:rPr lang="en-NZ"/>
            <a:t>MfE advises Minister</a:t>
          </a:r>
        </a:p>
      </dgm:t>
    </dgm:pt>
    <dgm:pt modelId="{14825CAD-7622-4884-9515-BD3DFEBC7E82}" type="parTrans" cxnId="{0DD137B6-922B-4B80-83F5-A08477BD1A69}">
      <dgm:prSet/>
      <dgm:spPr/>
      <dgm:t>
        <a:bodyPr/>
        <a:lstStyle/>
        <a:p>
          <a:endParaRPr lang="en-NZ"/>
        </a:p>
      </dgm:t>
    </dgm:pt>
    <dgm:pt modelId="{CA48BCB4-E24C-43F7-9103-FF6A6E807E01}" type="sibTrans" cxnId="{0DD137B6-922B-4B80-83F5-A08477BD1A69}">
      <dgm:prSet/>
      <dgm:spPr/>
      <dgm:t>
        <a:bodyPr/>
        <a:lstStyle/>
        <a:p>
          <a:endParaRPr lang="en-NZ"/>
        </a:p>
      </dgm:t>
    </dgm:pt>
    <dgm:pt modelId="{92818859-6749-4C49-A055-C54D128E6BD5}">
      <dgm:prSet phldrT="[Text]"/>
      <dgm:spPr/>
      <dgm:t>
        <a:bodyPr/>
        <a:lstStyle/>
        <a:p>
          <a:r>
            <a:rPr lang="en-NZ"/>
            <a:t>Compliance, legality, clarity</a:t>
          </a:r>
        </a:p>
      </dgm:t>
    </dgm:pt>
    <dgm:pt modelId="{04424FB4-CD8F-4C66-8C1D-509A6EED7614}" type="parTrans" cxnId="{B91C1ECF-F2C8-426C-B0E4-AA7EC5AE533A}">
      <dgm:prSet/>
      <dgm:spPr/>
      <dgm:t>
        <a:bodyPr/>
        <a:lstStyle/>
        <a:p>
          <a:endParaRPr lang="en-NZ"/>
        </a:p>
      </dgm:t>
    </dgm:pt>
    <dgm:pt modelId="{92CE05AA-211F-4C27-A708-1F03B34BF3FC}" type="sibTrans" cxnId="{B91C1ECF-F2C8-426C-B0E4-AA7EC5AE533A}">
      <dgm:prSet/>
      <dgm:spPr/>
      <dgm:t>
        <a:bodyPr/>
        <a:lstStyle/>
        <a:p>
          <a:endParaRPr lang="en-NZ"/>
        </a:p>
      </dgm:t>
    </dgm:pt>
    <dgm:pt modelId="{C6CAE0A0-D42B-47AB-BDDA-B903EF9FB258}">
      <dgm:prSet phldrT="[Text]"/>
      <dgm:spPr>
        <a:solidFill>
          <a:schemeClr val="accent6"/>
        </a:solidFill>
      </dgm:spPr>
      <dgm:t>
        <a:bodyPr/>
        <a:lstStyle/>
        <a:p>
          <a:r>
            <a:rPr lang="en-NZ"/>
            <a:t>Minister approves airshed</a:t>
          </a:r>
        </a:p>
      </dgm:t>
    </dgm:pt>
    <dgm:pt modelId="{C988159F-7AFD-41EE-8006-2B950C652079}" type="parTrans" cxnId="{A6277545-4F03-4D56-A1B5-4582BE7CBFB1}">
      <dgm:prSet/>
      <dgm:spPr/>
      <dgm:t>
        <a:bodyPr/>
        <a:lstStyle/>
        <a:p>
          <a:endParaRPr lang="en-NZ"/>
        </a:p>
      </dgm:t>
    </dgm:pt>
    <dgm:pt modelId="{1F0B9A15-9DF0-4437-ABD0-44B5CDD95D0E}" type="sibTrans" cxnId="{A6277545-4F03-4D56-A1B5-4582BE7CBFB1}">
      <dgm:prSet/>
      <dgm:spPr/>
      <dgm:t>
        <a:bodyPr/>
        <a:lstStyle/>
        <a:p>
          <a:endParaRPr lang="en-NZ"/>
        </a:p>
      </dgm:t>
    </dgm:pt>
    <dgm:pt modelId="{44E8DEA5-50F8-47A8-A063-8A8969DB1873}">
      <dgm:prSet phldrT="[Text]"/>
      <dgm:spPr/>
      <dgm:t>
        <a:bodyPr/>
        <a:lstStyle/>
        <a:p>
          <a:r>
            <a:rPr lang="en-NZ"/>
            <a:t>Gazette notice forwarded to Govt Gazette office</a:t>
          </a:r>
        </a:p>
      </dgm:t>
    </dgm:pt>
    <dgm:pt modelId="{1FF5A2BC-E1EE-44C7-A5C3-8CD97BBECFB4}" type="parTrans" cxnId="{28E978B8-3496-4BF0-B0A0-51AB2BAC2B67}">
      <dgm:prSet/>
      <dgm:spPr/>
      <dgm:t>
        <a:bodyPr/>
        <a:lstStyle/>
        <a:p>
          <a:endParaRPr lang="en-NZ"/>
        </a:p>
      </dgm:t>
    </dgm:pt>
    <dgm:pt modelId="{74CAE36A-3048-4DEA-BFFC-6DEB84493380}" type="sibTrans" cxnId="{28E978B8-3496-4BF0-B0A0-51AB2BAC2B67}">
      <dgm:prSet/>
      <dgm:spPr/>
      <dgm:t>
        <a:bodyPr/>
        <a:lstStyle/>
        <a:p>
          <a:endParaRPr lang="en-NZ"/>
        </a:p>
      </dgm:t>
    </dgm:pt>
    <dgm:pt modelId="{8D455FAC-13F8-4EFC-8637-90EC685890AF}">
      <dgm:prSet phldrT="[Text]"/>
      <dgm:spPr>
        <a:solidFill>
          <a:schemeClr val="accent6"/>
        </a:solidFill>
      </dgm:spPr>
      <dgm:t>
        <a:bodyPr/>
        <a:lstStyle/>
        <a:p>
          <a:r>
            <a:rPr lang="en-NZ"/>
            <a:t>Airshed gazetted</a:t>
          </a:r>
        </a:p>
      </dgm:t>
    </dgm:pt>
    <dgm:pt modelId="{5956C538-8425-4C2D-8A52-984CBFE33814}" type="parTrans" cxnId="{EC3D9BB8-CF94-441D-9459-CD7789F68963}">
      <dgm:prSet/>
      <dgm:spPr/>
      <dgm:t>
        <a:bodyPr/>
        <a:lstStyle/>
        <a:p>
          <a:endParaRPr lang="en-NZ"/>
        </a:p>
      </dgm:t>
    </dgm:pt>
    <dgm:pt modelId="{90259091-DA8B-480C-B257-7176C94244E7}" type="sibTrans" cxnId="{EC3D9BB8-CF94-441D-9459-CD7789F68963}">
      <dgm:prSet/>
      <dgm:spPr/>
      <dgm:t>
        <a:bodyPr/>
        <a:lstStyle/>
        <a:p>
          <a:endParaRPr lang="en-NZ"/>
        </a:p>
      </dgm:t>
    </dgm:pt>
    <dgm:pt modelId="{D7D7BA2D-CACD-4A70-A13E-7ED07CAA872E}">
      <dgm:prSet phldrT="[Text]"/>
      <dgm:spPr/>
      <dgm:t>
        <a:bodyPr/>
        <a:lstStyle/>
        <a:p>
          <a:r>
            <a:rPr lang="en-NZ"/>
            <a:t>Comes into force on date specified in notice</a:t>
          </a:r>
        </a:p>
      </dgm:t>
    </dgm:pt>
    <dgm:pt modelId="{43F434D6-7856-425A-A23D-EE5EA31E9FE7}" type="parTrans" cxnId="{AF0B59DA-A007-4F50-94D5-87236B4D0906}">
      <dgm:prSet/>
      <dgm:spPr/>
      <dgm:t>
        <a:bodyPr/>
        <a:lstStyle/>
        <a:p>
          <a:endParaRPr lang="en-NZ"/>
        </a:p>
      </dgm:t>
    </dgm:pt>
    <dgm:pt modelId="{59FF2D5D-3A31-4BDE-9846-0C8DFDC63C8C}" type="sibTrans" cxnId="{AF0B59DA-A007-4F50-94D5-87236B4D0906}">
      <dgm:prSet/>
      <dgm:spPr/>
      <dgm:t>
        <a:bodyPr/>
        <a:lstStyle/>
        <a:p>
          <a:endParaRPr lang="en-NZ"/>
        </a:p>
      </dgm:t>
    </dgm:pt>
    <dgm:pt modelId="{57FBBB89-DF2E-4FD0-AF99-1BBC5F47E4DF}">
      <dgm:prSet phldrT="[Text]"/>
      <dgm:spPr/>
      <dgm:t>
        <a:bodyPr/>
        <a:lstStyle/>
        <a:p>
          <a:r>
            <a:rPr lang="en-NZ"/>
            <a:t>Draft gazette notice</a:t>
          </a:r>
        </a:p>
      </dgm:t>
    </dgm:pt>
    <dgm:pt modelId="{5AD3376A-0BF2-4A05-9D3D-EDB1041BBC53}" type="parTrans" cxnId="{571BE4DC-6304-4A35-B2BA-D3C1892D4923}">
      <dgm:prSet/>
      <dgm:spPr/>
      <dgm:t>
        <a:bodyPr/>
        <a:lstStyle/>
        <a:p>
          <a:endParaRPr lang="en-NZ"/>
        </a:p>
      </dgm:t>
    </dgm:pt>
    <dgm:pt modelId="{B5CF7DE7-944B-43B2-95D1-BEFD4605B994}" type="sibTrans" cxnId="{571BE4DC-6304-4A35-B2BA-D3C1892D4923}">
      <dgm:prSet/>
      <dgm:spPr/>
      <dgm:t>
        <a:bodyPr/>
        <a:lstStyle/>
        <a:p>
          <a:endParaRPr lang="en-NZ"/>
        </a:p>
      </dgm:t>
    </dgm:pt>
    <dgm:pt modelId="{16055A83-AFD2-494C-B36B-323941D3286F}" type="pres">
      <dgm:prSet presAssocID="{FA616212-8066-47A8-AFFB-04C93774573A}" presName="linearFlow" presStyleCnt="0">
        <dgm:presLayoutVars>
          <dgm:dir/>
          <dgm:animLvl val="lvl"/>
          <dgm:resizeHandles val="exact"/>
        </dgm:presLayoutVars>
      </dgm:prSet>
      <dgm:spPr/>
    </dgm:pt>
    <dgm:pt modelId="{41C87413-9F20-423F-9C79-164B10261D36}" type="pres">
      <dgm:prSet presAssocID="{76079614-AF99-4FB9-BB23-EE2D36F7EDEF}" presName="composite" presStyleCnt="0"/>
      <dgm:spPr/>
    </dgm:pt>
    <dgm:pt modelId="{EB57CFD7-E2DC-468C-BF67-09DD88199EA9}" type="pres">
      <dgm:prSet presAssocID="{76079614-AF99-4FB9-BB23-EE2D36F7EDEF}" presName="parTx" presStyleLbl="node1" presStyleIdx="0" presStyleCnt="3">
        <dgm:presLayoutVars>
          <dgm:chMax val="0"/>
          <dgm:chPref val="0"/>
          <dgm:bulletEnabled val="1"/>
        </dgm:presLayoutVars>
      </dgm:prSet>
      <dgm:spPr/>
    </dgm:pt>
    <dgm:pt modelId="{8AE0E290-4B07-460E-8054-3E8C347CB830}" type="pres">
      <dgm:prSet presAssocID="{76079614-AF99-4FB9-BB23-EE2D36F7EDEF}" presName="parSh" presStyleLbl="node1" presStyleIdx="0" presStyleCnt="3"/>
      <dgm:spPr/>
    </dgm:pt>
    <dgm:pt modelId="{29A9CEAA-2605-46E5-831B-B26BF98AC7C7}" type="pres">
      <dgm:prSet presAssocID="{76079614-AF99-4FB9-BB23-EE2D36F7EDEF}" presName="desTx" presStyleLbl="fgAcc1" presStyleIdx="0" presStyleCnt="3">
        <dgm:presLayoutVars>
          <dgm:bulletEnabled val="1"/>
        </dgm:presLayoutVars>
      </dgm:prSet>
      <dgm:spPr/>
    </dgm:pt>
    <dgm:pt modelId="{67A0845C-6BF2-4236-A039-C5C9E8D8C33C}" type="pres">
      <dgm:prSet presAssocID="{CA48BCB4-E24C-43F7-9103-FF6A6E807E01}" presName="sibTrans" presStyleLbl="sibTrans2D1" presStyleIdx="0" presStyleCnt="2"/>
      <dgm:spPr/>
    </dgm:pt>
    <dgm:pt modelId="{90282AF1-64E8-45CB-B294-04A3F55C4A5E}" type="pres">
      <dgm:prSet presAssocID="{CA48BCB4-E24C-43F7-9103-FF6A6E807E01}" presName="connTx" presStyleLbl="sibTrans2D1" presStyleIdx="0" presStyleCnt="2"/>
      <dgm:spPr/>
    </dgm:pt>
    <dgm:pt modelId="{D98DDC44-3F0D-455B-8C0E-086044C7E685}" type="pres">
      <dgm:prSet presAssocID="{C6CAE0A0-D42B-47AB-BDDA-B903EF9FB258}" presName="composite" presStyleCnt="0"/>
      <dgm:spPr/>
    </dgm:pt>
    <dgm:pt modelId="{FD828CAF-2A16-4C3F-868D-F57E452225C1}" type="pres">
      <dgm:prSet presAssocID="{C6CAE0A0-D42B-47AB-BDDA-B903EF9FB258}" presName="parTx" presStyleLbl="node1" presStyleIdx="0" presStyleCnt="3">
        <dgm:presLayoutVars>
          <dgm:chMax val="0"/>
          <dgm:chPref val="0"/>
          <dgm:bulletEnabled val="1"/>
        </dgm:presLayoutVars>
      </dgm:prSet>
      <dgm:spPr/>
    </dgm:pt>
    <dgm:pt modelId="{C1652446-1F2F-47A2-B95A-EE569A85C8E2}" type="pres">
      <dgm:prSet presAssocID="{C6CAE0A0-D42B-47AB-BDDA-B903EF9FB258}" presName="parSh" presStyleLbl="node1" presStyleIdx="1" presStyleCnt="3"/>
      <dgm:spPr/>
    </dgm:pt>
    <dgm:pt modelId="{62204ACE-1E1E-4EEE-B883-C22DE98598B1}" type="pres">
      <dgm:prSet presAssocID="{C6CAE0A0-D42B-47AB-BDDA-B903EF9FB258}" presName="desTx" presStyleLbl="fgAcc1" presStyleIdx="1" presStyleCnt="3">
        <dgm:presLayoutVars>
          <dgm:bulletEnabled val="1"/>
        </dgm:presLayoutVars>
      </dgm:prSet>
      <dgm:spPr/>
    </dgm:pt>
    <dgm:pt modelId="{81F9B00D-BA90-4B87-AF36-E0B72E4B4092}" type="pres">
      <dgm:prSet presAssocID="{1F0B9A15-9DF0-4437-ABD0-44B5CDD95D0E}" presName="sibTrans" presStyleLbl="sibTrans2D1" presStyleIdx="1" presStyleCnt="2"/>
      <dgm:spPr/>
    </dgm:pt>
    <dgm:pt modelId="{1B610C45-9847-4674-98BB-7AB0D580CECD}" type="pres">
      <dgm:prSet presAssocID="{1F0B9A15-9DF0-4437-ABD0-44B5CDD95D0E}" presName="connTx" presStyleLbl="sibTrans2D1" presStyleIdx="1" presStyleCnt="2"/>
      <dgm:spPr/>
    </dgm:pt>
    <dgm:pt modelId="{976BD41D-8873-4C0E-AFF2-CC0A979C583A}" type="pres">
      <dgm:prSet presAssocID="{8D455FAC-13F8-4EFC-8637-90EC685890AF}" presName="composite" presStyleCnt="0"/>
      <dgm:spPr/>
    </dgm:pt>
    <dgm:pt modelId="{B01129B0-5B41-422B-93F5-D7852A2E250D}" type="pres">
      <dgm:prSet presAssocID="{8D455FAC-13F8-4EFC-8637-90EC685890AF}" presName="parTx" presStyleLbl="node1" presStyleIdx="1" presStyleCnt="3">
        <dgm:presLayoutVars>
          <dgm:chMax val="0"/>
          <dgm:chPref val="0"/>
          <dgm:bulletEnabled val="1"/>
        </dgm:presLayoutVars>
      </dgm:prSet>
      <dgm:spPr/>
    </dgm:pt>
    <dgm:pt modelId="{230D1601-51EF-47F7-A63E-C69BA9EF7D1E}" type="pres">
      <dgm:prSet presAssocID="{8D455FAC-13F8-4EFC-8637-90EC685890AF}" presName="parSh" presStyleLbl="node1" presStyleIdx="2" presStyleCnt="3"/>
      <dgm:spPr/>
    </dgm:pt>
    <dgm:pt modelId="{BB9B28AF-3B12-4F73-BB31-400EE4067782}" type="pres">
      <dgm:prSet presAssocID="{8D455FAC-13F8-4EFC-8637-90EC685890AF}" presName="desTx" presStyleLbl="fgAcc1" presStyleIdx="2" presStyleCnt="3">
        <dgm:presLayoutVars>
          <dgm:bulletEnabled val="1"/>
        </dgm:presLayoutVars>
      </dgm:prSet>
      <dgm:spPr/>
    </dgm:pt>
  </dgm:ptLst>
  <dgm:cxnLst>
    <dgm:cxn modelId="{550AA11E-244C-4460-818A-ED73348950C5}" type="presOf" srcId="{CA48BCB4-E24C-43F7-9103-FF6A6E807E01}" destId="{90282AF1-64E8-45CB-B294-04A3F55C4A5E}" srcOrd="1" destOrd="0" presId="urn:microsoft.com/office/officeart/2005/8/layout/process3"/>
    <dgm:cxn modelId="{39817727-C202-4652-B271-AC935580B8F7}" type="presOf" srcId="{8D455FAC-13F8-4EFC-8637-90EC685890AF}" destId="{B01129B0-5B41-422B-93F5-D7852A2E250D}" srcOrd="0" destOrd="0" presId="urn:microsoft.com/office/officeart/2005/8/layout/process3"/>
    <dgm:cxn modelId="{C5392628-4FF8-4D2A-8F48-1CDF10309F6A}" type="presOf" srcId="{CA48BCB4-E24C-43F7-9103-FF6A6E807E01}" destId="{67A0845C-6BF2-4236-A039-C5C9E8D8C33C}" srcOrd="0" destOrd="0" presId="urn:microsoft.com/office/officeart/2005/8/layout/process3"/>
    <dgm:cxn modelId="{D6F2C52B-95F7-40EF-AF62-7E459C0668B6}" type="presOf" srcId="{57FBBB89-DF2E-4FD0-AF99-1BBC5F47E4DF}" destId="{29A9CEAA-2605-46E5-831B-B26BF98AC7C7}" srcOrd="0" destOrd="1" presId="urn:microsoft.com/office/officeart/2005/8/layout/process3"/>
    <dgm:cxn modelId="{934A0C2E-265E-4C2C-9F1C-88B85183CF69}" type="presOf" srcId="{C6CAE0A0-D42B-47AB-BDDA-B903EF9FB258}" destId="{FD828CAF-2A16-4C3F-868D-F57E452225C1}" srcOrd="0" destOrd="0" presId="urn:microsoft.com/office/officeart/2005/8/layout/process3"/>
    <dgm:cxn modelId="{31961A31-0C00-426F-862F-9E67D5DC7EC0}" type="presOf" srcId="{76079614-AF99-4FB9-BB23-EE2D36F7EDEF}" destId="{EB57CFD7-E2DC-468C-BF67-09DD88199EA9}" srcOrd="0" destOrd="0" presId="urn:microsoft.com/office/officeart/2005/8/layout/process3"/>
    <dgm:cxn modelId="{0CDFEC61-95EE-43DC-AEB8-027D55E8A4B1}" type="presOf" srcId="{1F0B9A15-9DF0-4437-ABD0-44B5CDD95D0E}" destId="{81F9B00D-BA90-4B87-AF36-E0B72E4B4092}" srcOrd="0" destOrd="0" presId="urn:microsoft.com/office/officeart/2005/8/layout/process3"/>
    <dgm:cxn modelId="{A6277545-4F03-4D56-A1B5-4582BE7CBFB1}" srcId="{FA616212-8066-47A8-AFFB-04C93774573A}" destId="{C6CAE0A0-D42B-47AB-BDDA-B903EF9FB258}" srcOrd="1" destOrd="0" parTransId="{C988159F-7AFD-41EE-8006-2B950C652079}" sibTransId="{1F0B9A15-9DF0-4437-ABD0-44B5CDD95D0E}"/>
    <dgm:cxn modelId="{3FC53A50-8AD4-4A02-83D2-1089E9283E4B}" type="presOf" srcId="{44E8DEA5-50F8-47A8-A063-8A8969DB1873}" destId="{62204ACE-1E1E-4EEE-B883-C22DE98598B1}" srcOrd="0" destOrd="0" presId="urn:microsoft.com/office/officeart/2005/8/layout/process3"/>
    <dgm:cxn modelId="{950BA898-8DA4-4DC9-B091-41D1AADF539D}" type="presOf" srcId="{FA616212-8066-47A8-AFFB-04C93774573A}" destId="{16055A83-AFD2-494C-B36B-323941D3286F}" srcOrd="0" destOrd="0" presId="urn:microsoft.com/office/officeart/2005/8/layout/process3"/>
    <dgm:cxn modelId="{543A00A7-9FF0-4288-B469-5401F192FD6E}" type="presOf" srcId="{76079614-AF99-4FB9-BB23-EE2D36F7EDEF}" destId="{8AE0E290-4B07-460E-8054-3E8C347CB830}" srcOrd="1" destOrd="0" presId="urn:microsoft.com/office/officeart/2005/8/layout/process3"/>
    <dgm:cxn modelId="{0DD137B6-922B-4B80-83F5-A08477BD1A69}" srcId="{FA616212-8066-47A8-AFFB-04C93774573A}" destId="{76079614-AF99-4FB9-BB23-EE2D36F7EDEF}" srcOrd="0" destOrd="0" parTransId="{14825CAD-7622-4884-9515-BD3DFEBC7E82}" sibTransId="{CA48BCB4-E24C-43F7-9103-FF6A6E807E01}"/>
    <dgm:cxn modelId="{28E978B8-3496-4BF0-B0A0-51AB2BAC2B67}" srcId="{C6CAE0A0-D42B-47AB-BDDA-B903EF9FB258}" destId="{44E8DEA5-50F8-47A8-A063-8A8969DB1873}" srcOrd="0" destOrd="0" parTransId="{1FF5A2BC-E1EE-44C7-A5C3-8CD97BBECFB4}" sibTransId="{74CAE36A-3048-4DEA-BFFC-6DEB84493380}"/>
    <dgm:cxn modelId="{EC3D9BB8-CF94-441D-9459-CD7789F68963}" srcId="{FA616212-8066-47A8-AFFB-04C93774573A}" destId="{8D455FAC-13F8-4EFC-8637-90EC685890AF}" srcOrd="2" destOrd="0" parTransId="{5956C538-8425-4C2D-8A52-984CBFE33814}" sibTransId="{90259091-DA8B-480C-B257-7176C94244E7}"/>
    <dgm:cxn modelId="{B91C1ECF-F2C8-426C-B0E4-AA7EC5AE533A}" srcId="{76079614-AF99-4FB9-BB23-EE2D36F7EDEF}" destId="{92818859-6749-4C49-A055-C54D128E6BD5}" srcOrd="0" destOrd="0" parTransId="{04424FB4-CD8F-4C66-8C1D-509A6EED7614}" sibTransId="{92CE05AA-211F-4C27-A708-1F03B34BF3FC}"/>
    <dgm:cxn modelId="{DA15B4D4-94A3-493F-B05C-9F8F95FE09C9}" type="presOf" srcId="{92818859-6749-4C49-A055-C54D128E6BD5}" destId="{29A9CEAA-2605-46E5-831B-B26BF98AC7C7}" srcOrd="0" destOrd="0" presId="urn:microsoft.com/office/officeart/2005/8/layout/process3"/>
    <dgm:cxn modelId="{AF0B59DA-A007-4F50-94D5-87236B4D0906}" srcId="{8D455FAC-13F8-4EFC-8637-90EC685890AF}" destId="{D7D7BA2D-CACD-4A70-A13E-7ED07CAA872E}" srcOrd="0" destOrd="0" parTransId="{43F434D6-7856-425A-A23D-EE5EA31E9FE7}" sibTransId="{59FF2D5D-3A31-4BDE-9846-0C8DFDC63C8C}"/>
    <dgm:cxn modelId="{571BE4DC-6304-4A35-B2BA-D3C1892D4923}" srcId="{76079614-AF99-4FB9-BB23-EE2D36F7EDEF}" destId="{57FBBB89-DF2E-4FD0-AF99-1BBC5F47E4DF}" srcOrd="1" destOrd="0" parTransId="{5AD3376A-0BF2-4A05-9D3D-EDB1041BBC53}" sibTransId="{B5CF7DE7-944B-43B2-95D1-BEFD4605B994}"/>
    <dgm:cxn modelId="{13EDB6DE-211B-4B8D-B1B7-6107EB4291C3}" type="presOf" srcId="{8D455FAC-13F8-4EFC-8637-90EC685890AF}" destId="{230D1601-51EF-47F7-A63E-C69BA9EF7D1E}" srcOrd="1" destOrd="0" presId="urn:microsoft.com/office/officeart/2005/8/layout/process3"/>
    <dgm:cxn modelId="{CCE871E7-D6B7-4957-9650-B3AC4A69742E}" type="presOf" srcId="{D7D7BA2D-CACD-4A70-A13E-7ED07CAA872E}" destId="{BB9B28AF-3B12-4F73-BB31-400EE4067782}" srcOrd="0" destOrd="0" presId="urn:microsoft.com/office/officeart/2005/8/layout/process3"/>
    <dgm:cxn modelId="{DFA773E7-7D5A-45B5-9F3F-89CA5090978B}" type="presOf" srcId="{1F0B9A15-9DF0-4437-ABD0-44B5CDD95D0E}" destId="{1B610C45-9847-4674-98BB-7AB0D580CECD}" srcOrd="1" destOrd="0" presId="urn:microsoft.com/office/officeart/2005/8/layout/process3"/>
    <dgm:cxn modelId="{19B4CDEF-96F2-4AAB-91E8-7D40F601BA47}" type="presOf" srcId="{C6CAE0A0-D42B-47AB-BDDA-B903EF9FB258}" destId="{C1652446-1F2F-47A2-B95A-EE569A85C8E2}" srcOrd="1" destOrd="0" presId="urn:microsoft.com/office/officeart/2005/8/layout/process3"/>
    <dgm:cxn modelId="{510B156C-AC67-482F-A124-D17CCAFD1A7C}" type="presParOf" srcId="{16055A83-AFD2-494C-B36B-323941D3286F}" destId="{41C87413-9F20-423F-9C79-164B10261D36}" srcOrd="0" destOrd="0" presId="urn:microsoft.com/office/officeart/2005/8/layout/process3"/>
    <dgm:cxn modelId="{5A61684F-D028-4C9C-94FA-147F9C9FB1BB}" type="presParOf" srcId="{41C87413-9F20-423F-9C79-164B10261D36}" destId="{EB57CFD7-E2DC-468C-BF67-09DD88199EA9}" srcOrd="0" destOrd="0" presId="urn:microsoft.com/office/officeart/2005/8/layout/process3"/>
    <dgm:cxn modelId="{017CDBEB-7FB1-4571-A86F-73CF93280B00}" type="presParOf" srcId="{41C87413-9F20-423F-9C79-164B10261D36}" destId="{8AE0E290-4B07-460E-8054-3E8C347CB830}" srcOrd="1" destOrd="0" presId="urn:microsoft.com/office/officeart/2005/8/layout/process3"/>
    <dgm:cxn modelId="{595629B5-7FA7-42FD-B1B6-7B56E5A2DC59}" type="presParOf" srcId="{41C87413-9F20-423F-9C79-164B10261D36}" destId="{29A9CEAA-2605-46E5-831B-B26BF98AC7C7}" srcOrd="2" destOrd="0" presId="urn:microsoft.com/office/officeart/2005/8/layout/process3"/>
    <dgm:cxn modelId="{D1ADA092-B169-477B-BE14-466C40ACCE59}" type="presParOf" srcId="{16055A83-AFD2-494C-B36B-323941D3286F}" destId="{67A0845C-6BF2-4236-A039-C5C9E8D8C33C}" srcOrd="1" destOrd="0" presId="urn:microsoft.com/office/officeart/2005/8/layout/process3"/>
    <dgm:cxn modelId="{AB9698E7-1F38-4547-97E1-B7A9717724CA}" type="presParOf" srcId="{67A0845C-6BF2-4236-A039-C5C9E8D8C33C}" destId="{90282AF1-64E8-45CB-B294-04A3F55C4A5E}" srcOrd="0" destOrd="0" presId="urn:microsoft.com/office/officeart/2005/8/layout/process3"/>
    <dgm:cxn modelId="{0FE62CD4-F613-4998-B1EB-C01438AB5C9A}" type="presParOf" srcId="{16055A83-AFD2-494C-B36B-323941D3286F}" destId="{D98DDC44-3F0D-455B-8C0E-086044C7E685}" srcOrd="2" destOrd="0" presId="urn:microsoft.com/office/officeart/2005/8/layout/process3"/>
    <dgm:cxn modelId="{617C9D91-2AD8-4514-90D2-FE53F9D66CED}" type="presParOf" srcId="{D98DDC44-3F0D-455B-8C0E-086044C7E685}" destId="{FD828CAF-2A16-4C3F-868D-F57E452225C1}" srcOrd="0" destOrd="0" presId="urn:microsoft.com/office/officeart/2005/8/layout/process3"/>
    <dgm:cxn modelId="{51487181-A877-46B7-8EED-A653135C41E5}" type="presParOf" srcId="{D98DDC44-3F0D-455B-8C0E-086044C7E685}" destId="{C1652446-1F2F-47A2-B95A-EE569A85C8E2}" srcOrd="1" destOrd="0" presId="urn:microsoft.com/office/officeart/2005/8/layout/process3"/>
    <dgm:cxn modelId="{73DBFDA6-18C1-453D-8112-0245A0FC48A7}" type="presParOf" srcId="{D98DDC44-3F0D-455B-8C0E-086044C7E685}" destId="{62204ACE-1E1E-4EEE-B883-C22DE98598B1}" srcOrd="2" destOrd="0" presId="urn:microsoft.com/office/officeart/2005/8/layout/process3"/>
    <dgm:cxn modelId="{8CB9D2A4-3A47-4FAA-A108-8FA590E07812}" type="presParOf" srcId="{16055A83-AFD2-494C-B36B-323941D3286F}" destId="{81F9B00D-BA90-4B87-AF36-E0B72E4B4092}" srcOrd="3" destOrd="0" presId="urn:microsoft.com/office/officeart/2005/8/layout/process3"/>
    <dgm:cxn modelId="{9C30F014-EA55-4CBF-B2FE-414320B8DB6B}" type="presParOf" srcId="{81F9B00D-BA90-4B87-AF36-E0B72E4B4092}" destId="{1B610C45-9847-4674-98BB-7AB0D580CECD}" srcOrd="0" destOrd="0" presId="urn:microsoft.com/office/officeart/2005/8/layout/process3"/>
    <dgm:cxn modelId="{72F6B629-389C-4FDC-AAD4-9AC138E7FDA7}" type="presParOf" srcId="{16055A83-AFD2-494C-B36B-323941D3286F}" destId="{976BD41D-8873-4C0E-AFF2-CC0A979C583A}" srcOrd="4" destOrd="0" presId="urn:microsoft.com/office/officeart/2005/8/layout/process3"/>
    <dgm:cxn modelId="{41148549-A96B-40B9-A81B-B8BE3A549BFE}" type="presParOf" srcId="{976BD41D-8873-4C0E-AFF2-CC0A979C583A}" destId="{B01129B0-5B41-422B-93F5-D7852A2E250D}" srcOrd="0" destOrd="0" presId="urn:microsoft.com/office/officeart/2005/8/layout/process3"/>
    <dgm:cxn modelId="{6980D245-C353-466B-9484-7EE6BCF7A8DC}" type="presParOf" srcId="{976BD41D-8873-4C0E-AFF2-CC0A979C583A}" destId="{230D1601-51EF-47F7-A63E-C69BA9EF7D1E}" srcOrd="1" destOrd="0" presId="urn:microsoft.com/office/officeart/2005/8/layout/process3"/>
    <dgm:cxn modelId="{91127A1E-6580-4533-9592-841AEA61AC43}" type="presParOf" srcId="{976BD41D-8873-4C0E-AFF2-CC0A979C583A}" destId="{BB9B28AF-3B12-4F73-BB31-400EE4067782}" srcOrd="2" destOrd="0" presId="urn:microsoft.com/office/officeart/2005/8/layout/process3"/>
  </dgm:cxnLst>
  <dgm:bg>
    <a:solidFill>
      <a:schemeClr val="accent6"/>
    </a:solidFill>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0E290-4B07-460E-8054-3E8C347CB830}">
      <dsp:nvSpPr>
        <dsp:cNvPr id="0" name=""/>
        <dsp:cNvSpPr/>
      </dsp:nvSpPr>
      <dsp:spPr>
        <a:xfrm>
          <a:off x="2732" y="728053"/>
          <a:ext cx="1242288" cy="7028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Define Airshed</a:t>
          </a:r>
        </a:p>
      </dsp:txBody>
      <dsp:txXfrm>
        <a:off x="2732" y="728053"/>
        <a:ext cx="1242288" cy="468543"/>
      </dsp:txXfrm>
    </dsp:sp>
    <dsp:sp modelId="{29A9CEAA-2605-46E5-831B-B26BF98AC7C7}">
      <dsp:nvSpPr>
        <dsp:cNvPr id="0" name=""/>
        <dsp:cNvSpPr/>
      </dsp:nvSpPr>
      <dsp:spPr>
        <a:xfrm>
          <a:off x="257176" y="1196596"/>
          <a:ext cx="1242288" cy="127575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Prepare Graphic Description Plan</a:t>
          </a:r>
        </a:p>
      </dsp:txBody>
      <dsp:txXfrm>
        <a:off x="293561" y="1232981"/>
        <a:ext cx="1169518" cy="1202980"/>
      </dsp:txXfrm>
    </dsp:sp>
    <dsp:sp modelId="{67A0845C-6BF2-4236-A039-C5C9E8D8C33C}">
      <dsp:nvSpPr>
        <dsp:cNvPr id="0" name=""/>
        <dsp:cNvSpPr/>
      </dsp:nvSpPr>
      <dsp:spPr>
        <a:xfrm>
          <a:off x="1433346" y="807678"/>
          <a:ext cx="399251" cy="309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1433346" y="869537"/>
        <a:ext cx="306463" cy="185575"/>
      </dsp:txXfrm>
    </dsp:sp>
    <dsp:sp modelId="{C1652446-1F2F-47A2-B95A-EE569A85C8E2}">
      <dsp:nvSpPr>
        <dsp:cNvPr id="0" name=""/>
        <dsp:cNvSpPr/>
      </dsp:nvSpPr>
      <dsp:spPr>
        <a:xfrm>
          <a:off x="1998326" y="728053"/>
          <a:ext cx="1242288" cy="7028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Lodge with LINZ</a:t>
          </a:r>
        </a:p>
      </dsp:txBody>
      <dsp:txXfrm>
        <a:off x="1998326" y="728053"/>
        <a:ext cx="1242288" cy="468543"/>
      </dsp:txXfrm>
    </dsp:sp>
    <dsp:sp modelId="{62204ACE-1E1E-4EEE-B883-C22DE98598B1}">
      <dsp:nvSpPr>
        <dsp:cNvPr id="0" name=""/>
        <dsp:cNvSpPr/>
      </dsp:nvSpPr>
      <dsp:spPr>
        <a:xfrm>
          <a:off x="2252770" y="1196596"/>
          <a:ext cx="1242288" cy="127575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LINZ certifies plan and provides SO number</a:t>
          </a:r>
        </a:p>
      </dsp:txBody>
      <dsp:txXfrm>
        <a:off x="2289155" y="1232981"/>
        <a:ext cx="1169518" cy="1202980"/>
      </dsp:txXfrm>
    </dsp:sp>
    <dsp:sp modelId="{81F9B00D-BA90-4B87-AF36-E0B72E4B4092}">
      <dsp:nvSpPr>
        <dsp:cNvPr id="0" name=""/>
        <dsp:cNvSpPr/>
      </dsp:nvSpPr>
      <dsp:spPr>
        <a:xfrm>
          <a:off x="3428940" y="807678"/>
          <a:ext cx="399251" cy="309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3428940" y="869537"/>
        <a:ext cx="306463" cy="185575"/>
      </dsp:txXfrm>
    </dsp:sp>
    <dsp:sp modelId="{230D1601-51EF-47F7-A63E-C69BA9EF7D1E}">
      <dsp:nvSpPr>
        <dsp:cNvPr id="0" name=""/>
        <dsp:cNvSpPr/>
      </dsp:nvSpPr>
      <dsp:spPr>
        <a:xfrm>
          <a:off x="3993919" y="728053"/>
          <a:ext cx="1242288" cy="7028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Request Minister gazette airshed</a:t>
          </a:r>
        </a:p>
      </dsp:txBody>
      <dsp:txXfrm>
        <a:off x="3993919" y="728053"/>
        <a:ext cx="1242288" cy="468543"/>
      </dsp:txXfrm>
    </dsp:sp>
    <dsp:sp modelId="{BB9B28AF-3B12-4F73-BB31-400EE4067782}">
      <dsp:nvSpPr>
        <dsp:cNvPr id="0" name=""/>
        <dsp:cNvSpPr/>
      </dsp:nvSpPr>
      <dsp:spPr>
        <a:xfrm>
          <a:off x="4248364" y="1196596"/>
          <a:ext cx="1242288" cy="127575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Provide maps, rationale, SO numbers and preferred date of entry into force</a:t>
          </a:r>
        </a:p>
      </dsp:txBody>
      <dsp:txXfrm>
        <a:off x="4284749" y="1232981"/>
        <a:ext cx="1169518" cy="12029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0E290-4B07-460E-8054-3E8C347CB830}">
      <dsp:nvSpPr>
        <dsp:cNvPr id="0" name=""/>
        <dsp:cNvSpPr/>
      </dsp:nvSpPr>
      <dsp:spPr>
        <a:xfrm>
          <a:off x="2732" y="744318"/>
          <a:ext cx="1242575" cy="70295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MfE advises Minister</a:t>
          </a:r>
        </a:p>
      </dsp:txBody>
      <dsp:txXfrm>
        <a:off x="2732" y="744318"/>
        <a:ext cx="1242575" cy="468637"/>
      </dsp:txXfrm>
    </dsp:sp>
    <dsp:sp modelId="{29A9CEAA-2605-46E5-831B-B26BF98AC7C7}">
      <dsp:nvSpPr>
        <dsp:cNvPr id="0" name=""/>
        <dsp:cNvSpPr/>
      </dsp:nvSpPr>
      <dsp:spPr>
        <a:xfrm>
          <a:off x="257236" y="1212956"/>
          <a:ext cx="1242575" cy="928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Compliance, legality, clarity</a:t>
          </a:r>
        </a:p>
        <a:p>
          <a:pPr marL="114300" lvl="1" indent="-114300" algn="l" defTabSz="533400">
            <a:lnSpc>
              <a:spcPct val="90000"/>
            </a:lnSpc>
            <a:spcBef>
              <a:spcPct val="0"/>
            </a:spcBef>
            <a:spcAft>
              <a:spcPct val="15000"/>
            </a:spcAft>
            <a:buChar char="•"/>
          </a:pPr>
          <a:r>
            <a:rPr lang="en-NZ" sz="1200" kern="1200"/>
            <a:t>Draft gazette notice</a:t>
          </a:r>
        </a:p>
      </dsp:txBody>
      <dsp:txXfrm>
        <a:off x="284440" y="1240160"/>
        <a:ext cx="1188167" cy="874392"/>
      </dsp:txXfrm>
    </dsp:sp>
    <dsp:sp modelId="{67A0845C-6BF2-4236-A039-C5C9E8D8C33C}">
      <dsp:nvSpPr>
        <dsp:cNvPr id="0" name=""/>
        <dsp:cNvSpPr/>
      </dsp:nvSpPr>
      <dsp:spPr>
        <a:xfrm>
          <a:off x="1433678" y="823954"/>
          <a:ext cx="399344" cy="309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1433678" y="885827"/>
        <a:ext cx="306535" cy="185619"/>
      </dsp:txXfrm>
    </dsp:sp>
    <dsp:sp modelId="{C1652446-1F2F-47A2-B95A-EE569A85C8E2}">
      <dsp:nvSpPr>
        <dsp:cNvPr id="0" name=""/>
        <dsp:cNvSpPr/>
      </dsp:nvSpPr>
      <dsp:spPr>
        <a:xfrm>
          <a:off x="1998788" y="744318"/>
          <a:ext cx="1242575" cy="70295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Minister approves airshed</a:t>
          </a:r>
        </a:p>
      </dsp:txBody>
      <dsp:txXfrm>
        <a:off x="1998788" y="744318"/>
        <a:ext cx="1242575" cy="468637"/>
      </dsp:txXfrm>
    </dsp:sp>
    <dsp:sp modelId="{62204ACE-1E1E-4EEE-B883-C22DE98598B1}">
      <dsp:nvSpPr>
        <dsp:cNvPr id="0" name=""/>
        <dsp:cNvSpPr/>
      </dsp:nvSpPr>
      <dsp:spPr>
        <a:xfrm>
          <a:off x="2253291" y="1212956"/>
          <a:ext cx="1242575" cy="928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Gazette notice forwarded to Govt Gazette office</a:t>
          </a:r>
        </a:p>
      </dsp:txBody>
      <dsp:txXfrm>
        <a:off x="2280495" y="1240160"/>
        <a:ext cx="1188167" cy="874392"/>
      </dsp:txXfrm>
    </dsp:sp>
    <dsp:sp modelId="{81F9B00D-BA90-4B87-AF36-E0B72E4B4092}">
      <dsp:nvSpPr>
        <dsp:cNvPr id="0" name=""/>
        <dsp:cNvSpPr/>
      </dsp:nvSpPr>
      <dsp:spPr>
        <a:xfrm>
          <a:off x="3429733" y="823954"/>
          <a:ext cx="399344" cy="309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3429733" y="885827"/>
        <a:ext cx="306535" cy="185619"/>
      </dsp:txXfrm>
    </dsp:sp>
    <dsp:sp modelId="{230D1601-51EF-47F7-A63E-C69BA9EF7D1E}">
      <dsp:nvSpPr>
        <dsp:cNvPr id="0" name=""/>
        <dsp:cNvSpPr/>
      </dsp:nvSpPr>
      <dsp:spPr>
        <a:xfrm>
          <a:off x="3994843" y="744318"/>
          <a:ext cx="1242575" cy="70295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NZ" sz="1200" kern="1200"/>
            <a:t>Airshed gazetted</a:t>
          </a:r>
        </a:p>
      </dsp:txBody>
      <dsp:txXfrm>
        <a:off x="3994843" y="744318"/>
        <a:ext cx="1242575" cy="468637"/>
      </dsp:txXfrm>
    </dsp:sp>
    <dsp:sp modelId="{BB9B28AF-3B12-4F73-BB31-400EE4067782}">
      <dsp:nvSpPr>
        <dsp:cNvPr id="0" name=""/>
        <dsp:cNvSpPr/>
      </dsp:nvSpPr>
      <dsp:spPr>
        <a:xfrm>
          <a:off x="4249346" y="1212956"/>
          <a:ext cx="1242575" cy="928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NZ" sz="1200" kern="1200"/>
            <a:t>Comes into force on date specified in notice</a:t>
          </a:r>
        </a:p>
      </dsp:txBody>
      <dsp:txXfrm>
        <a:off x="4276550" y="1240160"/>
        <a:ext cx="1188167" cy="8743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2814-436D-4845-B0D2-B45F91B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60091</Words>
  <Characters>324496</Characters>
  <Application>Microsoft Office Word</Application>
  <DocSecurity>0</DocSecurity>
  <Lines>6904</Lines>
  <Paragraphs>3231</Paragraphs>
  <ScaleCrop>false</ScaleCrop>
  <HeadingPairs>
    <vt:vector size="2" baseType="variant">
      <vt:variant>
        <vt:lpstr>Title</vt:lpstr>
      </vt:variant>
      <vt:variant>
        <vt:i4>1</vt:i4>
      </vt:variant>
    </vt:vector>
  </HeadingPairs>
  <TitlesOfParts>
    <vt:vector size="1" baseType="lpstr">
      <vt:lpstr>air-quality-nes-users-guide-2014-final</vt:lpstr>
    </vt:vector>
  </TitlesOfParts>
  <Company/>
  <LinksUpToDate>false</LinksUpToDate>
  <CharactersWithSpaces>381356</CharactersWithSpaces>
  <SharedDoc>false</SharedDoc>
  <HLinks>
    <vt:vector size="186" baseType="variant">
      <vt:variant>
        <vt:i4>6422574</vt:i4>
      </vt:variant>
      <vt:variant>
        <vt:i4>357</vt:i4>
      </vt:variant>
      <vt:variant>
        <vt:i4>0</vt:i4>
      </vt:variant>
      <vt:variant>
        <vt:i4>5</vt:i4>
      </vt:variant>
      <vt:variant>
        <vt:lpwstr>http://www.epa.gov/ttn/amtic/criteria.html</vt:lpwstr>
      </vt:variant>
      <vt:variant>
        <vt:lpwstr/>
      </vt:variant>
      <vt:variant>
        <vt:i4>3014776</vt:i4>
      </vt:variant>
      <vt:variant>
        <vt:i4>354</vt:i4>
      </vt:variant>
      <vt:variant>
        <vt:i4>0</vt:i4>
      </vt:variant>
      <vt:variant>
        <vt:i4>5</vt:i4>
      </vt:variant>
      <vt:variant>
        <vt:lpwstr>http://www.who.int/</vt:lpwstr>
      </vt:variant>
      <vt:variant>
        <vt:lpwstr/>
      </vt:variant>
      <vt:variant>
        <vt:i4>6684781</vt:i4>
      </vt:variant>
      <vt:variant>
        <vt:i4>351</vt:i4>
      </vt:variant>
      <vt:variant>
        <vt:i4>0</vt:i4>
      </vt:variant>
      <vt:variant>
        <vt:i4>5</vt:i4>
      </vt:variant>
      <vt:variant>
        <vt:lpwstr>http://www.mfe.govt.nz/</vt:lpwstr>
      </vt:variant>
      <vt:variant>
        <vt:lpwstr/>
      </vt:variant>
      <vt:variant>
        <vt:i4>1703945</vt:i4>
      </vt:variant>
      <vt:variant>
        <vt:i4>348</vt:i4>
      </vt:variant>
      <vt:variant>
        <vt:i4>0</vt:i4>
      </vt:variant>
      <vt:variant>
        <vt:i4>5</vt:i4>
      </vt:variant>
      <vt:variant>
        <vt:lpwstr>http://www.epa.gov/apti/ozonehealth/population.html accessed 7 July 2011</vt:lpwstr>
      </vt:variant>
      <vt:variant>
        <vt:lpwstr/>
      </vt:variant>
      <vt:variant>
        <vt:i4>7209077</vt:i4>
      </vt:variant>
      <vt:variant>
        <vt:i4>345</vt:i4>
      </vt:variant>
      <vt:variant>
        <vt:i4>0</vt:i4>
      </vt:variant>
      <vt:variant>
        <vt:i4>5</vt:i4>
      </vt:variant>
      <vt:variant>
        <vt:lpwstr>http://www.basel.int/text/17Jun2010-conv-e.pdf</vt:lpwstr>
      </vt:variant>
      <vt:variant>
        <vt:lpwstr/>
      </vt:variant>
      <vt:variant>
        <vt:i4>2031687</vt:i4>
      </vt:variant>
      <vt:variant>
        <vt:i4>342</vt:i4>
      </vt:variant>
      <vt:variant>
        <vt:i4>0</vt:i4>
      </vt:variant>
      <vt:variant>
        <vt:i4>5</vt:i4>
      </vt:variant>
      <vt:variant>
        <vt:lpwstr>http://www.tki.org.nz/Schools</vt:lpwstr>
      </vt:variant>
      <vt:variant>
        <vt:lpwstr/>
      </vt:variant>
      <vt:variant>
        <vt:i4>6684781</vt:i4>
      </vt:variant>
      <vt:variant>
        <vt:i4>339</vt:i4>
      </vt:variant>
      <vt:variant>
        <vt:i4>0</vt:i4>
      </vt:variant>
      <vt:variant>
        <vt:i4>5</vt:i4>
      </vt:variant>
      <vt:variant>
        <vt:lpwstr>http://www.mfe.govt.nz/</vt:lpwstr>
      </vt:variant>
      <vt:variant>
        <vt:lpwstr/>
      </vt:variant>
      <vt:variant>
        <vt:i4>6684781</vt:i4>
      </vt:variant>
      <vt:variant>
        <vt:i4>336</vt:i4>
      </vt:variant>
      <vt:variant>
        <vt:i4>0</vt:i4>
      </vt:variant>
      <vt:variant>
        <vt:i4>5</vt:i4>
      </vt:variant>
      <vt:variant>
        <vt:lpwstr>http://www.mfe.govt.nz/</vt:lpwstr>
      </vt:variant>
      <vt:variant>
        <vt:lpwstr/>
      </vt:variant>
      <vt:variant>
        <vt:i4>6684781</vt:i4>
      </vt:variant>
      <vt:variant>
        <vt:i4>333</vt:i4>
      </vt:variant>
      <vt:variant>
        <vt:i4>0</vt:i4>
      </vt:variant>
      <vt:variant>
        <vt:i4>5</vt:i4>
      </vt:variant>
      <vt:variant>
        <vt:lpwstr>http://www.mfe.govt.nz/</vt:lpwstr>
      </vt:variant>
      <vt:variant>
        <vt:lpwstr/>
      </vt:variant>
      <vt:variant>
        <vt:i4>6684781</vt:i4>
      </vt:variant>
      <vt:variant>
        <vt:i4>330</vt:i4>
      </vt:variant>
      <vt:variant>
        <vt:i4>0</vt:i4>
      </vt:variant>
      <vt:variant>
        <vt:i4>5</vt:i4>
      </vt:variant>
      <vt:variant>
        <vt:lpwstr>http://www.mfe.govt.nz/</vt:lpwstr>
      </vt:variant>
      <vt:variant>
        <vt:lpwstr/>
      </vt:variant>
      <vt:variant>
        <vt:i4>6684781</vt:i4>
      </vt:variant>
      <vt:variant>
        <vt:i4>327</vt:i4>
      </vt:variant>
      <vt:variant>
        <vt:i4>0</vt:i4>
      </vt:variant>
      <vt:variant>
        <vt:i4>5</vt:i4>
      </vt:variant>
      <vt:variant>
        <vt:lpwstr>http://www.mfe.govt.nz/</vt:lpwstr>
      </vt:variant>
      <vt:variant>
        <vt:lpwstr/>
      </vt:variant>
      <vt:variant>
        <vt:i4>6684781</vt:i4>
      </vt:variant>
      <vt:variant>
        <vt:i4>324</vt:i4>
      </vt:variant>
      <vt:variant>
        <vt:i4>0</vt:i4>
      </vt:variant>
      <vt:variant>
        <vt:i4>5</vt:i4>
      </vt:variant>
      <vt:variant>
        <vt:lpwstr>http://www.mfe.govt.nz/</vt:lpwstr>
      </vt:variant>
      <vt:variant>
        <vt:lpwstr/>
      </vt:variant>
      <vt:variant>
        <vt:i4>5570628</vt:i4>
      </vt:variant>
      <vt:variant>
        <vt:i4>321</vt:i4>
      </vt:variant>
      <vt:variant>
        <vt:i4>0</vt:i4>
      </vt:variant>
      <vt:variant>
        <vt:i4>5</vt:i4>
      </vt:variant>
      <vt:variant>
        <vt:lpwstr>http://www.hapinz.org.nz/</vt:lpwstr>
      </vt:variant>
      <vt:variant>
        <vt:lpwstr/>
      </vt:variant>
      <vt:variant>
        <vt:i4>3407911</vt:i4>
      </vt:variant>
      <vt:variant>
        <vt:i4>318</vt:i4>
      </vt:variant>
      <vt:variant>
        <vt:i4>0</vt:i4>
      </vt:variant>
      <vt:variant>
        <vt:i4>5</vt:i4>
      </vt:variant>
      <vt:variant>
        <vt:lpwstr>http://www.mfe.govt.nz/issues/waste/waste-data</vt:lpwstr>
      </vt:variant>
      <vt:variant>
        <vt:lpwstr/>
      </vt:variant>
      <vt:variant>
        <vt:i4>6684781</vt:i4>
      </vt:variant>
      <vt:variant>
        <vt:i4>315</vt:i4>
      </vt:variant>
      <vt:variant>
        <vt:i4>0</vt:i4>
      </vt:variant>
      <vt:variant>
        <vt:i4>5</vt:i4>
      </vt:variant>
      <vt:variant>
        <vt:lpwstr>http://www.mfe.govt.nz/</vt:lpwstr>
      </vt:variant>
      <vt:variant>
        <vt:lpwstr/>
      </vt:variant>
      <vt:variant>
        <vt:i4>6684781</vt:i4>
      </vt:variant>
      <vt:variant>
        <vt:i4>312</vt:i4>
      </vt:variant>
      <vt:variant>
        <vt:i4>0</vt:i4>
      </vt:variant>
      <vt:variant>
        <vt:i4>5</vt:i4>
      </vt:variant>
      <vt:variant>
        <vt:lpwstr>http://www.mfe.govt.nz/</vt:lpwstr>
      </vt:variant>
      <vt:variant>
        <vt:lpwstr/>
      </vt:variant>
      <vt:variant>
        <vt:i4>6684781</vt:i4>
      </vt:variant>
      <vt:variant>
        <vt:i4>309</vt:i4>
      </vt:variant>
      <vt:variant>
        <vt:i4>0</vt:i4>
      </vt:variant>
      <vt:variant>
        <vt:i4>5</vt:i4>
      </vt:variant>
      <vt:variant>
        <vt:lpwstr>http://www.mfe.govt.nz/</vt:lpwstr>
      </vt:variant>
      <vt:variant>
        <vt:lpwstr/>
      </vt:variant>
      <vt:variant>
        <vt:i4>6684781</vt:i4>
      </vt:variant>
      <vt:variant>
        <vt:i4>306</vt:i4>
      </vt:variant>
      <vt:variant>
        <vt:i4>0</vt:i4>
      </vt:variant>
      <vt:variant>
        <vt:i4>5</vt:i4>
      </vt:variant>
      <vt:variant>
        <vt:lpwstr>http://www.mfe.govt.nz/</vt:lpwstr>
      </vt:variant>
      <vt:variant>
        <vt:lpwstr/>
      </vt:variant>
      <vt:variant>
        <vt:i4>6684781</vt:i4>
      </vt:variant>
      <vt:variant>
        <vt:i4>297</vt:i4>
      </vt:variant>
      <vt:variant>
        <vt:i4>0</vt:i4>
      </vt:variant>
      <vt:variant>
        <vt:i4>5</vt:i4>
      </vt:variant>
      <vt:variant>
        <vt:lpwstr>http://www.mfe.govt.nz/</vt:lpwstr>
      </vt:variant>
      <vt:variant>
        <vt:lpwstr/>
      </vt:variant>
      <vt:variant>
        <vt:i4>6684781</vt:i4>
      </vt:variant>
      <vt:variant>
        <vt:i4>294</vt:i4>
      </vt:variant>
      <vt:variant>
        <vt:i4>0</vt:i4>
      </vt:variant>
      <vt:variant>
        <vt:i4>5</vt:i4>
      </vt:variant>
      <vt:variant>
        <vt:lpwstr>http://www.mfe.govt.nz/</vt:lpwstr>
      </vt:variant>
      <vt:variant>
        <vt:lpwstr/>
      </vt:variant>
      <vt:variant>
        <vt:i4>6684781</vt:i4>
      </vt:variant>
      <vt:variant>
        <vt:i4>291</vt:i4>
      </vt:variant>
      <vt:variant>
        <vt:i4>0</vt:i4>
      </vt:variant>
      <vt:variant>
        <vt:i4>5</vt:i4>
      </vt:variant>
      <vt:variant>
        <vt:lpwstr>http://www.mfe.govt.nz/</vt:lpwstr>
      </vt:variant>
      <vt:variant>
        <vt:lpwstr/>
      </vt:variant>
      <vt:variant>
        <vt:i4>6684781</vt:i4>
      </vt:variant>
      <vt:variant>
        <vt:i4>288</vt:i4>
      </vt:variant>
      <vt:variant>
        <vt:i4>0</vt:i4>
      </vt:variant>
      <vt:variant>
        <vt:i4>5</vt:i4>
      </vt:variant>
      <vt:variant>
        <vt:lpwstr>http://www.mfe.govt.nz/</vt:lpwstr>
      </vt:variant>
      <vt:variant>
        <vt:lpwstr/>
      </vt:variant>
      <vt:variant>
        <vt:i4>4718707</vt:i4>
      </vt:variant>
      <vt:variant>
        <vt:i4>285</vt:i4>
      </vt:variant>
      <vt:variant>
        <vt:i4>0</vt:i4>
      </vt:variant>
      <vt:variant>
        <vt:i4>5</vt:i4>
      </vt:variant>
      <vt:variant>
        <vt:lpwstr>http://www.legislation.govt.nz/act/public/1991/0069/latest/link.aspx?search=ts_act_resource+management+act_resel&amp;p=1&amp;id=DLM232526</vt:lpwstr>
      </vt:variant>
      <vt:variant>
        <vt:lpwstr>DLM232526</vt:lpwstr>
      </vt:variant>
      <vt:variant>
        <vt:i4>4718707</vt:i4>
      </vt:variant>
      <vt:variant>
        <vt:i4>282</vt:i4>
      </vt:variant>
      <vt:variant>
        <vt:i4>0</vt:i4>
      </vt:variant>
      <vt:variant>
        <vt:i4>5</vt:i4>
      </vt:variant>
      <vt:variant>
        <vt:lpwstr>http://www.legislation.govt.nz/act/public/1991/0069/latest/link.aspx?search=ts_act_resource+management+act_resel&amp;p=1&amp;id=DLM232526</vt:lpwstr>
      </vt:variant>
      <vt:variant>
        <vt:lpwstr>DLM232526</vt:lpwstr>
      </vt:variant>
      <vt:variant>
        <vt:i4>1835040</vt:i4>
      </vt:variant>
      <vt:variant>
        <vt:i4>279</vt:i4>
      </vt:variant>
      <vt:variant>
        <vt:i4>0</vt:i4>
      </vt:variant>
      <vt:variant>
        <vt:i4>5</vt:i4>
      </vt:variant>
      <vt:variant>
        <vt:lpwstr>http://www.legislation.govt.nz/act/public/1991/0069/latest/link.aspx?search=ts_act_Resource+Management_resel&amp;id=DLM235230</vt:lpwstr>
      </vt:variant>
      <vt:variant>
        <vt:lpwstr>DLM235230</vt:lpwstr>
      </vt:variant>
      <vt:variant>
        <vt:i4>7209077</vt:i4>
      </vt:variant>
      <vt:variant>
        <vt:i4>276</vt:i4>
      </vt:variant>
      <vt:variant>
        <vt:i4>0</vt:i4>
      </vt:variant>
      <vt:variant>
        <vt:i4>5</vt:i4>
      </vt:variant>
      <vt:variant>
        <vt:lpwstr>http://www.basel.int/text/17Jun2010-conv-e.pdf</vt:lpwstr>
      </vt:variant>
      <vt:variant>
        <vt:lpwstr/>
      </vt:variant>
      <vt:variant>
        <vt:i4>6553659</vt:i4>
      </vt:variant>
      <vt:variant>
        <vt:i4>273</vt:i4>
      </vt:variant>
      <vt:variant>
        <vt:i4>0</vt:i4>
      </vt:variant>
      <vt:variant>
        <vt:i4>5</vt:i4>
      </vt:variant>
      <vt:variant>
        <vt:lpwstr>http://en.wikipedia.org/wiki/Teratogen</vt:lpwstr>
      </vt:variant>
      <vt:variant>
        <vt:lpwstr/>
      </vt:variant>
      <vt:variant>
        <vt:i4>3932254</vt:i4>
      </vt:variant>
      <vt:variant>
        <vt:i4>270</vt:i4>
      </vt:variant>
      <vt:variant>
        <vt:i4>0</vt:i4>
      </vt:variant>
      <vt:variant>
        <vt:i4>5</vt:i4>
      </vt:variant>
      <vt:variant>
        <vt:lpwstr>mailto:air@mfe.govt.nz</vt:lpwstr>
      </vt:variant>
      <vt:variant>
        <vt:lpwstr/>
      </vt:variant>
      <vt:variant>
        <vt:i4>7340144</vt:i4>
      </vt:variant>
      <vt:variant>
        <vt:i4>267</vt:i4>
      </vt:variant>
      <vt:variant>
        <vt:i4>0</vt:i4>
      </vt:variant>
      <vt:variant>
        <vt:i4>5</vt:i4>
      </vt:variant>
      <vt:variant>
        <vt:lpwstr>http://www.legislation.govt.nz/</vt:lpwstr>
      </vt:variant>
      <vt:variant>
        <vt:lpwstr/>
      </vt:variant>
      <vt:variant>
        <vt:i4>1441833</vt:i4>
      </vt:variant>
      <vt:variant>
        <vt:i4>0</vt:i4>
      </vt:variant>
      <vt:variant>
        <vt:i4>0</vt:i4>
      </vt:variant>
      <vt:variant>
        <vt:i4>5</vt:i4>
      </vt:variant>
      <vt:variant>
        <vt:lpwstr>environment@mfe.govt.nz</vt:lpwstr>
      </vt:variant>
      <vt:variant>
        <vt:lpwstr/>
      </vt:variant>
      <vt:variant>
        <vt:i4>4063329</vt:i4>
      </vt:variant>
      <vt:variant>
        <vt:i4>0</vt:i4>
      </vt:variant>
      <vt:variant>
        <vt:i4>0</vt:i4>
      </vt:variant>
      <vt:variant>
        <vt:i4>5</vt:i4>
      </vt:variant>
      <vt:variant>
        <vt:lpwstr>http://www.epa.gov/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air-quality-nes-users-guide-2014-final</dc:title>
  <dc:subject>Source:</dc:subject>
  <dc:creator>Linda Stirling</dc:creator>
  <cp:keywords/>
  <cp:lastModifiedBy>Linda Stirling</cp:lastModifiedBy>
  <cp:revision>2</cp:revision>
  <cp:lastPrinted>2014-01-20T21:58:00Z</cp:lastPrinted>
  <dcterms:created xsi:type="dcterms:W3CDTF">2023-09-25T00:56:00Z</dcterms:created>
  <dcterms:modified xsi:type="dcterms:W3CDTF">2023-09-25T00:56:00Z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000001512404</vt:lpwstr>
  </property>
  <property fmtid="{D5CDD505-2E9C-101B-9397-08002B2CF9AE}" pid="3" name="DisplayName">
    <vt:lpwstr>02 - Air Quality</vt:lpwstr>
  </property>
  <property fmtid="{D5CDD505-2E9C-101B-9397-08002B2CF9AE}" pid="4" name="Class">
    <vt:lpwstr>CM/CM_PM/CM_PM_Four/CM_PM_Four_Two</vt:lpwstr>
  </property>
  <property fmtid="{D5CDD505-2E9C-101B-9397-08002B2CF9AE}" pid="5" name="ClassComments">
    <vt:lpwstr/>
  </property>
  <property fmtid="{D5CDD505-2E9C-101B-9397-08002B2CF9AE}" pid="6" name="AddedBy">
    <vt:lpwstr>StirlingL</vt:lpwstr>
  </property>
  <property fmtid="{D5CDD505-2E9C-101B-9397-08002B2CF9AE}" pid="7" name="DateAdded">
    <vt:filetime>2014-01-21T23:07:35Z</vt:filetime>
  </property>
  <property fmtid="{D5CDD505-2E9C-101B-9397-08002B2CF9AE}" pid="8" name="FirstAddedBy">
    <vt:lpwstr>StirlingL</vt:lpwstr>
  </property>
  <property fmtid="{D5CDD505-2E9C-101B-9397-08002B2CF9AE}" pid="9" name="DateFirstAdded">
    <vt:filetime>2014-01-21T23:07:35Z</vt:filetime>
  </property>
  <property fmtid="{D5CDD505-2E9C-101B-9397-08002B2CF9AE}" pid="10" name="LastModifiedBy">
    <vt:lpwstr>StirlingL</vt:lpwstr>
  </property>
  <property fmtid="{D5CDD505-2E9C-101B-9397-08002B2CF9AE}" pid="11" name="DateLastModified">
    <vt:filetime>2014-01-21T23:07:35Z</vt:filetime>
  </property>
  <property fmtid="{D5CDD505-2E9C-101B-9397-08002B2CF9AE}" pid="12" name="IsCheckedOut">
    <vt:bool>false</vt:bool>
  </property>
  <property fmtid="{D5CDD505-2E9C-101B-9397-08002B2CF9AE}" pid="13" name="CheckedOutBy">
    <vt:lpwstr/>
  </property>
  <property fmtid="{D5CDD505-2E9C-101B-9397-08002B2CF9AE}" pid="14" name="CheckOutComment">
    <vt:lpwstr/>
  </property>
  <property fmtid="{D5CDD505-2E9C-101B-9397-08002B2CF9AE}" pid="15" name="CheckOutDate">
    <vt:filetime>1899-12-29T11:00:00Z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628396</vt:i4>
  </property>
  <property fmtid="{D5CDD505-2E9C-101B-9397-08002B2CF9AE}" pid="25" name="ContentFormats">
    <vt:lpwstr>DOCX</vt:lpwstr>
  </property>
  <property fmtid="{D5CDD505-2E9C-101B-9397-08002B2CF9AE}" pid="26" name="LocaleID">
    <vt:i4>0</vt:i4>
  </property>
  <property fmtid="{D5CDD505-2E9C-101B-9397-08002B2CF9AE}" pid="27" name="RequiredSignatures">
    <vt:lpwstr/>
  </property>
  <property fmtid="{D5CDD505-2E9C-101B-9397-08002B2CF9AE}" pid="28" name="SignaturesRequired">
    <vt:lpwstr/>
  </property>
  <property fmtid="{D5CDD505-2E9C-101B-9397-08002B2CF9AE}" pid="29" name="Signatures">
    <vt:lpwstr/>
  </property>
  <property fmtid="{D5CDD505-2E9C-101B-9397-08002B2CF9AE}" pid="30" name="DateAvailable">
    <vt:filetime>1899-12-29T11:00:00Z</vt:filetime>
  </property>
  <property fmtid="{D5CDD505-2E9C-101B-9397-08002B2CF9AE}" pid="31" name="DateExpires">
    <vt:filetime>1899-12-29T11:00:00Z</vt:filetime>
  </property>
  <property fmtid="{D5CDD505-2E9C-101B-9397-08002B2CF9AE}" pid="32" name="RelativeDateExpires">
    <vt:lpwstr>12:00:00 a.m.</vt:lpwstr>
  </property>
  <property fmtid="{D5CDD505-2E9C-101B-9397-08002B2CF9AE}" pid="33" name="Parents">
    <vt:lpwstr>59a82d079b82e4ba367959ed1c1b4d77</vt:lpwstr>
  </property>
  <property fmtid="{D5CDD505-2E9C-101B-9397-08002B2CF9AE}" pid="34" name="Children">
    <vt:lpwstr/>
  </property>
  <property fmtid="{D5CDD505-2E9C-101B-9397-08002B2CF9AE}" pid="35" name="Master">
    <vt:lpwstr/>
  </property>
  <property fmtid="{D5CDD505-2E9C-101B-9397-08002B2CF9AE}" pid="36" name="Slaves">
    <vt:lpwstr/>
  </property>
  <property fmtid="{D5CDD505-2E9C-101B-9397-08002B2CF9AE}" pid="37" name="PublishPaths">
    <vt:lpwstr/>
  </property>
  <property fmtid="{D5CDD505-2E9C-101B-9397-08002B2CF9AE}" pid="38" name="SeeAlso">
    <vt:lpwstr/>
  </property>
  <property fmtid="{D5CDD505-2E9C-101B-9397-08002B2CF9AE}" pid="39" name="Folders">
    <vt:lpwstr/>
  </property>
  <property fmtid="{D5CDD505-2E9C-101B-9397-08002B2CF9AE}" pid="40" name="MetaPath">
    <vt:lpwstr>\CM\CM_PM\CM_PM_Four\CM_PM_Four_Two</vt:lpwstr>
  </property>
  <property fmtid="{D5CDD505-2E9C-101B-9397-08002B2CF9AE}" pid="41" name="ContentPath">
    <vt:lpwstr>\CM\CM_PM\CM_PM_Four\CM_PM_Four_Two</vt:lpwstr>
  </property>
  <property fmtid="{D5CDD505-2E9C-101B-9397-08002B2CF9AE}" pid="42" name="ArchiveMetaPath">
    <vt:lpwstr>\CM\CM_PM\CM_PM_Four\CM_PM_Four_Two</vt:lpwstr>
  </property>
  <property fmtid="{D5CDD505-2E9C-101B-9397-08002B2CF9AE}" pid="43" name="ArchiveContentPath">
    <vt:lpwstr>\CM\CM_PM\CM_PM_Four\CM_PM_Four_Two</vt:lpwstr>
  </property>
  <property fmtid="{D5CDD505-2E9C-101B-9397-08002B2CF9AE}" pid="44" name="ContentVPath">
    <vt:lpwstr>/CM/CM_PM/CM_PM_Four/CM_PM_Four_Two</vt:lpwstr>
  </property>
  <property fmtid="{D5CDD505-2E9C-101B-9397-08002B2CF9AE}" pid="45" name="Icon">
    <vt:lpwstr/>
  </property>
  <property fmtid="{D5CDD505-2E9C-101B-9397-08002B2CF9AE}" pid="46" name="DefaultContent">
    <vt:lpwstr/>
  </property>
  <property fmtid="{D5CDD505-2E9C-101B-9397-08002B2CF9AE}" pid="47" name="DefaultFormat">
    <vt:lpwstr>DOCX</vt:lpwstr>
  </property>
  <property fmtid="{D5CDD505-2E9C-101B-9397-08002B2CF9AE}" pid="48" name="DefaultForm">
    <vt:lpwstr/>
  </property>
  <property fmtid="{D5CDD505-2E9C-101B-9397-08002B2CF9AE}" pid="49" name="DefaultUIHandler">
    <vt:lpwstr/>
  </property>
  <property fmtid="{D5CDD505-2E9C-101B-9397-08002B2CF9AE}" pid="50" name="Abstract">
    <vt:bool>false</vt:bool>
  </property>
  <property fmtid="{D5CDD505-2E9C-101B-9397-08002B2CF9AE}" pid="51" name="PossibleSuperiors">
    <vt:lpwstr>CM_PM_Four</vt:lpwstr>
  </property>
  <property fmtid="{D5CDD505-2E9C-101B-9397-08002B2CF9AE}" pid="52" name="HelpFileContext">
    <vt:i4>0</vt:i4>
  </property>
  <property fmtid="{D5CDD505-2E9C-101B-9397-08002B2CF9AE}" pid="53" name="HelpFileName">
    <vt:lpwstr/>
  </property>
  <property fmtid="{D5CDD505-2E9C-101B-9397-08002B2CF9AE}" pid="54" name="AMP__OriginalAuthor">
    <vt:lpwstr/>
  </property>
  <property fmtid="{D5CDD505-2E9C-101B-9397-08002B2CF9AE}" pid="55" name="Description">
    <vt:lpwstr/>
  </property>
  <property fmtid="{D5CDD505-2E9C-101B-9397-08002B2CF9AE}" pid="56" name="Doctype">
    <vt:lpwstr>Publication</vt:lpwstr>
  </property>
  <property fmtid="{D5CDD505-2E9C-101B-9397-08002B2CF9AE}" pid="57" name="To">
    <vt:lpwstr/>
  </property>
  <property fmtid="{D5CDD505-2E9C-101B-9397-08002B2CF9AE}" pid="58" name="From">
    <vt:lpwstr/>
  </property>
  <property fmtid="{D5CDD505-2E9C-101B-9397-08002B2CF9AE}" pid="59" name="Sent_Received">
    <vt:filetime>1899-12-29T11:00:00Z</vt:filetime>
  </property>
  <property fmtid="{D5CDD505-2E9C-101B-9397-08002B2CF9AE}" pid="60" name="Status">
    <vt:lpwstr>Draft</vt:lpwstr>
  </property>
  <property fmtid="{D5CDD505-2E9C-101B-9397-08002B2CF9AE}" pid="61" name="ContractNumber">
    <vt:lpwstr/>
  </property>
  <property fmtid="{D5CDD505-2E9C-101B-9397-08002B2CF9AE}" pid="62" name="Year">
    <vt:lpwstr>2013 - 2014</vt:lpwstr>
  </property>
  <property fmtid="{D5CDD505-2E9C-101B-9397-08002B2CF9AE}" pid="63" name="adspath">
    <vt:lpwstr>Amphora://EDRMS1/CM/CM_PM/CM_PM_Four/CM_PM_Four_Two/000001512404</vt:lpwstr>
  </property>
  <property fmtid="{D5CDD505-2E9C-101B-9397-08002B2CF9AE}" pid="64" name="MSIP_Label_52dda6cc-d61d-4fd2-bf18-9b3017d931cc_Enabled">
    <vt:lpwstr>true</vt:lpwstr>
  </property>
  <property fmtid="{D5CDD505-2E9C-101B-9397-08002B2CF9AE}" pid="65" name="MSIP_Label_52dda6cc-d61d-4fd2-bf18-9b3017d931cc_SetDate">
    <vt:lpwstr>2023-09-25T00:56:23Z</vt:lpwstr>
  </property>
  <property fmtid="{D5CDD505-2E9C-101B-9397-08002B2CF9AE}" pid="66" name="MSIP_Label_52dda6cc-d61d-4fd2-bf18-9b3017d931cc_Method">
    <vt:lpwstr>Privileged</vt:lpwstr>
  </property>
  <property fmtid="{D5CDD505-2E9C-101B-9397-08002B2CF9AE}" pid="67" name="MSIP_Label_52dda6cc-d61d-4fd2-bf18-9b3017d931cc_Name">
    <vt:lpwstr>[UNCLASSIFIED]</vt:lpwstr>
  </property>
  <property fmtid="{D5CDD505-2E9C-101B-9397-08002B2CF9AE}" pid="68" name="MSIP_Label_52dda6cc-d61d-4fd2-bf18-9b3017d931cc_SiteId">
    <vt:lpwstr>761dd003-d4ff-4049-8a72-8549b20fcbb1</vt:lpwstr>
  </property>
  <property fmtid="{D5CDD505-2E9C-101B-9397-08002B2CF9AE}" pid="69" name="MSIP_Label_52dda6cc-d61d-4fd2-bf18-9b3017d931cc_ActionId">
    <vt:lpwstr>7fb88ce7-9542-4459-8886-69a0062633d2</vt:lpwstr>
  </property>
  <property fmtid="{D5CDD505-2E9C-101B-9397-08002B2CF9AE}" pid="70" name="MSIP_Label_52dda6cc-d61d-4fd2-bf18-9b3017d931cc_ContentBits">
    <vt:lpwstr>0</vt:lpwstr>
  </property>
</Properties>
</file>