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082AD" w14:textId="77777777" w:rsidR="00CD77ED" w:rsidRDefault="007B771C" w:rsidP="007B771C">
      <w:pPr>
        <w:pStyle w:val="Heading1"/>
        <w:spacing w:line="276" w:lineRule="auto"/>
        <w:rPr>
          <w:color w:val="0082AB"/>
        </w:rPr>
      </w:pPr>
      <w:bookmarkStart w:id="0" w:name="_Toc528670857"/>
      <w:r w:rsidRPr="0005691A">
        <w:rPr>
          <w:color w:val="0082AB"/>
        </w:rPr>
        <w:t>Coversheet</w:t>
      </w:r>
      <w:r>
        <w:rPr>
          <w:color w:val="0082AB"/>
        </w:rPr>
        <w:t>:</w:t>
      </w:r>
      <w:bookmarkEnd w:id="0"/>
      <w:r w:rsidRPr="0005691A">
        <w:rPr>
          <w:color w:val="0082AB"/>
        </w:rPr>
        <w:t xml:space="preserve"> </w:t>
      </w:r>
    </w:p>
    <w:p w14:paraId="03921EBD" w14:textId="77777777" w:rsidR="00CD77ED" w:rsidRDefault="00CD77ED" w:rsidP="007B771C">
      <w:pPr>
        <w:pStyle w:val="Heading1"/>
        <w:spacing w:line="276" w:lineRule="auto"/>
        <w:rPr>
          <w:color w:val="0082AB"/>
        </w:rPr>
      </w:pPr>
      <w:bookmarkStart w:id="1" w:name="_Toc528670858"/>
      <w:r>
        <w:rPr>
          <w:color w:val="0082AB"/>
        </w:rPr>
        <w:t>Regulatory Impact Assessment</w:t>
      </w:r>
      <w:bookmarkEnd w:id="1"/>
    </w:p>
    <w:p w14:paraId="17B1DDC1" w14:textId="77777777" w:rsidR="007B771C" w:rsidRPr="001F2CE0" w:rsidRDefault="007B771C" w:rsidP="007B771C">
      <w:pPr>
        <w:pStyle w:val="Heading1"/>
        <w:spacing w:line="276" w:lineRule="auto"/>
        <w:rPr>
          <w:color w:val="0082AB"/>
          <w:lang w:val="en-NZ"/>
        </w:rPr>
      </w:pPr>
      <w:bookmarkStart w:id="2" w:name="_Toc528670859"/>
      <w:r>
        <w:rPr>
          <w:color w:val="0082AB"/>
        </w:rPr>
        <w:t>Phasing out single-use plastic shopping bags</w:t>
      </w:r>
      <w:bookmarkEnd w:id="2"/>
    </w:p>
    <w:p w14:paraId="1D94E538" w14:textId="77777777" w:rsidR="007B771C" w:rsidRDefault="007B771C" w:rsidP="007B771C">
      <w:pPr>
        <w:pStyle w:val="spacer"/>
        <w:spacing w:line="276" w:lineRule="auto"/>
        <w:rPr>
          <w:rFonts w:cs="Arial"/>
          <w:sz w:val="22"/>
        </w:rPr>
      </w:pPr>
    </w:p>
    <w:p w14:paraId="742A6058" w14:textId="77777777" w:rsidR="007B771C" w:rsidRPr="007B090A" w:rsidRDefault="007B771C" w:rsidP="007B771C">
      <w:pPr>
        <w:pStyle w:val="spacer"/>
        <w:spacing w:line="276" w:lineRule="auto"/>
        <w:rPr>
          <w:rFonts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9"/>
      </w:tblGrid>
      <w:tr w:rsidR="007B771C" w:rsidRPr="007B090A" w14:paraId="0C951760" w14:textId="77777777" w:rsidTr="00A42D23">
        <w:tc>
          <w:tcPr>
            <w:tcW w:w="2348" w:type="dxa"/>
            <w:shd w:val="clear" w:color="auto" w:fill="EBF5F8"/>
          </w:tcPr>
          <w:p w14:paraId="18BF095B" w14:textId="77777777" w:rsidR="007B771C" w:rsidRPr="007B090A" w:rsidRDefault="007B771C" w:rsidP="00A42D23">
            <w:pPr>
              <w:pStyle w:val="TableText"/>
              <w:spacing w:line="276" w:lineRule="auto"/>
              <w:rPr>
                <w:rFonts w:cs="Arial"/>
                <w:sz w:val="22"/>
              </w:rPr>
            </w:pPr>
            <w:r w:rsidRPr="007B090A">
              <w:rPr>
                <w:rFonts w:cs="Arial"/>
                <w:sz w:val="22"/>
              </w:rPr>
              <w:t>Advising agencies</w:t>
            </w:r>
          </w:p>
        </w:tc>
        <w:tc>
          <w:tcPr>
            <w:tcW w:w="6719" w:type="dxa"/>
            <w:shd w:val="clear" w:color="auto" w:fill="auto"/>
          </w:tcPr>
          <w:p w14:paraId="73D6A56C" w14:textId="77777777" w:rsidR="007B771C" w:rsidRPr="00402D17" w:rsidRDefault="00402D17" w:rsidP="00A42D23">
            <w:pPr>
              <w:spacing w:before="20" w:after="20" w:line="276" w:lineRule="auto"/>
              <w:rPr>
                <w:rFonts w:cs="Arial"/>
                <w:szCs w:val="22"/>
              </w:rPr>
            </w:pPr>
            <w:r>
              <w:rPr>
                <w:rFonts w:cs="Arial"/>
                <w:szCs w:val="22"/>
              </w:rPr>
              <w:t>The Ministry for the Environment</w:t>
            </w:r>
          </w:p>
        </w:tc>
      </w:tr>
      <w:tr w:rsidR="007B771C" w:rsidRPr="007B090A" w14:paraId="0EEBE64F" w14:textId="77777777" w:rsidTr="00A42D23">
        <w:tc>
          <w:tcPr>
            <w:tcW w:w="2348" w:type="dxa"/>
            <w:shd w:val="clear" w:color="auto" w:fill="EBF5F8"/>
          </w:tcPr>
          <w:p w14:paraId="4EAE6A28" w14:textId="77777777" w:rsidR="007B771C" w:rsidRPr="007B090A" w:rsidRDefault="007B771C" w:rsidP="00A42D23">
            <w:pPr>
              <w:pStyle w:val="TableText"/>
              <w:spacing w:line="276" w:lineRule="auto"/>
              <w:rPr>
                <w:rFonts w:cs="Arial"/>
                <w:sz w:val="22"/>
              </w:rPr>
            </w:pPr>
            <w:r w:rsidRPr="007B090A">
              <w:rPr>
                <w:rFonts w:cs="Arial"/>
                <w:sz w:val="22"/>
              </w:rPr>
              <w:t>Decision sought</w:t>
            </w:r>
          </w:p>
        </w:tc>
        <w:tc>
          <w:tcPr>
            <w:tcW w:w="6719" w:type="dxa"/>
            <w:shd w:val="clear" w:color="auto" w:fill="auto"/>
          </w:tcPr>
          <w:p w14:paraId="142B67C9" w14:textId="4C652C9F" w:rsidR="00516DEE" w:rsidRPr="00516DEE" w:rsidRDefault="00516DEE" w:rsidP="00516DEE">
            <w:pPr>
              <w:spacing w:before="20" w:after="20" w:line="276" w:lineRule="auto"/>
              <w:rPr>
                <w:rFonts w:cs="Arial"/>
                <w:szCs w:val="22"/>
              </w:rPr>
            </w:pPr>
            <w:r>
              <w:rPr>
                <w:rFonts w:cs="Arial"/>
                <w:szCs w:val="22"/>
              </w:rPr>
              <w:t xml:space="preserve">Whether to </w:t>
            </w:r>
            <w:r w:rsidR="0029035A">
              <w:rPr>
                <w:rFonts w:cs="Arial"/>
                <w:szCs w:val="22"/>
              </w:rPr>
              <w:t xml:space="preserve">confirm </w:t>
            </w:r>
            <w:r w:rsidR="003D0A8F">
              <w:rPr>
                <w:rFonts w:cs="Arial"/>
                <w:szCs w:val="22"/>
              </w:rPr>
              <w:t xml:space="preserve">agreement in principle to a mandatory </w:t>
            </w:r>
            <w:r>
              <w:rPr>
                <w:rFonts w:cs="Arial"/>
                <w:szCs w:val="22"/>
              </w:rPr>
              <w:t>phase out</w:t>
            </w:r>
            <w:r w:rsidR="003C1E34">
              <w:rPr>
                <w:rFonts w:cs="Arial"/>
                <w:szCs w:val="22"/>
              </w:rPr>
              <w:t xml:space="preserve"> of</w:t>
            </w:r>
            <w:r>
              <w:rPr>
                <w:rFonts w:cs="Arial"/>
                <w:szCs w:val="22"/>
              </w:rPr>
              <w:t xml:space="preserve"> single-use plastic </w:t>
            </w:r>
            <w:r w:rsidR="00C16B8A">
              <w:rPr>
                <w:rFonts w:cs="Arial"/>
                <w:szCs w:val="22"/>
              </w:rPr>
              <w:t xml:space="preserve">shopping </w:t>
            </w:r>
            <w:r>
              <w:rPr>
                <w:rFonts w:cs="Arial"/>
                <w:szCs w:val="22"/>
              </w:rPr>
              <w:t>bags and, if so:</w:t>
            </w:r>
          </w:p>
          <w:p w14:paraId="60394908" w14:textId="00FDF3BC" w:rsidR="00516DEE" w:rsidRPr="006A6494" w:rsidRDefault="003C1E34">
            <w:pPr>
              <w:pStyle w:val="ListParagraph"/>
              <w:numPr>
                <w:ilvl w:val="0"/>
                <w:numId w:val="33"/>
              </w:numPr>
              <w:spacing w:before="20" w:after="20" w:line="276" w:lineRule="auto"/>
              <w:rPr>
                <w:rFonts w:cs="Arial"/>
                <w:szCs w:val="22"/>
              </w:rPr>
            </w:pPr>
            <w:r>
              <w:rPr>
                <w:rFonts w:cs="Arial"/>
                <w:szCs w:val="22"/>
              </w:rPr>
              <w:t>the t</w:t>
            </w:r>
            <w:r w:rsidR="00402D17" w:rsidRPr="006A6494">
              <w:rPr>
                <w:rFonts w:cs="Arial"/>
                <w:szCs w:val="22"/>
              </w:rPr>
              <w:t xml:space="preserve">hickness of plastic </w:t>
            </w:r>
            <w:r w:rsidR="00C16B8A" w:rsidRPr="006A6494">
              <w:rPr>
                <w:rFonts w:cs="Arial"/>
                <w:szCs w:val="22"/>
              </w:rPr>
              <w:t xml:space="preserve">shopping </w:t>
            </w:r>
            <w:r w:rsidR="00402D17" w:rsidRPr="006A6494">
              <w:rPr>
                <w:rFonts w:cs="Arial"/>
                <w:szCs w:val="22"/>
              </w:rPr>
              <w:t>bags to be phased out</w:t>
            </w:r>
            <w:r w:rsidR="006A6494" w:rsidRPr="006A6494">
              <w:rPr>
                <w:rFonts w:cs="Arial"/>
                <w:szCs w:val="22"/>
              </w:rPr>
              <w:t xml:space="preserve"> and any</w:t>
            </w:r>
            <w:r w:rsidR="00516DEE" w:rsidRPr="006A6494">
              <w:rPr>
                <w:rFonts w:cs="Arial"/>
                <w:szCs w:val="22"/>
              </w:rPr>
              <w:t xml:space="preserve"> exemptions</w:t>
            </w:r>
          </w:p>
          <w:p w14:paraId="10B3AEE5" w14:textId="297C13F8" w:rsidR="00402D17" w:rsidRDefault="003C1E34" w:rsidP="00402D17">
            <w:pPr>
              <w:pStyle w:val="ListParagraph"/>
              <w:numPr>
                <w:ilvl w:val="0"/>
                <w:numId w:val="33"/>
              </w:numPr>
              <w:spacing w:before="20" w:after="20" w:line="276" w:lineRule="auto"/>
              <w:rPr>
                <w:rFonts w:cs="Arial"/>
                <w:szCs w:val="22"/>
              </w:rPr>
            </w:pPr>
            <w:r>
              <w:rPr>
                <w:rFonts w:cs="Arial"/>
                <w:szCs w:val="22"/>
              </w:rPr>
              <w:t>r</w:t>
            </w:r>
            <w:r w:rsidR="003D0A8F">
              <w:rPr>
                <w:rFonts w:cs="Arial"/>
                <w:szCs w:val="22"/>
              </w:rPr>
              <w:t xml:space="preserve">etailers </w:t>
            </w:r>
            <w:r w:rsidR="00F94747">
              <w:rPr>
                <w:rFonts w:cs="Arial"/>
                <w:szCs w:val="22"/>
              </w:rPr>
              <w:t xml:space="preserve">covered by </w:t>
            </w:r>
            <w:r w:rsidR="00402D17">
              <w:rPr>
                <w:rFonts w:cs="Arial"/>
                <w:szCs w:val="22"/>
              </w:rPr>
              <w:t>the phase out</w:t>
            </w:r>
          </w:p>
          <w:p w14:paraId="58494BC0" w14:textId="5D8EF4FB" w:rsidR="00402D17" w:rsidRPr="00402D17" w:rsidRDefault="003C1E34" w:rsidP="003C1E34">
            <w:pPr>
              <w:pStyle w:val="ListParagraph"/>
              <w:numPr>
                <w:ilvl w:val="0"/>
                <w:numId w:val="33"/>
              </w:numPr>
              <w:spacing w:before="20" w:after="20" w:line="276" w:lineRule="auto"/>
              <w:rPr>
                <w:rFonts w:cs="Arial"/>
                <w:szCs w:val="22"/>
              </w:rPr>
            </w:pPr>
            <w:proofErr w:type="gramStart"/>
            <w:r>
              <w:rPr>
                <w:rFonts w:cs="Arial"/>
                <w:szCs w:val="22"/>
              </w:rPr>
              <w:t>t</w:t>
            </w:r>
            <w:r w:rsidR="00402D17">
              <w:rPr>
                <w:rFonts w:cs="Arial"/>
                <w:szCs w:val="22"/>
              </w:rPr>
              <w:t>imeframe</w:t>
            </w:r>
            <w:proofErr w:type="gramEnd"/>
            <w:r w:rsidR="00402D17">
              <w:rPr>
                <w:rFonts w:cs="Arial"/>
                <w:szCs w:val="22"/>
              </w:rPr>
              <w:t xml:space="preserve"> </w:t>
            </w:r>
            <w:r w:rsidR="00DE3C5F">
              <w:rPr>
                <w:rFonts w:cs="Arial"/>
                <w:szCs w:val="22"/>
              </w:rPr>
              <w:t>before</w:t>
            </w:r>
            <w:r w:rsidR="00402D17">
              <w:rPr>
                <w:rFonts w:cs="Arial"/>
                <w:szCs w:val="22"/>
              </w:rPr>
              <w:t xml:space="preserve"> </w:t>
            </w:r>
            <w:r w:rsidR="00A11326">
              <w:rPr>
                <w:rFonts w:cs="Arial"/>
                <w:szCs w:val="22"/>
              </w:rPr>
              <w:t>commencement</w:t>
            </w:r>
            <w:r w:rsidR="00310FB7">
              <w:rPr>
                <w:rFonts w:cs="Arial"/>
                <w:szCs w:val="22"/>
              </w:rPr>
              <w:t xml:space="preserve"> </w:t>
            </w:r>
            <w:r w:rsidR="00F94747">
              <w:rPr>
                <w:rFonts w:cs="Arial"/>
                <w:szCs w:val="22"/>
              </w:rPr>
              <w:t>(</w:t>
            </w:r>
            <w:r>
              <w:rPr>
                <w:rFonts w:cs="Arial"/>
                <w:szCs w:val="22"/>
              </w:rPr>
              <w:t>after</w:t>
            </w:r>
            <w:r w:rsidR="00F94747">
              <w:rPr>
                <w:rFonts w:cs="Arial"/>
                <w:szCs w:val="22"/>
              </w:rPr>
              <w:t xml:space="preserve"> Gazettal and </w:t>
            </w:r>
            <w:r>
              <w:rPr>
                <w:rFonts w:cs="Arial"/>
                <w:szCs w:val="22"/>
              </w:rPr>
              <w:t xml:space="preserve">before </w:t>
            </w:r>
            <w:r w:rsidR="00F94747">
              <w:rPr>
                <w:rFonts w:cs="Arial"/>
                <w:szCs w:val="22"/>
              </w:rPr>
              <w:t>regulations tak</w:t>
            </w:r>
            <w:r>
              <w:rPr>
                <w:rFonts w:cs="Arial"/>
                <w:szCs w:val="22"/>
              </w:rPr>
              <w:t>e</w:t>
            </w:r>
            <w:r w:rsidR="00F94747">
              <w:rPr>
                <w:rFonts w:cs="Arial"/>
                <w:szCs w:val="22"/>
              </w:rPr>
              <w:t xml:space="preserve"> effect)</w:t>
            </w:r>
            <w:r>
              <w:rPr>
                <w:rFonts w:cs="Arial"/>
                <w:szCs w:val="22"/>
              </w:rPr>
              <w:t>.</w:t>
            </w:r>
          </w:p>
        </w:tc>
      </w:tr>
      <w:tr w:rsidR="007B771C" w:rsidRPr="007B090A" w14:paraId="268A6FFC" w14:textId="77777777" w:rsidTr="00A42D23">
        <w:tc>
          <w:tcPr>
            <w:tcW w:w="2348" w:type="dxa"/>
            <w:shd w:val="clear" w:color="auto" w:fill="EBF5F8"/>
          </w:tcPr>
          <w:p w14:paraId="0AEF2B36" w14:textId="77777777" w:rsidR="007B771C" w:rsidRPr="007B090A" w:rsidRDefault="007B771C" w:rsidP="00A42D23">
            <w:pPr>
              <w:pStyle w:val="TableText"/>
              <w:spacing w:line="276" w:lineRule="auto"/>
              <w:rPr>
                <w:rFonts w:cs="Arial"/>
                <w:sz w:val="22"/>
              </w:rPr>
            </w:pPr>
            <w:r w:rsidRPr="007B090A">
              <w:rPr>
                <w:rFonts w:cs="Arial"/>
                <w:sz w:val="22"/>
              </w:rPr>
              <w:t>Proposing Ministers</w:t>
            </w:r>
          </w:p>
        </w:tc>
        <w:tc>
          <w:tcPr>
            <w:tcW w:w="6719" w:type="dxa"/>
            <w:shd w:val="clear" w:color="auto" w:fill="auto"/>
          </w:tcPr>
          <w:p w14:paraId="1459672C" w14:textId="77777777" w:rsidR="003D0A8F" w:rsidRDefault="003D0A8F" w:rsidP="00A42D23">
            <w:pPr>
              <w:spacing w:before="20" w:after="20" w:line="276" w:lineRule="auto"/>
              <w:rPr>
                <w:rFonts w:cs="Arial"/>
                <w:szCs w:val="22"/>
              </w:rPr>
            </w:pPr>
            <w:r>
              <w:rPr>
                <w:rFonts w:cs="Arial"/>
                <w:szCs w:val="22"/>
              </w:rPr>
              <w:t>Minister for the Environment David Parker</w:t>
            </w:r>
          </w:p>
          <w:p w14:paraId="44D7D16F" w14:textId="77777777" w:rsidR="007B771C" w:rsidRPr="00402D17" w:rsidRDefault="00402D17" w:rsidP="00A42D23">
            <w:pPr>
              <w:spacing w:before="20" w:after="20" w:line="276" w:lineRule="auto"/>
              <w:rPr>
                <w:rFonts w:cs="Arial"/>
                <w:szCs w:val="22"/>
              </w:rPr>
            </w:pPr>
            <w:r>
              <w:rPr>
                <w:rFonts w:cs="Arial"/>
                <w:szCs w:val="22"/>
              </w:rPr>
              <w:t>Associate</w:t>
            </w:r>
            <w:r w:rsidR="003D0A8F">
              <w:rPr>
                <w:rFonts w:cs="Arial"/>
                <w:szCs w:val="22"/>
              </w:rPr>
              <w:t xml:space="preserve"> </w:t>
            </w:r>
            <w:r w:rsidR="00EE4FAE">
              <w:rPr>
                <w:rFonts w:cs="Arial"/>
                <w:szCs w:val="22"/>
              </w:rPr>
              <w:t xml:space="preserve">Minister </w:t>
            </w:r>
            <w:r w:rsidR="003D0A8F">
              <w:rPr>
                <w:rFonts w:cs="Arial"/>
                <w:szCs w:val="22"/>
              </w:rPr>
              <w:t>for the Environment</w:t>
            </w:r>
            <w:r>
              <w:rPr>
                <w:rFonts w:cs="Arial"/>
                <w:szCs w:val="22"/>
              </w:rPr>
              <w:t xml:space="preserve"> </w:t>
            </w:r>
            <w:r w:rsidR="0029035A">
              <w:rPr>
                <w:rFonts w:cs="Arial"/>
                <w:szCs w:val="22"/>
              </w:rPr>
              <w:t xml:space="preserve">Eugenie </w:t>
            </w:r>
            <w:r>
              <w:rPr>
                <w:rFonts w:cs="Arial"/>
                <w:szCs w:val="22"/>
              </w:rPr>
              <w:t>Sage</w:t>
            </w:r>
          </w:p>
        </w:tc>
      </w:tr>
    </w:tbl>
    <w:p w14:paraId="27F6D62A" w14:textId="77777777" w:rsidR="007B771C" w:rsidRDefault="007B771C" w:rsidP="007B771C">
      <w:pPr>
        <w:pStyle w:val="spacer"/>
        <w:spacing w:line="276" w:lineRule="auto"/>
        <w:rPr>
          <w:rFonts w:cs="Arial"/>
          <w:sz w:val="22"/>
        </w:rPr>
      </w:pPr>
    </w:p>
    <w:p w14:paraId="4382C4E7" w14:textId="77777777" w:rsidR="007B771C" w:rsidRDefault="007B771C" w:rsidP="007B771C"/>
    <w:p w14:paraId="0AC89BE0" w14:textId="77777777" w:rsidR="007B771C" w:rsidRDefault="007B771C" w:rsidP="007B771C"/>
    <w:p w14:paraId="4D109E91" w14:textId="058FF58E" w:rsidR="007B771C" w:rsidRDefault="00310FB7" w:rsidP="00310FB7">
      <w:pPr>
        <w:tabs>
          <w:tab w:val="left" w:pos="3180"/>
        </w:tabs>
      </w:pPr>
      <w:r>
        <w:tab/>
      </w:r>
    </w:p>
    <w:p w14:paraId="119FF160" w14:textId="77777777" w:rsidR="007B771C" w:rsidRDefault="007B771C" w:rsidP="007B771C"/>
    <w:p w14:paraId="290AD9A8" w14:textId="77777777" w:rsidR="00310FB7" w:rsidRDefault="00310FB7">
      <w:pPr>
        <w:spacing w:after="0" w:line="240" w:lineRule="auto"/>
        <w:rPr>
          <w:b/>
          <w:i/>
          <w:sz w:val="32"/>
          <w:szCs w:val="32"/>
        </w:rPr>
      </w:pPr>
      <w:r>
        <w:rPr>
          <w:b/>
          <w:i/>
          <w:sz w:val="32"/>
          <w:szCs w:val="32"/>
        </w:rPr>
        <w:br w:type="page"/>
      </w:r>
    </w:p>
    <w:p w14:paraId="37513BDB" w14:textId="32E57D76" w:rsidR="007B771C" w:rsidRPr="009B2090" w:rsidRDefault="009B2090" w:rsidP="009B2090">
      <w:pPr>
        <w:jc w:val="center"/>
        <w:rPr>
          <w:b/>
          <w:i/>
          <w:sz w:val="32"/>
          <w:szCs w:val="32"/>
        </w:rPr>
      </w:pPr>
      <w:r w:rsidRPr="009B2090">
        <w:rPr>
          <w:b/>
          <w:i/>
          <w:sz w:val="32"/>
          <w:szCs w:val="32"/>
        </w:rPr>
        <w:lastRenderedPageBreak/>
        <w:t xml:space="preserve"> </w:t>
      </w:r>
    </w:p>
    <w:p w14:paraId="61403C81" w14:textId="77777777" w:rsidR="007B771C" w:rsidRDefault="007B771C" w:rsidP="007B771C">
      <w:pPr>
        <w:pStyle w:val="TOCHeading"/>
      </w:pPr>
      <w:r>
        <w:t>Contents</w:t>
      </w:r>
    </w:p>
    <w:p w14:paraId="3D882790" w14:textId="56FB4440" w:rsidR="00CD5F2B" w:rsidRDefault="007B771C">
      <w:pPr>
        <w:pStyle w:val="TOC1"/>
        <w:rPr>
          <w:rFonts w:asciiTheme="minorHAnsi" w:eastAsiaTheme="minorEastAsia" w:hAnsiTheme="minorHAnsi" w:cstheme="minorBidi"/>
          <w:bCs w:val="0"/>
          <w:sz w:val="22"/>
          <w:szCs w:val="22"/>
          <w:lang w:val="en-NZ" w:eastAsia="en-NZ"/>
        </w:rPr>
      </w:pPr>
      <w:r>
        <w:rPr>
          <w:b/>
        </w:rPr>
        <w:fldChar w:fldCharType="begin"/>
      </w:r>
      <w:r>
        <w:rPr>
          <w:b/>
        </w:rPr>
        <w:instrText xml:space="preserve"> TOC \o "1-3" \h \z \u </w:instrText>
      </w:r>
      <w:r>
        <w:rPr>
          <w:b/>
        </w:rPr>
        <w:fldChar w:fldCharType="separate"/>
      </w:r>
      <w:hyperlink w:anchor="_Toc528670857" w:history="1">
        <w:r w:rsidR="00CD5F2B" w:rsidRPr="00596E22">
          <w:rPr>
            <w:rStyle w:val="Hyperlink"/>
          </w:rPr>
          <w:t>Coversheet:</w:t>
        </w:r>
        <w:r w:rsidR="00CD5F2B">
          <w:rPr>
            <w:webHidden/>
          </w:rPr>
          <w:tab/>
        </w:r>
        <w:r w:rsidR="00CD5F2B">
          <w:rPr>
            <w:webHidden/>
          </w:rPr>
          <w:fldChar w:fldCharType="begin"/>
        </w:r>
        <w:r w:rsidR="00CD5F2B">
          <w:rPr>
            <w:webHidden/>
          </w:rPr>
          <w:instrText xml:space="preserve"> PAGEREF _Toc528670857 \h </w:instrText>
        </w:r>
        <w:r w:rsidR="00CD5F2B">
          <w:rPr>
            <w:webHidden/>
          </w:rPr>
        </w:r>
        <w:r w:rsidR="00CD5F2B">
          <w:rPr>
            <w:webHidden/>
          </w:rPr>
          <w:fldChar w:fldCharType="separate"/>
        </w:r>
        <w:r w:rsidR="00916712">
          <w:rPr>
            <w:webHidden/>
          </w:rPr>
          <w:t>1</w:t>
        </w:r>
        <w:r w:rsidR="00CD5F2B">
          <w:rPr>
            <w:webHidden/>
          </w:rPr>
          <w:fldChar w:fldCharType="end"/>
        </w:r>
      </w:hyperlink>
    </w:p>
    <w:p w14:paraId="2B6286A5" w14:textId="69582490" w:rsidR="00CD5F2B" w:rsidRDefault="00F16E57">
      <w:pPr>
        <w:pStyle w:val="TOC1"/>
        <w:rPr>
          <w:rFonts w:asciiTheme="minorHAnsi" w:eastAsiaTheme="minorEastAsia" w:hAnsiTheme="minorHAnsi" w:cstheme="minorBidi"/>
          <w:bCs w:val="0"/>
          <w:sz w:val="22"/>
          <w:szCs w:val="22"/>
          <w:lang w:val="en-NZ" w:eastAsia="en-NZ"/>
        </w:rPr>
      </w:pPr>
      <w:hyperlink w:anchor="_Toc528670858" w:history="1">
        <w:r w:rsidR="00CD5F2B" w:rsidRPr="00596E22">
          <w:rPr>
            <w:rStyle w:val="Hyperlink"/>
          </w:rPr>
          <w:t>Regulatory Impact Assessment</w:t>
        </w:r>
        <w:r w:rsidR="00CD5F2B">
          <w:rPr>
            <w:webHidden/>
          </w:rPr>
          <w:tab/>
        </w:r>
        <w:r w:rsidR="00CD5F2B">
          <w:rPr>
            <w:webHidden/>
          </w:rPr>
          <w:fldChar w:fldCharType="begin"/>
        </w:r>
        <w:r w:rsidR="00CD5F2B">
          <w:rPr>
            <w:webHidden/>
          </w:rPr>
          <w:instrText xml:space="preserve"> PAGEREF _Toc528670858 \h </w:instrText>
        </w:r>
        <w:r w:rsidR="00CD5F2B">
          <w:rPr>
            <w:webHidden/>
          </w:rPr>
        </w:r>
        <w:r w:rsidR="00CD5F2B">
          <w:rPr>
            <w:webHidden/>
          </w:rPr>
          <w:fldChar w:fldCharType="separate"/>
        </w:r>
        <w:r w:rsidR="00916712">
          <w:rPr>
            <w:webHidden/>
          </w:rPr>
          <w:t>1</w:t>
        </w:r>
        <w:r w:rsidR="00CD5F2B">
          <w:rPr>
            <w:webHidden/>
          </w:rPr>
          <w:fldChar w:fldCharType="end"/>
        </w:r>
      </w:hyperlink>
    </w:p>
    <w:p w14:paraId="7DD43EC8" w14:textId="05CC60DB" w:rsidR="00CD5F2B" w:rsidRDefault="00F16E57">
      <w:pPr>
        <w:pStyle w:val="TOC1"/>
        <w:rPr>
          <w:rFonts w:asciiTheme="minorHAnsi" w:eastAsiaTheme="minorEastAsia" w:hAnsiTheme="minorHAnsi" w:cstheme="minorBidi"/>
          <w:bCs w:val="0"/>
          <w:sz w:val="22"/>
          <w:szCs w:val="22"/>
          <w:lang w:val="en-NZ" w:eastAsia="en-NZ"/>
        </w:rPr>
      </w:pPr>
      <w:hyperlink w:anchor="_Toc528670859" w:history="1">
        <w:r w:rsidR="00CD5F2B" w:rsidRPr="00596E22">
          <w:rPr>
            <w:rStyle w:val="Hyperlink"/>
          </w:rPr>
          <w:t>Phasing out single-use plastic shopping bags</w:t>
        </w:r>
        <w:r w:rsidR="00CD5F2B">
          <w:rPr>
            <w:webHidden/>
          </w:rPr>
          <w:tab/>
        </w:r>
        <w:r w:rsidR="00CD5F2B">
          <w:rPr>
            <w:webHidden/>
          </w:rPr>
          <w:fldChar w:fldCharType="begin"/>
        </w:r>
        <w:r w:rsidR="00CD5F2B">
          <w:rPr>
            <w:webHidden/>
          </w:rPr>
          <w:instrText xml:space="preserve"> PAGEREF _Toc528670859 \h </w:instrText>
        </w:r>
        <w:r w:rsidR="00CD5F2B">
          <w:rPr>
            <w:webHidden/>
          </w:rPr>
        </w:r>
        <w:r w:rsidR="00CD5F2B">
          <w:rPr>
            <w:webHidden/>
          </w:rPr>
          <w:fldChar w:fldCharType="separate"/>
        </w:r>
        <w:r w:rsidR="00916712">
          <w:rPr>
            <w:webHidden/>
          </w:rPr>
          <w:t>1</w:t>
        </w:r>
        <w:r w:rsidR="00CD5F2B">
          <w:rPr>
            <w:webHidden/>
          </w:rPr>
          <w:fldChar w:fldCharType="end"/>
        </w:r>
      </w:hyperlink>
    </w:p>
    <w:p w14:paraId="52796C80" w14:textId="57B74A9C" w:rsidR="00CD5F2B" w:rsidRDefault="00F16E57">
      <w:pPr>
        <w:pStyle w:val="TOC2"/>
        <w:rPr>
          <w:rFonts w:asciiTheme="minorHAnsi" w:eastAsiaTheme="minorEastAsia" w:hAnsiTheme="minorHAnsi" w:cstheme="minorBidi"/>
          <w:sz w:val="22"/>
          <w:szCs w:val="22"/>
          <w:lang w:val="en-NZ" w:eastAsia="en-NZ"/>
        </w:rPr>
      </w:pPr>
      <w:hyperlink w:anchor="_Toc528670860" w:history="1">
        <w:r w:rsidR="00CD5F2B" w:rsidRPr="00596E22">
          <w:rPr>
            <w:rStyle w:val="Hyperlink"/>
          </w:rPr>
          <w:t>Summary: Problem and Proposed Approach</w:t>
        </w:r>
        <w:r w:rsidR="00CD5F2B">
          <w:rPr>
            <w:webHidden/>
          </w:rPr>
          <w:tab/>
        </w:r>
        <w:r w:rsidR="00CD5F2B">
          <w:rPr>
            <w:webHidden/>
          </w:rPr>
          <w:fldChar w:fldCharType="begin"/>
        </w:r>
        <w:r w:rsidR="00CD5F2B">
          <w:rPr>
            <w:webHidden/>
          </w:rPr>
          <w:instrText xml:space="preserve"> PAGEREF _Toc528670860 \h </w:instrText>
        </w:r>
        <w:r w:rsidR="00CD5F2B">
          <w:rPr>
            <w:webHidden/>
          </w:rPr>
        </w:r>
        <w:r w:rsidR="00CD5F2B">
          <w:rPr>
            <w:webHidden/>
          </w:rPr>
          <w:fldChar w:fldCharType="separate"/>
        </w:r>
        <w:r w:rsidR="00916712">
          <w:rPr>
            <w:webHidden/>
          </w:rPr>
          <w:t>3</w:t>
        </w:r>
        <w:r w:rsidR="00CD5F2B">
          <w:rPr>
            <w:webHidden/>
          </w:rPr>
          <w:fldChar w:fldCharType="end"/>
        </w:r>
      </w:hyperlink>
    </w:p>
    <w:p w14:paraId="17444F6E" w14:textId="67E8290B" w:rsidR="00CD5F2B" w:rsidRDefault="00F16E57">
      <w:pPr>
        <w:pStyle w:val="TOC2"/>
        <w:rPr>
          <w:rFonts w:asciiTheme="minorHAnsi" w:eastAsiaTheme="minorEastAsia" w:hAnsiTheme="minorHAnsi" w:cstheme="minorBidi"/>
          <w:sz w:val="22"/>
          <w:szCs w:val="22"/>
          <w:lang w:val="en-NZ" w:eastAsia="en-NZ"/>
        </w:rPr>
      </w:pPr>
      <w:hyperlink w:anchor="_Toc528670861" w:history="1">
        <w:r w:rsidR="00CD5F2B" w:rsidRPr="00596E22">
          <w:rPr>
            <w:rStyle w:val="Hyperlink"/>
          </w:rPr>
          <w:t>Section B: Summary Impacts: Benefits and costs</w:t>
        </w:r>
        <w:r w:rsidR="00CD5F2B">
          <w:rPr>
            <w:webHidden/>
          </w:rPr>
          <w:tab/>
        </w:r>
        <w:r w:rsidR="00CD5F2B">
          <w:rPr>
            <w:webHidden/>
          </w:rPr>
          <w:fldChar w:fldCharType="begin"/>
        </w:r>
        <w:r w:rsidR="00CD5F2B">
          <w:rPr>
            <w:webHidden/>
          </w:rPr>
          <w:instrText xml:space="preserve"> PAGEREF _Toc528670861 \h </w:instrText>
        </w:r>
        <w:r w:rsidR="00CD5F2B">
          <w:rPr>
            <w:webHidden/>
          </w:rPr>
        </w:r>
        <w:r w:rsidR="00CD5F2B">
          <w:rPr>
            <w:webHidden/>
          </w:rPr>
          <w:fldChar w:fldCharType="separate"/>
        </w:r>
        <w:r w:rsidR="00916712">
          <w:rPr>
            <w:webHidden/>
          </w:rPr>
          <w:t>4</w:t>
        </w:r>
        <w:r w:rsidR="00CD5F2B">
          <w:rPr>
            <w:webHidden/>
          </w:rPr>
          <w:fldChar w:fldCharType="end"/>
        </w:r>
      </w:hyperlink>
    </w:p>
    <w:p w14:paraId="32A7FC23" w14:textId="44B4256B" w:rsidR="00CD5F2B" w:rsidRDefault="00F16E57">
      <w:pPr>
        <w:pStyle w:val="TOC2"/>
        <w:rPr>
          <w:rFonts w:asciiTheme="minorHAnsi" w:eastAsiaTheme="minorEastAsia" w:hAnsiTheme="minorHAnsi" w:cstheme="minorBidi"/>
          <w:sz w:val="22"/>
          <w:szCs w:val="22"/>
          <w:lang w:val="en-NZ" w:eastAsia="en-NZ"/>
        </w:rPr>
      </w:pPr>
      <w:hyperlink w:anchor="_Toc528670862" w:history="1">
        <w:r w:rsidR="00CD5F2B" w:rsidRPr="00596E22">
          <w:rPr>
            <w:rStyle w:val="Hyperlink"/>
          </w:rPr>
          <w:t>Section C: Evidence certainty and quality assurance</w:t>
        </w:r>
        <w:r w:rsidR="00CD5F2B">
          <w:rPr>
            <w:webHidden/>
          </w:rPr>
          <w:tab/>
        </w:r>
        <w:r w:rsidR="00CD5F2B">
          <w:rPr>
            <w:webHidden/>
          </w:rPr>
          <w:fldChar w:fldCharType="begin"/>
        </w:r>
        <w:r w:rsidR="00CD5F2B">
          <w:rPr>
            <w:webHidden/>
          </w:rPr>
          <w:instrText xml:space="preserve"> PAGEREF _Toc528670862 \h </w:instrText>
        </w:r>
        <w:r w:rsidR="00CD5F2B">
          <w:rPr>
            <w:webHidden/>
          </w:rPr>
        </w:r>
        <w:r w:rsidR="00CD5F2B">
          <w:rPr>
            <w:webHidden/>
          </w:rPr>
          <w:fldChar w:fldCharType="separate"/>
        </w:r>
        <w:r w:rsidR="00916712">
          <w:rPr>
            <w:webHidden/>
          </w:rPr>
          <w:t>8</w:t>
        </w:r>
        <w:r w:rsidR="00CD5F2B">
          <w:rPr>
            <w:webHidden/>
          </w:rPr>
          <w:fldChar w:fldCharType="end"/>
        </w:r>
      </w:hyperlink>
    </w:p>
    <w:p w14:paraId="7180A7FF" w14:textId="0F0AE84D" w:rsidR="00CD5F2B" w:rsidRDefault="0057663B">
      <w:pPr>
        <w:pStyle w:val="TOC1"/>
        <w:rPr>
          <w:rFonts w:asciiTheme="minorHAnsi" w:eastAsiaTheme="minorEastAsia" w:hAnsiTheme="minorHAnsi" w:cstheme="minorBidi"/>
          <w:bCs w:val="0"/>
          <w:sz w:val="22"/>
          <w:szCs w:val="22"/>
          <w:lang w:val="en-NZ" w:eastAsia="en-NZ"/>
        </w:rPr>
      </w:pPr>
      <w:hyperlink w:anchor="_Toc528670863" w:history="1">
        <w:r w:rsidR="00CD5F2B" w:rsidRPr="00596E22">
          <w:rPr>
            <w:rStyle w:val="Hyperlink"/>
          </w:rPr>
          <w:t>Impact Statement: Phasing out single-use plastic shopping bags</w:t>
        </w:r>
        <w:r w:rsidR="00CD5F2B">
          <w:rPr>
            <w:webHidden/>
          </w:rPr>
          <w:tab/>
        </w:r>
        <w:r w:rsidR="00CD5F2B">
          <w:rPr>
            <w:webHidden/>
          </w:rPr>
          <w:fldChar w:fldCharType="begin"/>
        </w:r>
        <w:r w:rsidR="00CD5F2B">
          <w:rPr>
            <w:webHidden/>
          </w:rPr>
          <w:instrText xml:space="preserve"> PAGEREF _Toc528670863 \h </w:instrText>
        </w:r>
        <w:r w:rsidR="00CD5F2B">
          <w:rPr>
            <w:webHidden/>
          </w:rPr>
        </w:r>
        <w:r w:rsidR="00CD5F2B">
          <w:rPr>
            <w:webHidden/>
          </w:rPr>
          <w:fldChar w:fldCharType="separate"/>
        </w:r>
        <w:r w:rsidR="00916712">
          <w:rPr>
            <w:webHidden/>
          </w:rPr>
          <w:t>9</w:t>
        </w:r>
        <w:r w:rsidR="00CD5F2B">
          <w:rPr>
            <w:webHidden/>
          </w:rPr>
          <w:fldChar w:fldCharType="end"/>
        </w:r>
      </w:hyperlink>
    </w:p>
    <w:p w14:paraId="6FB9E74E" w14:textId="1F39FFC9" w:rsidR="00CD5F2B" w:rsidRDefault="00F16E57">
      <w:pPr>
        <w:pStyle w:val="TOC2"/>
        <w:rPr>
          <w:rFonts w:asciiTheme="minorHAnsi" w:eastAsiaTheme="minorEastAsia" w:hAnsiTheme="minorHAnsi" w:cstheme="minorBidi"/>
          <w:sz w:val="22"/>
          <w:szCs w:val="22"/>
          <w:lang w:val="en-NZ" w:eastAsia="en-NZ"/>
        </w:rPr>
      </w:pPr>
      <w:hyperlink w:anchor="_Toc528670864" w:history="1">
        <w:r w:rsidR="00CD5F2B" w:rsidRPr="00596E22">
          <w:rPr>
            <w:rStyle w:val="Hyperlink"/>
          </w:rPr>
          <w:t>Section 1: General information</w:t>
        </w:r>
        <w:r w:rsidR="00CD5F2B">
          <w:rPr>
            <w:webHidden/>
          </w:rPr>
          <w:tab/>
        </w:r>
        <w:r w:rsidR="00CD5F2B">
          <w:rPr>
            <w:webHidden/>
          </w:rPr>
          <w:fldChar w:fldCharType="begin"/>
        </w:r>
        <w:r w:rsidR="00CD5F2B">
          <w:rPr>
            <w:webHidden/>
          </w:rPr>
          <w:instrText xml:space="preserve"> PAGEREF _Toc528670864 \h </w:instrText>
        </w:r>
        <w:r w:rsidR="00CD5F2B">
          <w:rPr>
            <w:webHidden/>
          </w:rPr>
        </w:r>
        <w:r w:rsidR="00CD5F2B">
          <w:rPr>
            <w:webHidden/>
          </w:rPr>
          <w:fldChar w:fldCharType="separate"/>
        </w:r>
        <w:r w:rsidR="00916712">
          <w:rPr>
            <w:webHidden/>
          </w:rPr>
          <w:t>9</w:t>
        </w:r>
        <w:r w:rsidR="00CD5F2B">
          <w:rPr>
            <w:webHidden/>
          </w:rPr>
          <w:fldChar w:fldCharType="end"/>
        </w:r>
      </w:hyperlink>
    </w:p>
    <w:p w14:paraId="49EB9D56" w14:textId="0E9DFAE5" w:rsidR="00CD5F2B" w:rsidRDefault="00F16E57">
      <w:pPr>
        <w:pStyle w:val="TOC2"/>
        <w:rPr>
          <w:rFonts w:asciiTheme="minorHAnsi" w:eastAsiaTheme="minorEastAsia" w:hAnsiTheme="minorHAnsi" w:cstheme="minorBidi"/>
          <w:sz w:val="22"/>
          <w:szCs w:val="22"/>
          <w:lang w:val="en-NZ" w:eastAsia="en-NZ"/>
        </w:rPr>
      </w:pPr>
      <w:hyperlink w:anchor="_Toc528670865" w:history="1">
        <w:r w:rsidR="00CD5F2B" w:rsidRPr="00596E22">
          <w:rPr>
            <w:rStyle w:val="Hyperlink"/>
          </w:rPr>
          <w:t>Section 2: Problem definition and objectives</w:t>
        </w:r>
        <w:r w:rsidR="00CD5F2B">
          <w:rPr>
            <w:webHidden/>
          </w:rPr>
          <w:tab/>
        </w:r>
        <w:r w:rsidR="00CD5F2B">
          <w:rPr>
            <w:webHidden/>
          </w:rPr>
          <w:fldChar w:fldCharType="begin"/>
        </w:r>
        <w:r w:rsidR="00CD5F2B">
          <w:rPr>
            <w:webHidden/>
          </w:rPr>
          <w:instrText xml:space="preserve"> PAGEREF _Toc528670865 \h </w:instrText>
        </w:r>
        <w:r w:rsidR="00CD5F2B">
          <w:rPr>
            <w:webHidden/>
          </w:rPr>
        </w:r>
        <w:r w:rsidR="00CD5F2B">
          <w:rPr>
            <w:webHidden/>
          </w:rPr>
          <w:fldChar w:fldCharType="separate"/>
        </w:r>
        <w:r w:rsidR="00916712">
          <w:rPr>
            <w:webHidden/>
          </w:rPr>
          <w:t>10</w:t>
        </w:r>
        <w:r w:rsidR="00CD5F2B">
          <w:rPr>
            <w:webHidden/>
          </w:rPr>
          <w:fldChar w:fldCharType="end"/>
        </w:r>
      </w:hyperlink>
    </w:p>
    <w:p w14:paraId="10122AC7" w14:textId="14C5B9E3" w:rsidR="00CD5F2B" w:rsidRDefault="00F16E57">
      <w:pPr>
        <w:pStyle w:val="TOC2"/>
        <w:rPr>
          <w:rFonts w:asciiTheme="minorHAnsi" w:eastAsiaTheme="minorEastAsia" w:hAnsiTheme="minorHAnsi" w:cstheme="minorBidi"/>
          <w:sz w:val="22"/>
          <w:szCs w:val="22"/>
          <w:lang w:val="en-NZ" w:eastAsia="en-NZ"/>
        </w:rPr>
      </w:pPr>
      <w:hyperlink w:anchor="_Toc528670872" w:history="1">
        <w:r w:rsidR="00CD5F2B" w:rsidRPr="00596E22">
          <w:rPr>
            <w:rStyle w:val="Hyperlink"/>
          </w:rPr>
          <w:t>Section 3: Options identification</w:t>
        </w:r>
        <w:r w:rsidR="00CD5F2B">
          <w:rPr>
            <w:webHidden/>
          </w:rPr>
          <w:tab/>
        </w:r>
        <w:r w:rsidR="00CD5F2B">
          <w:rPr>
            <w:webHidden/>
          </w:rPr>
          <w:fldChar w:fldCharType="begin"/>
        </w:r>
        <w:r w:rsidR="00CD5F2B">
          <w:rPr>
            <w:webHidden/>
          </w:rPr>
          <w:instrText xml:space="preserve"> PAGEREF _Toc528670872 \h </w:instrText>
        </w:r>
        <w:r w:rsidR="00CD5F2B">
          <w:rPr>
            <w:webHidden/>
          </w:rPr>
        </w:r>
        <w:r w:rsidR="00CD5F2B">
          <w:rPr>
            <w:webHidden/>
          </w:rPr>
          <w:fldChar w:fldCharType="separate"/>
        </w:r>
        <w:r w:rsidR="00916712">
          <w:rPr>
            <w:webHidden/>
          </w:rPr>
          <w:t>16</w:t>
        </w:r>
        <w:r w:rsidR="00CD5F2B">
          <w:rPr>
            <w:webHidden/>
          </w:rPr>
          <w:fldChar w:fldCharType="end"/>
        </w:r>
      </w:hyperlink>
    </w:p>
    <w:p w14:paraId="23FFC42D" w14:textId="4AB416D0" w:rsidR="00CD5F2B" w:rsidRDefault="00F16E57">
      <w:pPr>
        <w:pStyle w:val="TOC2"/>
        <w:rPr>
          <w:rFonts w:asciiTheme="minorHAnsi" w:eastAsiaTheme="minorEastAsia" w:hAnsiTheme="minorHAnsi" w:cstheme="minorBidi"/>
          <w:sz w:val="22"/>
          <w:szCs w:val="22"/>
          <w:lang w:val="en-NZ" w:eastAsia="en-NZ"/>
        </w:rPr>
      </w:pPr>
      <w:hyperlink w:anchor="_Toc528670873" w:history="1">
        <w:r w:rsidR="00CD5F2B" w:rsidRPr="00596E22">
          <w:rPr>
            <w:rStyle w:val="Hyperlink"/>
          </w:rPr>
          <w:t>Section 4: Coverage and timeframe identification</w:t>
        </w:r>
        <w:r w:rsidR="00CD5F2B">
          <w:rPr>
            <w:webHidden/>
          </w:rPr>
          <w:tab/>
        </w:r>
        <w:r w:rsidR="00CD5F2B">
          <w:rPr>
            <w:webHidden/>
          </w:rPr>
          <w:fldChar w:fldCharType="begin"/>
        </w:r>
        <w:r w:rsidR="00CD5F2B">
          <w:rPr>
            <w:webHidden/>
          </w:rPr>
          <w:instrText xml:space="preserve"> PAGEREF _Toc528670873 \h </w:instrText>
        </w:r>
        <w:r w:rsidR="00CD5F2B">
          <w:rPr>
            <w:webHidden/>
          </w:rPr>
        </w:r>
        <w:r w:rsidR="00CD5F2B">
          <w:rPr>
            <w:webHidden/>
          </w:rPr>
          <w:fldChar w:fldCharType="separate"/>
        </w:r>
        <w:r w:rsidR="00916712">
          <w:rPr>
            <w:webHidden/>
          </w:rPr>
          <w:t>17</w:t>
        </w:r>
        <w:r w:rsidR="00CD5F2B">
          <w:rPr>
            <w:webHidden/>
          </w:rPr>
          <w:fldChar w:fldCharType="end"/>
        </w:r>
      </w:hyperlink>
    </w:p>
    <w:p w14:paraId="027E47D2" w14:textId="16D9FA8D" w:rsidR="00CD5F2B" w:rsidRDefault="00F16E57">
      <w:pPr>
        <w:pStyle w:val="TOC2"/>
        <w:rPr>
          <w:rFonts w:asciiTheme="minorHAnsi" w:eastAsiaTheme="minorEastAsia" w:hAnsiTheme="minorHAnsi" w:cstheme="minorBidi"/>
          <w:sz w:val="22"/>
          <w:szCs w:val="22"/>
          <w:lang w:val="en-NZ" w:eastAsia="en-NZ"/>
        </w:rPr>
      </w:pPr>
      <w:hyperlink w:anchor="_Toc528670877" w:history="1">
        <w:r w:rsidR="00CD5F2B" w:rsidRPr="00596E22">
          <w:rPr>
            <w:rStyle w:val="Hyperlink"/>
          </w:rPr>
          <w:t>Section 5: Conclusions</w:t>
        </w:r>
        <w:r w:rsidR="00CD5F2B">
          <w:rPr>
            <w:webHidden/>
          </w:rPr>
          <w:tab/>
        </w:r>
        <w:r w:rsidR="00CD5F2B">
          <w:rPr>
            <w:webHidden/>
          </w:rPr>
          <w:fldChar w:fldCharType="begin"/>
        </w:r>
        <w:r w:rsidR="00CD5F2B">
          <w:rPr>
            <w:webHidden/>
          </w:rPr>
          <w:instrText xml:space="preserve"> PAGEREF _Toc528670877 \h </w:instrText>
        </w:r>
        <w:r w:rsidR="00CD5F2B">
          <w:rPr>
            <w:webHidden/>
          </w:rPr>
        </w:r>
        <w:r w:rsidR="00CD5F2B">
          <w:rPr>
            <w:webHidden/>
          </w:rPr>
          <w:fldChar w:fldCharType="separate"/>
        </w:r>
        <w:r w:rsidR="00916712">
          <w:rPr>
            <w:webHidden/>
          </w:rPr>
          <w:t>24</w:t>
        </w:r>
        <w:r w:rsidR="00CD5F2B">
          <w:rPr>
            <w:webHidden/>
          </w:rPr>
          <w:fldChar w:fldCharType="end"/>
        </w:r>
      </w:hyperlink>
    </w:p>
    <w:p w14:paraId="6C117D7B" w14:textId="75BB12E0" w:rsidR="00CD5F2B" w:rsidRDefault="00F16E57">
      <w:pPr>
        <w:pStyle w:val="TOC2"/>
        <w:rPr>
          <w:rFonts w:asciiTheme="minorHAnsi" w:eastAsiaTheme="minorEastAsia" w:hAnsiTheme="minorHAnsi" w:cstheme="minorBidi"/>
          <w:sz w:val="22"/>
          <w:szCs w:val="22"/>
          <w:lang w:val="en-NZ" w:eastAsia="en-NZ"/>
        </w:rPr>
      </w:pPr>
      <w:hyperlink w:anchor="_Toc528670882" w:history="1">
        <w:r w:rsidR="00CD5F2B" w:rsidRPr="00596E22">
          <w:rPr>
            <w:rStyle w:val="Hyperlink"/>
          </w:rPr>
          <w:t>Section 6:  Implementation and operation</w:t>
        </w:r>
        <w:r w:rsidR="00CD5F2B">
          <w:rPr>
            <w:webHidden/>
          </w:rPr>
          <w:tab/>
        </w:r>
        <w:r w:rsidR="00CD5F2B">
          <w:rPr>
            <w:webHidden/>
          </w:rPr>
          <w:fldChar w:fldCharType="begin"/>
        </w:r>
        <w:r w:rsidR="00CD5F2B">
          <w:rPr>
            <w:webHidden/>
          </w:rPr>
          <w:instrText xml:space="preserve"> PAGEREF _Toc528670882 \h </w:instrText>
        </w:r>
        <w:r w:rsidR="00CD5F2B">
          <w:rPr>
            <w:webHidden/>
          </w:rPr>
        </w:r>
        <w:r w:rsidR="00CD5F2B">
          <w:rPr>
            <w:webHidden/>
          </w:rPr>
          <w:fldChar w:fldCharType="separate"/>
        </w:r>
        <w:r w:rsidR="00916712">
          <w:rPr>
            <w:webHidden/>
          </w:rPr>
          <w:t>27</w:t>
        </w:r>
        <w:r w:rsidR="00CD5F2B">
          <w:rPr>
            <w:webHidden/>
          </w:rPr>
          <w:fldChar w:fldCharType="end"/>
        </w:r>
      </w:hyperlink>
    </w:p>
    <w:p w14:paraId="25305E4E" w14:textId="47A91929" w:rsidR="00CD5F2B" w:rsidRDefault="00F16E57">
      <w:pPr>
        <w:pStyle w:val="TOC2"/>
        <w:rPr>
          <w:rFonts w:asciiTheme="minorHAnsi" w:eastAsiaTheme="minorEastAsia" w:hAnsiTheme="minorHAnsi" w:cstheme="minorBidi"/>
          <w:sz w:val="22"/>
          <w:szCs w:val="22"/>
          <w:lang w:val="en-NZ" w:eastAsia="en-NZ"/>
        </w:rPr>
      </w:pPr>
      <w:hyperlink w:anchor="_Toc528670885" w:history="1">
        <w:r w:rsidR="00CD5F2B" w:rsidRPr="00596E22">
          <w:rPr>
            <w:rStyle w:val="Hyperlink"/>
          </w:rPr>
          <w:t>Section 7:  Monitoring, evaluation and review</w:t>
        </w:r>
        <w:r w:rsidR="00CD5F2B">
          <w:rPr>
            <w:webHidden/>
          </w:rPr>
          <w:tab/>
        </w:r>
        <w:r w:rsidR="00CD5F2B">
          <w:rPr>
            <w:webHidden/>
          </w:rPr>
          <w:fldChar w:fldCharType="begin"/>
        </w:r>
        <w:r w:rsidR="00CD5F2B">
          <w:rPr>
            <w:webHidden/>
          </w:rPr>
          <w:instrText xml:space="preserve"> PAGEREF _Toc528670885 \h </w:instrText>
        </w:r>
        <w:r w:rsidR="00CD5F2B">
          <w:rPr>
            <w:webHidden/>
          </w:rPr>
        </w:r>
        <w:r w:rsidR="00CD5F2B">
          <w:rPr>
            <w:webHidden/>
          </w:rPr>
          <w:fldChar w:fldCharType="separate"/>
        </w:r>
        <w:r w:rsidR="00916712">
          <w:rPr>
            <w:webHidden/>
          </w:rPr>
          <w:t>29</w:t>
        </w:r>
        <w:r w:rsidR="00CD5F2B">
          <w:rPr>
            <w:webHidden/>
          </w:rPr>
          <w:fldChar w:fldCharType="end"/>
        </w:r>
      </w:hyperlink>
    </w:p>
    <w:p w14:paraId="639531AF" w14:textId="4200508A" w:rsidR="00CD5F2B" w:rsidRDefault="00F16E57">
      <w:pPr>
        <w:pStyle w:val="TOC1"/>
        <w:rPr>
          <w:rFonts w:asciiTheme="minorHAnsi" w:eastAsiaTheme="minorEastAsia" w:hAnsiTheme="minorHAnsi" w:cstheme="minorBidi"/>
          <w:bCs w:val="0"/>
          <w:sz w:val="22"/>
          <w:szCs w:val="22"/>
          <w:lang w:val="en-NZ" w:eastAsia="en-NZ"/>
        </w:rPr>
      </w:pPr>
      <w:hyperlink w:anchor="_Toc528670888" w:history="1">
        <w:r w:rsidR="00CD5F2B" w:rsidRPr="00596E22">
          <w:rPr>
            <w:rStyle w:val="Hyperlink"/>
          </w:rPr>
          <w:t>Appendix: Excerpt from public consultation document on proposed mandatory phase out of single-use plastic shopping bags</w:t>
        </w:r>
        <w:r w:rsidR="00CD5F2B">
          <w:rPr>
            <w:webHidden/>
          </w:rPr>
          <w:tab/>
        </w:r>
        <w:r w:rsidR="00CD5F2B">
          <w:rPr>
            <w:webHidden/>
          </w:rPr>
          <w:fldChar w:fldCharType="begin"/>
        </w:r>
        <w:r w:rsidR="00CD5F2B">
          <w:rPr>
            <w:webHidden/>
          </w:rPr>
          <w:instrText xml:space="preserve"> PAGEREF _Toc528670888 \h </w:instrText>
        </w:r>
        <w:r w:rsidR="00CD5F2B">
          <w:rPr>
            <w:webHidden/>
          </w:rPr>
        </w:r>
        <w:r w:rsidR="00CD5F2B">
          <w:rPr>
            <w:webHidden/>
          </w:rPr>
          <w:fldChar w:fldCharType="separate"/>
        </w:r>
        <w:r w:rsidR="00916712">
          <w:rPr>
            <w:webHidden/>
          </w:rPr>
          <w:t>31</w:t>
        </w:r>
        <w:r w:rsidR="00CD5F2B">
          <w:rPr>
            <w:webHidden/>
          </w:rPr>
          <w:fldChar w:fldCharType="end"/>
        </w:r>
      </w:hyperlink>
    </w:p>
    <w:p w14:paraId="6D9FE236" w14:textId="3C1739DE" w:rsidR="00CD5F2B" w:rsidRDefault="00CD5F2B">
      <w:pPr>
        <w:pStyle w:val="TOC1"/>
        <w:rPr>
          <w:rFonts w:asciiTheme="minorHAnsi" w:eastAsiaTheme="minorEastAsia" w:hAnsiTheme="minorHAnsi" w:cstheme="minorBidi"/>
          <w:bCs w:val="0"/>
          <w:sz w:val="22"/>
          <w:szCs w:val="22"/>
          <w:lang w:val="en-NZ" w:eastAsia="en-NZ"/>
        </w:rPr>
      </w:pPr>
    </w:p>
    <w:p w14:paraId="46ECF1D2" w14:textId="4817363A" w:rsidR="007B771C" w:rsidRDefault="007B771C" w:rsidP="007B771C">
      <w:r>
        <w:rPr>
          <w:b/>
          <w:bCs/>
          <w:noProof/>
        </w:rPr>
        <w:fldChar w:fldCharType="end"/>
      </w:r>
    </w:p>
    <w:p w14:paraId="0B05E906" w14:textId="77777777" w:rsidR="007B771C" w:rsidRDefault="007B771C" w:rsidP="007B771C"/>
    <w:p w14:paraId="7CC9410D" w14:textId="77777777" w:rsidR="007B771C" w:rsidRDefault="007B771C" w:rsidP="007B771C"/>
    <w:p w14:paraId="4FD18090" w14:textId="77777777" w:rsidR="007B771C" w:rsidRDefault="007B771C" w:rsidP="007B771C"/>
    <w:p w14:paraId="333E036F" w14:textId="77777777" w:rsidR="007B771C" w:rsidRDefault="007B771C" w:rsidP="007B771C"/>
    <w:p w14:paraId="6D167B1C" w14:textId="77777777" w:rsidR="007B771C" w:rsidRDefault="007B771C" w:rsidP="007B771C"/>
    <w:p w14:paraId="127DCD72" w14:textId="77777777" w:rsidR="007B771C" w:rsidRDefault="007B771C" w:rsidP="007B771C"/>
    <w:p w14:paraId="7F3F5405" w14:textId="77777777" w:rsidR="007B771C" w:rsidRDefault="007B771C" w:rsidP="007B771C"/>
    <w:p w14:paraId="3B873A34" w14:textId="77777777" w:rsidR="007B771C" w:rsidRDefault="007B771C" w:rsidP="007B771C"/>
    <w:p w14:paraId="4DD0B66E" w14:textId="77777777" w:rsidR="007B771C" w:rsidRDefault="007B771C" w:rsidP="007B771C"/>
    <w:p w14:paraId="5AF3761F" w14:textId="77777777" w:rsidR="007B771C" w:rsidRDefault="007B771C" w:rsidP="007B771C"/>
    <w:p w14:paraId="49076D23" w14:textId="77777777" w:rsidR="007B771C" w:rsidRDefault="007B771C" w:rsidP="007B771C"/>
    <w:p w14:paraId="439B5CE4" w14:textId="08F67FE1" w:rsidR="007B771C" w:rsidRPr="0005691A" w:rsidRDefault="007B771C" w:rsidP="007C039F">
      <w:pPr>
        <w:pStyle w:val="Heading2"/>
      </w:pPr>
      <w:bookmarkStart w:id="3" w:name="_Toc528670860"/>
      <w:r>
        <w:t>Summary: Problem and Proposed Approach</w:t>
      </w:r>
      <w:bookmarkEnd w:id="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7B771C" w:rsidRPr="007B090A" w14:paraId="6080CFE3" w14:textId="77777777" w:rsidTr="00E4249A">
        <w:trPr>
          <w:trHeight w:val="214"/>
        </w:trPr>
        <w:tc>
          <w:tcPr>
            <w:tcW w:w="8493" w:type="dxa"/>
            <w:shd w:val="clear" w:color="auto" w:fill="99CDDD"/>
          </w:tcPr>
          <w:p w14:paraId="3A476880" w14:textId="7F58A7E9" w:rsidR="007B771C" w:rsidRPr="007B090A" w:rsidRDefault="00C46DB6" w:rsidP="009D7E46">
            <w:pPr>
              <w:keepNext/>
              <w:spacing w:before="60" w:after="60" w:line="276" w:lineRule="auto"/>
              <w:rPr>
                <w:b/>
                <w:szCs w:val="22"/>
              </w:rPr>
            </w:pPr>
            <w:r>
              <w:rPr>
                <w:b/>
                <w:szCs w:val="22"/>
              </w:rPr>
              <w:t>Problem Definition</w:t>
            </w:r>
          </w:p>
        </w:tc>
      </w:tr>
    </w:tbl>
    <w:p w14:paraId="34F237A3" w14:textId="32D9A6F0" w:rsidR="00E4249A" w:rsidRDefault="00E4249A" w:rsidP="00E4249A">
      <w:pPr>
        <w:spacing w:before="120"/>
      </w:pPr>
      <w:r>
        <w:t xml:space="preserve">Single-use plastic shopping bags have a negative impact on the environment at end of life. When inappropriately disposed of, these lightweight bags can easily be blown into freshwater and marine environments, where they can be a hazard to wildlife for decades and become harmful </w:t>
      </w:r>
      <w:proofErr w:type="spellStart"/>
      <w:r>
        <w:t>microplastics</w:t>
      </w:r>
      <w:proofErr w:type="spellEnd"/>
      <w:r>
        <w:t xml:space="preserve"> in the food chain.</w:t>
      </w:r>
    </w:p>
    <w:p w14:paraId="4B4D3EE8" w14:textId="6193CC3A" w:rsidR="00E4249A" w:rsidRDefault="00E4249A" w:rsidP="00E4249A">
      <w:pPr>
        <w:spacing w:before="120"/>
      </w:pPr>
      <w:r>
        <w:t xml:space="preserve">The prevalence of single-use plastic shopping bags has been encouraged by the common retail practice of </w:t>
      </w:r>
      <w:r w:rsidR="00822129">
        <w:t xml:space="preserve">providing </w:t>
      </w:r>
      <w:r>
        <w:t xml:space="preserve">the bags free of charge. Consequently the cost is borne by all shoppers, including those who bring multi-use bags. Convenient and free access to single-use plastic shopping bags encourages and reinforces </w:t>
      </w:r>
      <w:r w:rsidRPr="00E4249A">
        <w:t>linear resource thinking</w:t>
      </w:r>
      <w:r>
        <w:t xml:space="preserve"> and behaviour and consequent inefficient use of natural resources.</w:t>
      </w:r>
      <w:r>
        <w:rPr>
          <w:rStyle w:val="FootnoteReference"/>
        </w:rPr>
        <w:footnoteReference w:id="1"/>
      </w:r>
      <w:r>
        <w:t xml:space="preserve"> </w:t>
      </w:r>
    </w:p>
    <w:p w14:paraId="4D59281C" w14:textId="7D3C8CC7" w:rsidR="001F2CE0" w:rsidRDefault="00E4249A" w:rsidP="00E4249A">
      <w:r>
        <w:t>The money New Zealand spends on single-use plastic shopping bags results in only a temporary consumer benefit, and contribut</w:t>
      </w:r>
      <w:r w:rsidR="007121D2">
        <w:t>es</w:t>
      </w:r>
      <w:r>
        <w:t xml:space="preserve"> to long-lasting environmental problems. </w:t>
      </w:r>
      <w:r w:rsidR="007121D2">
        <w:t xml:space="preserve">The current ‘throwaway culture’ of the linear economy also occurs </w:t>
      </w:r>
      <w:r>
        <w:t xml:space="preserve">at a much larger scale in other New Zealand economic sectors. Single-use plastic shopping bags are an easily addressed example of </w:t>
      </w:r>
      <w:r w:rsidR="007121D2">
        <w:t>this broader culture</w:t>
      </w:r>
      <w:r>
        <w:t xml:space="preserve">. </w:t>
      </w:r>
      <w:r w:rsidR="000A19B8">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F2CE0" w:rsidRPr="007B090A" w14:paraId="5CEE1001" w14:textId="77777777" w:rsidTr="001F2CE0">
        <w:trPr>
          <w:trHeight w:val="291"/>
        </w:trPr>
        <w:tc>
          <w:tcPr>
            <w:tcW w:w="9067" w:type="dxa"/>
            <w:tcBorders>
              <w:top w:val="single" w:sz="4" w:space="0" w:color="auto"/>
              <w:left w:val="single" w:sz="4" w:space="0" w:color="auto"/>
              <w:bottom w:val="single" w:sz="4" w:space="0" w:color="auto"/>
              <w:right w:val="single" w:sz="4" w:space="0" w:color="auto"/>
            </w:tcBorders>
            <w:shd w:val="clear" w:color="auto" w:fill="99CDDD"/>
          </w:tcPr>
          <w:p w14:paraId="70648FD0" w14:textId="77777777" w:rsidR="001F2CE0" w:rsidRDefault="001F2CE0" w:rsidP="001F2CE0">
            <w:pPr>
              <w:spacing w:before="60" w:after="60" w:line="276" w:lineRule="auto"/>
              <w:rPr>
                <w:b/>
                <w:szCs w:val="22"/>
              </w:rPr>
            </w:pPr>
            <w:r w:rsidRPr="009C4129">
              <w:rPr>
                <w:rFonts w:cs="Arial"/>
                <w:b/>
                <w:szCs w:val="22"/>
              </w:rPr>
              <w:t xml:space="preserve">Key Limitations or Constraints on </w:t>
            </w:r>
            <w:r>
              <w:rPr>
                <w:rFonts w:cs="Arial"/>
                <w:b/>
                <w:szCs w:val="22"/>
              </w:rPr>
              <w:t xml:space="preserve">this </w:t>
            </w:r>
            <w:r w:rsidRPr="009C4129">
              <w:rPr>
                <w:rFonts w:cs="Arial"/>
                <w:b/>
                <w:szCs w:val="22"/>
              </w:rPr>
              <w:t>Analysis</w:t>
            </w:r>
          </w:p>
        </w:tc>
      </w:tr>
    </w:tbl>
    <w:p w14:paraId="33E8D081" w14:textId="77777777" w:rsidR="001F2CE0" w:rsidRDefault="001F2CE0" w:rsidP="00746D82">
      <w:pPr>
        <w:spacing w:before="120"/>
        <w:rPr>
          <w:rFonts w:eastAsia="Calibri" w:cs="Arial"/>
          <w:szCs w:val="22"/>
          <w:lang w:val="en-NZ" w:eastAsia="en-NZ"/>
        </w:rPr>
      </w:pPr>
      <w:r w:rsidRPr="00283030">
        <w:rPr>
          <w:rFonts w:eastAsia="Calibri" w:cs="Arial"/>
          <w:szCs w:val="22"/>
          <w:lang w:val="en-NZ" w:eastAsia="en-NZ"/>
        </w:rPr>
        <w:t xml:space="preserve">The scope for this RIS was determined by Cabinet, which </w:t>
      </w:r>
      <w:r>
        <w:rPr>
          <w:rFonts w:eastAsia="Calibri" w:cs="Arial"/>
          <w:szCs w:val="22"/>
          <w:lang w:val="en-NZ" w:eastAsia="en-NZ"/>
        </w:rPr>
        <w:t xml:space="preserve">has </w:t>
      </w:r>
      <w:r w:rsidRPr="00283030">
        <w:rPr>
          <w:rFonts w:eastAsia="Calibri" w:cs="Arial"/>
          <w:szCs w:val="22"/>
          <w:lang w:val="en-NZ" w:eastAsia="en-NZ"/>
        </w:rPr>
        <w:t>agreed in principle to a mandatory phase out of single-use plastic shopping bags</w:t>
      </w:r>
      <w:r>
        <w:rPr>
          <w:rFonts w:eastAsia="Calibri" w:cs="Arial"/>
          <w:szCs w:val="22"/>
          <w:lang w:val="en-NZ" w:eastAsia="en-NZ"/>
        </w:rPr>
        <w:t xml:space="preserve"> subject to the outcome of consultation</w:t>
      </w:r>
      <w:r w:rsidRPr="00283030">
        <w:rPr>
          <w:rFonts w:eastAsia="Calibri" w:cs="Arial"/>
          <w:szCs w:val="22"/>
          <w:lang w:val="en-NZ" w:eastAsia="en-NZ"/>
        </w:rPr>
        <w:t xml:space="preserve"> [</w:t>
      </w:r>
      <w:r w:rsidRPr="00970E6E">
        <w:rPr>
          <w:rFonts w:eastAsia="Calibri" w:cs="Arial"/>
          <w:bCs/>
          <w:szCs w:val="22"/>
          <w:lang w:val="en-NZ" w:eastAsia="en-NZ"/>
        </w:rPr>
        <w:t>CBC-18-MIN-0076</w:t>
      </w:r>
      <w:r w:rsidRPr="0086038E">
        <w:rPr>
          <w:rFonts w:eastAsia="Calibri" w:cs="Arial"/>
          <w:szCs w:val="22"/>
          <w:lang w:val="en-NZ" w:eastAsia="en-NZ"/>
        </w:rPr>
        <w:t xml:space="preserve"> </w:t>
      </w:r>
      <w:r w:rsidRPr="00283030">
        <w:rPr>
          <w:rFonts w:eastAsia="Calibri" w:cs="Arial"/>
          <w:szCs w:val="22"/>
          <w:lang w:val="en-NZ" w:eastAsia="en-NZ"/>
        </w:rPr>
        <w:t xml:space="preserve">refers]. </w:t>
      </w:r>
    </w:p>
    <w:p w14:paraId="0593AC0D" w14:textId="25799071" w:rsidR="003430C6" w:rsidRDefault="0026150E" w:rsidP="001F2CE0">
      <w:pPr>
        <w:rPr>
          <w:rFonts w:eastAsia="Calibri" w:cs="Arial"/>
          <w:szCs w:val="22"/>
          <w:lang w:val="en-NZ" w:eastAsia="en-NZ"/>
        </w:rPr>
      </w:pPr>
      <w:r>
        <w:rPr>
          <w:rFonts w:eastAsia="Calibri" w:cs="Arial"/>
          <w:szCs w:val="22"/>
          <w:lang w:val="en-NZ" w:eastAsia="en-NZ"/>
        </w:rPr>
        <w:t>P</w:t>
      </w:r>
      <w:r w:rsidR="003430C6">
        <w:rPr>
          <w:rFonts w:eastAsia="Calibri" w:cs="Arial"/>
          <w:szCs w:val="22"/>
          <w:lang w:val="en-NZ" w:eastAsia="en-NZ"/>
        </w:rPr>
        <w:t xml:space="preserve">ublic consultation took place </w:t>
      </w:r>
      <w:r w:rsidR="00041008">
        <w:rPr>
          <w:rFonts w:eastAsia="Calibri" w:cs="Arial"/>
          <w:szCs w:val="22"/>
          <w:lang w:val="en-NZ" w:eastAsia="en-NZ"/>
        </w:rPr>
        <w:t xml:space="preserve">from </w:t>
      </w:r>
      <w:r w:rsidR="003430C6">
        <w:rPr>
          <w:rFonts w:eastAsia="Calibri" w:cs="Arial"/>
          <w:szCs w:val="22"/>
          <w:lang w:val="en-NZ" w:eastAsia="en-NZ"/>
        </w:rPr>
        <w:t xml:space="preserve">10 August to 14 September 2018. </w:t>
      </w:r>
      <w:r w:rsidR="00642B25">
        <w:rPr>
          <w:rFonts w:eastAsia="Calibri" w:cs="Arial"/>
          <w:szCs w:val="22"/>
          <w:lang w:val="en-NZ" w:eastAsia="en-NZ"/>
        </w:rPr>
        <w:t>A</w:t>
      </w:r>
      <w:r w:rsidR="001F2CE0">
        <w:rPr>
          <w:rFonts w:eastAsia="Calibri" w:cs="Arial"/>
          <w:szCs w:val="22"/>
          <w:lang w:val="en-NZ" w:eastAsia="en-NZ"/>
        </w:rPr>
        <w:t xml:space="preserve"> clear majority of submissions </w:t>
      </w:r>
      <w:r w:rsidR="00DE7448">
        <w:t xml:space="preserve">(92 per cent) </w:t>
      </w:r>
      <w:r w:rsidR="001F2CE0">
        <w:rPr>
          <w:rFonts w:eastAsia="Calibri" w:cs="Arial"/>
          <w:szCs w:val="22"/>
          <w:lang w:val="en-NZ" w:eastAsia="en-NZ"/>
        </w:rPr>
        <w:t xml:space="preserve">agreed with the proposed mandatory phase out. </w:t>
      </w:r>
    </w:p>
    <w:p w14:paraId="0D3C1145" w14:textId="0175BB19" w:rsidR="00DE7448" w:rsidRDefault="001F2CE0" w:rsidP="00DE7448">
      <w:r w:rsidRPr="00283030">
        <w:rPr>
          <w:rFonts w:eastAsia="Calibri" w:cs="Arial"/>
          <w:szCs w:val="22"/>
          <w:lang w:val="en-NZ" w:eastAsia="en-NZ"/>
        </w:rPr>
        <w:t>Th</w:t>
      </w:r>
      <w:r>
        <w:rPr>
          <w:rFonts w:eastAsia="Calibri" w:cs="Arial"/>
          <w:szCs w:val="22"/>
          <w:lang w:val="en-NZ" w:eastAsia="en-NZ"/>
        </w:rPr>
        <w:t xml:space="preserve">is is an Implementation Regulatory Impact Statement. </w:t>
      </w:r>
      <w:r w:rsidR="00DE7448">
        <w:rPr>
          <w:rFonts w:eastAsia="Calibri" w:cs="Arial"/>
          <w:szCs w:val="22"/>
          <w:lang w:val="en-NZ" w:eastAsia="en-NZ"/>
        </w:rPr>
        <w:t xml:space="preserve">It considers </w:t>
      </w:r>
      <w:r w:rsidR="00DE7448">
        <w:t xml:space="preserve">additional information gathered from public consultation to assess the most appropriate implementation </w:t>
      </w:r>
      <w:r w:rsidR="00C005D1">
        <w:t>specifics</w:t>
      </w:r>
      <w:r w:rsidR="00DE7448">
        <w:t xml:space="preserve"> to best</w:t>
      </w:r>
      <w:r w:rsidR="00470E16">
        <w:t xml:space="preserve"> meet the objectives. These are:</w:t>
      </w:r>
    </w:p>
    <w:p w14:paraId="546F2D6D" w14:textId="77777777" w:rsidR="00DE7448" w:rsidRDefault="00DE7448" w:rsidP="00DE7448">
      <w:pPr>
        <w:pStyle w:val="ListParagraph"/>
        <w:numPr>
          <w:ilvl w:val="0"/>
          <w:numId w:val="39"/>
        </w:numPr>
      </w:pPr>
      <w:r>
        <w:t>how to define ‘single-use plastic shopping bags’ in regulation (</w:t>
      </w:r>
      <w:proofErr w:type="spellStart"/>
      <w:r>
        <w:t>eg</w:t>
      </w:r>
      <w:proofErr w:type="spellEnd"/>
      <w:r>
        <w:t>, materials and thickness) and any exemptions to this</w:t>
      </w:r>
    </w:p>
    <w:p w14:paraId="482E92A0" w14:textId="77777777" w:rsidR="00DE7448" w:rsidRDefault="00DE7448" w:rsidP="00DE7448">
      <w:pPr>
        <w:pStyle w:val="ListParagraph"/>
        <w:numPr>
          <w:ilvl w:val="0"/>
          <w:numId w:val="39"/>
        </w:numPr>
      </w:pPr>
      <w:r>
        <w:t>how widely the measure should be applied (all retailers or only larger retailers)</w:t>
      </w:r>
    </w:p>
    <w:p w14:paraId="3DBBF0C6" w14:textId="02F252E4" w:rsidR="003430C6" w:rsidRPr="00DE7448" w:rsidRDefault="00A07ABD" w:rsidP="00DE7448">
      <w:pPr>
        <w:pStyle w:val="ListParagraph"/>
        <w:numPr>
          <w:ilvl w:val="0"/>
          <w:numId w:val="39"/>
        </w:numPr>
      </w:pPr>
      <w:proofErr w:type="gramStart"/>
      <w:r>
        <w:t>commencement</w:t>
      </w:r>
      <w:proofErr w:type="gramEnd"/>
      <w:r>
        <w:t xml:space="preserve"> date </w:t>
      </w:r>
      <w:r w:rsidR="00DE7448" w:rsidRPr="00DE7448">
        <w:rPr>
          <w:rFonts w:cs="Arial"/>
          <w:szCs w:val="22"/>
        </w:rPr>
        <w:t>(</w:t>
      </w:r>
      <w:r w:rsidR="00C005D1">
        <w:rPr>
          <w:rFonts w:cs="Arial"/>
          <w:szCs w:val="22"/>
        </w:rPr>
        <w:t>when regulations take effect after</w:t>
      </w:r>
      <w:r w:rsidR="002D63A6" w:rsidRPr="00DE7448">
        <w:rPr>
          <w:rFonts w:cs="Arial"/>
          <w:szCs w:val="22"/>
        </w:rPr>
        <w:t xml:space="preserve"> </w:t>
      </w:r>
      <w:r w:rsidR="00DE7448" w:rsidRPr="00DE7448">
        <w:rPr>
          <w:rFonts w:cs="Arial"/>
          <w:szCs w:val="22"/>
        </w:rPr>
        <w:t>Gazettal)</w:t>
      </w:r>
      <w:r w:rsidR="00DE7448">
        <w:t>.</w:t>
      </w:r>
    </w:p>
    <w:p w14:paraId="6E109DF0" w14:textId="2E793683" w:rsidR="001F2CE0" w:rsidRPr="001F2CE0" w:rsidRDefault="000C04F4" w:rsidP="001F2CE0">
      <w:pPr>
        <w:rPr>
          <w:rFonts w:eastAsia="Calibri" w:cs="Arial"/>
          <w:szCs w:val="22"/>
          <w:lang w:val="en-NZ" w:eastAsia="en-NZ"/>
        </w:rPr>
      </w:pPr>
      <w:r>
        <w:rPr>
          <w:rFonts w:eastAsia="Calibri" w:cs="Arial"/>
          <w:szCs w:val="22"/>
          <w:lang w:val="en-NZ" w:eastAsia="en-NZ"/>
        </w:rPr>
        <w:t>The a</w:t>
      </w:r>
      <w:r w:rsidR="003430C6">
        <w:rPr>
          <w:rFonts w:eastAsia="Calibri" w:cs="Arial"/>
          <w:szCs w:val="22"/>
          <w:lang w:val="en-NZ" w:eastAsia="en-NZ"/>
        </w:rPr>
        <w:t xml:space="preserve">ppendix contains a summary of the assessment criteria used to assess six regulatory and non-regulatory options to arrive at the proposed measure. </w:t>
      </w:r>
      <w:r w:rsidR="002D63A6">
        <w:rPr>
          <w:rFonts w:eastAsia="Calibri" w:cs="Arial"/>
          <w:szCs w:val="22"/>
          <w:lang w:val="en-NZ" w:eastAsia="en-NZ"/>
        </w:rPr>
        <w:t xml:space="preserve">It </w:t>
      </w:r>
      <w:r w:rsidR="003430C6">
        <w:rPr>
          <w:rFonts w:eastAsia="Calibri" w:cs="Arial"/>
          <w:szCs w:val="22"/>
          <w:lang w:val="en-NZ" w:eastAsia="en-NZ"/>
        </w:rPr>
        <w:t>was published in the consultation document in August 2018.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9001D" w:rsidRPr="007B090A" w14:paraId="12A92C52" w14:textId="77777777" w:rsidTr="00C9001D">
        <w:trPr>
          <w:trHeight w:val="291"/>
        </w:trPr>
        <w:tc>
          <w:tcPr>
            <w:tcW w:w="9067" w:type="dxa"/>
            <w:tcBorders>
              <w:top w:val="single" w:sz="4" w:space="0" w:color="auto"/>
              <w:left w:val="single" w:sz="4" w:space="0" w:color="auto"/>
              <w:bottom w:val="single" w:sz="4" w:space="0" w:color="auto"/>
              <w:right w:val="single" w:sz="4" w:space="0" w:color="auto"/>
            </w:tcBorders>
            <w:shd w:val="clear" w:color="auto" w:fill="99CDDD"/>
          </w:tcPr>
          <w:p w14:paraId="0E88015E" w14:textId="1F45DB18" w:rsidR="00C9001D" w:rsidRPr="007B090A" w:rsidRDefault="008826B8" w:rsidP="003F2B81">
            <w:pPr>
              <w:spacing w:before="60" w:after="60" w:line="276" w:lineRule="auto"/>
              <w:rPr>
                <w:b/>
                <w:szCs w:val="22"/>
              </w:rPr>
            </w:pPr>
            <w:r>
              <w:rPr>
                <w:b/>
                <w:szCs w:val="22"/>
              </w:rPr>
              <w:t xml:space="preserve">Scope: </w:t>
            </w:r>
            <w:r w:rsidR="00C9001D">
              <w:rPr>
                <w:b/>
                <w:szCs w:val="22"/>
              </w:rPr>
              <w:t>si</w:t>
            </w:r>
            <w:r w:rsidR="00090C43">
              <w:rPr>
                <w:b/>
                <w:szCs w:val="22"/>
              </w:rPr>
              <w:t>ngl</w:t>
            </w:r>
            <w:r w:rsidR="003F2B81">
              <w:rPr>
                <w:b/>
                <w:szCs w:val="22"/>
              </w:rPr>
              <w:t>e-use plastic shopping bags</w:t>
            </w:r>
            <w:r w:rsidR="00C9001D">
              <w:rPr>
                <w:b/>
                <w:szCs w:val="22"/>
              </w:rPr>
              <w:t xml:space="preserve">   </w:t>
            </w:r>
          </w:p>
        </w:tc>
      </w:tr>
    </w:tbl>
    <w:p w14:paraId="7F160FF7" w14:textId="142F3D80" w:rsidR="008826B8" w:rsidRPr="00120295" w:rsidRDefault="008826B8" w:rsidP="00746D82">
      <w:pPr>
        <w:pStyle w:val="BodyText"/>
        <w:spacing w:before="120"/>
      </w:pPr>
      <w:r w:rsidRPr="00120295">
        <w:t xml:space="preserve">The term </w:t>
      </w:r>
      <w:r w:rsidRPr="00120295">
        <w:rPr>
          <w:b/>
        </w:rPr>
        <w:t>‘single-use plastic shopping bags’</w:t>
      </w:r>
      <w:r w:rsidR="00090C43" w:rsidRPr="00120295">
        <w:rPr>
          <w:vertAlign w:val="superscript"/>
        </w:rPr>
        <w:footnoteReference w:id="2"/>
      </w:r>
      <w:r w:rsidR="006072D1">
        <w:t xml:space="preserve"> </w:t>
      </w:r>
      <w:r>
        <w:t xml:space="preserve">was defined </w:t>
      </w:r>
      <w:r w:rsidR="006072D1">
        <w:t xml:space="preserve">in the consultation document </w:t>
      </w:r>
      <w:r>
        <w:t xml:space="preserve">as: </w:t>
      </w:r>
    </w:p>
    <w:p w14:paraId="0C6F7031" w14:textId="77777777" w:rsidR="008826B8" w:rsidRPr="001D77D4" w:rsidRDefault="008826B8" w:rsidP="00746D82">
      <w:pPr>
        <w:pStyle w:val="Quote"/>
        <w:spacing w:before="0" w:after="120"/>
        <w:rPr>
          <w:rFonts w:ascii="Arial" w:hAnsi="Arial" w:cs="Arial"/>
          <w:i/>
          <w:sz w:val="22"/>
        </w:rPr>
      </w:pPr>
      <w:r w:rsidRPr="001D77D4">
        <w:rPr>
          <w:rFonts w:ascii="Arial" w:hAnsi="Arial" w:cs="Arial"/>
          <w:i/>
          <w:sz w:val="22"/>
        </w:rPr>
        <w:t>A new plastic bag (including one made of degradable plastic) which has handles and is below a maximum level of thickness. The terms ‘plastic’ and ‘degradable’ (including ‘biodegradable’, ‘compostable’ and ‘</w:t>
      </w:r>
      <w:proofErr w:type="spellStart"/>
      <w:r w:rsidRPr="001D77D4">
        <w:rPr>
          <w:rFonts w:ascii="Arial" w:hAnsi="Arial" w:cs="Arial"/>
          <w:i/>
          <w:sz w:val="22"/>
        </w:rPr>
        <w:t>oxo</w:t>
      </w:r>
      <w:proofErr w:type="spellEnd"/>
      <w:r w:rsidRPr="001D77D4">
        <w:rPr>
          <w:rFonts w:ascii="Arial" w:hAnsi="Arial" w:cs="Arial"/>
          <w:i/>
          <w:sz w:val="22"/>
        </w:rPr>
        <w:t>-degradable’) would be defined in regulations with reference to international standards.</w:t>
      </w:r>
    </w:p>
    <w:p w14:paraId="2A2FCC36" w14:textId="57ED36BB" w:rsidR="00923BAB" w:rsidRDefault="000A7236">
      <w:r>
        <w:t xml:space="preserve">It is well understood that </w:t>
      </w:r>
      <w:r w:rsidR="00746D82">
        <w:t xml:space="preserve">while these bags are designed to be single-use, not all </w:t>
      </w:r>
      <w:r>
        <w:t>are strictly ‘single-use’ in practi</w:t>
      </w:r>
      <w:r w:rsidR="002D63A6">
        <w:t>c</w:t>
      </w:r>
      <w:r>
        <w:t>e</w:t>
      </w:r>
      <w:r w:rsidR="00746D82">
        <w:t xml:space="preserve">. </w:t>
      </w:r>
      <w:r w:rsidR="00DC6B2A">
        <w:t>For example</w:t>
      </w:r>
      <w:r w:rsidR="002D63A6">
        <w:t>,</w:t>
      </w:r>
      <w:r w:rsidR="00DC6B2A">
        <w:t xml:space="preserve"> a</w:t>
      </w:r>
      <w:r>
        <w:t xml:space="preserve"> proportion </w:t>
      </w:r>
      <w:r w:rsidR="002D63A6">
        <w:t xml:space="preserve">is </w:t>
      </w:r>
      <w:r>
        <w:t xml:space="preserve">used </w:t>
      </w:r>
      <w:r w:rsidR="00746D82">
        <w:t>briefly</w:t>
      </w:r>
      <w:r>
        <w:t xml:space="preserve"> for waste bin liners, pet waste collection, carrying</w:t>
      </w:r>
      <w:r w:rsidR="00D05143">
        <w:t xml:space="preserve"> wet sports gear and the like. </w:t>
      </w:r>
      <w:r>
        <w:t>We do not have New Zealand data but overseas life-cycle analys</w:t>
      </w:r>
      <w:r w:rsidR="003F2B81">
        <w:t>e</w:t>
      </w:r>
      <w:r>
        <w:t xml:space="preserve">s </w:t>
      </w:r>
      <w:r w:rsidR="002D63A6">
        <w:t xml:space="preserve">estimated </w:t>
      </w:r>
      <w:r w:rsidR="00923BAB">
        <w:t xml:space="preserve">around 40 per cent of </w:t>
      </w:r>
      <w:r w:rsidR="00746D82">
        <w:t xml:space="preserve">‘single-use’ </w:t>
      </w:r>
      <w:r w:rsidR="00923BAB">
        <w:t xml:space="preserve">bags </w:t>
      </w:r>
      <w:r w:rsidR="002D63A6">
        <w:t xml:space="preserve">are </w:t>
      </w:r>
      <w:r w:rsidR="00923BAB">
        <w:t xml:space="preserve">reused once. </w:t>
      </w:r>
      <w:r w:rsidR="00746D82">
        <w:t xml:space="preserve">Overall </w:t>
      </w:r>
      <w:r w:rsidR="00DC6B2A">
        <w:t xml:space="preserve">it represents </w:t>
      </w:r>
      <w:r w:rsidR="00923BAB">
        <w:t>a fleeting use of resources compared to a shopping bag designed for multiple use that can be used</w:t>
      </w:r>
      <w:r w:rsidR="00DC6B2A">
        <w:t xml:space="preserve"> for years</w:t>
      </w:r>
      <w:r w:rsidR="00923BAB">
        <w:t>.</w:t>
      </w:r>
      <w:r>
        <w:t xml:space="preserve"> </w:t>
      </w:r>
    </w:p>
    <w:p w14:paraId="06BA073E" w14:textId="30CAE544" w:rsidR="008826B8" w:rsidRDefault="00923BAB">
      <w:r>
        <w:t>The term</w:t>
      </w:r>
      <w:r w:rsidR="00DC6B2A">
        <w:t>s</w:t>
      </w:r>
      <w:r>
        <w:t xml:space="preserve"> ‘single-use’ and ‘multi-use’</w:t>
      </w:r>
      <w:r w:rsidR="00746D82">
        <w:t xml:space="preserve"> refer primarily to </w:t>
      </w:r>
      <w:r w:rsidR="00A07ABD">
        <w:t>the design or purpose of the bag</w:t>
      </w:r>
      <w:r w:rsidR="00746D82">
        <w:t>. In a practical sense</w:t>
      </w:r>
      <w:r w:rsidR="00BA1893">
        <w:t>,</w:t>
      </w:r>
      <w:r w:rsidR="00746D82">
        <w:t xml:space="preserve"> </w:t>
      </w:r>
      <w:r w:rsidR="00BA1893">
        <w:t xml:space="preserve">it </w:t>
      </w:r>
      <w:r w:rsidR="00746D82">
        <w:t>r</w:t>
      </w:r>
      <w:r>
        <w:t xml:space="preserve">elates to </w:t>
      </w:r>
      <w:r w:rsidR="00BA1893">
        <w:t xml:space="preserve">the </w:t>
      </w:r>
      <w:r>
        <w:t>type and thickness of materials</w:t>
      </w:r>
      <w:r w:rsidR="00BA1893">
        <w:t xml:space="preserve">. </w:t>
      </w:r>
      <w:r w:rsidR="007D35C8">
        <w:t>We intend to</w:t>
      </w:r>
      <w:r>
        <w:t xml:space="preserve"> use these more measurable terms for </w:t>
      </w:r>
      <w:r w:rsidR="00746D82">
        <w:t xml:space="preserve">defining the scope of any </w:t>
      </w:r>
      <w:r>
        <w:t>regulat</w:t>
      </w:r>
      <w:r w:rsidR="00746D82">
        <w: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B771C" w:rsidRPr="007B090A" w14:paraId="0C4F29D1" w14:textId="77777777" w:rsidTr="00C46DB6">
        <w:trPr>
          <w:trHeight w:val="291"/>
        </w:trPr>
        <w:tc>
          <w:tcPr>
            <w:tcW w:w="9067" w:type="dxa"/>
            <w:shd w:val="clear" w:color="auto" w:fill="99CDDD"/>
          </w:tcPr>
          <w:p w14:paraId="29B47DE9" w14:textId="0D514D56" w:rsidR="007B771C" w:rsidRPr="007B090A" w:rsidRDefault="00C46DB6" w:rsidP="00BA1893">
            <w:pPr>
              <w:spacing w:before="60" w:after="60" w:line="276" w:lineRule="auto"/>
              <w:rPr>
                <w:b/>
                <w:szCs w:val="22"/>
              </w:rPr>
            </w:pPr>
            <w:r>
              <w:rPr>
                <w:b/>
                <w:szCs w:val="22"/>
              </w:rPr>
              <w:t xml:space="preserve">Proposed </w:t>
            </w:r>
            <w:r w:rsidR="003F2B81">
              <w:rPr>
                <w:b/>
                <w:szCs w:val="22"/>
              </w:rPr>
              <w:t>A</w:t>
            </w:r>
            <w:r>
              <w:rPr>
                <w:b/>
                <w:szCs w:val="22"/>
              </w:rPr>
              <w:t xml:space="preserve">pproach    </w:t>
            </w:r>
          </w:p>
        </w:tc>
      </w:tr>
    </w:tbl>
    <w:p w14:paraId="5403E60E" w14:textId="77777777" w:rsidR="00D832F6" w:rsidRDefault="00C46DB6" w:rsidP="00746D82">
      <w:pPr>
        <w:spacing w:before="120"/>
      </w:pPr>
      <w:r>
        <w:t xml:space="preserve">The Government proposes to institute a mandatory phase out on the </w:t>
      </w:r>
      <w:r w:rsidR="00F52A68">
        <w:t xml:space="preserve">sale and </w:t>
      </w:r>
      <w:r w:rsidR="00826302">
        <w:t>d</w:t>
      </w:r>
      <w:r>
        <w:t xml:space="preserve">istribution of </w:t>
      </w:r>
      <w:r w:rsidR="002B1862">
        <w:t>single-</w:t>
      </w:r>
      <w:r>
        <w:t xml:space="preserve">use plastic </w:t>
      </w:r>
      <w:r w:rsidR="00C16B8A">
        <w:rPr>
          <w:rFonts w:cs="Arial"/>
          <w:szCs w:val="22"/>
        </w:rPr>
        <w:t>shopping</w:t>
      </w:r>
      <w:r w:rsidR="00C16B8A">
        <w:t xml:space="preserve"> </w:t>
      </w:r>
      <w:r>
        <w:t>bags to</w:t>
      </w:r>
      <w:r w:rsidR="00970852">
        <w:t xml:space="preserve"> </w:t>
      </w:r>
      <w:r>
        <w:t xml:space="preserve">consumers. </w:t>
      </w:r>
    </w:p>
    <w:p w14:paraId="349D8A97" w14:textId="77777777" w:rsidR="00826302" w:rsidRDefault="005D4CCF" w:rsidP="007B771C">
      <w:r>
        <w:t>This follows the banning of microbeads in wash-off products</w:t>
      </w:r>
      <w:r w:rsidR="00A07ABD">
        <w:t xml:space="preserve"> (</w:t>
      </w:r>
      <w:r w:rsidR="00547396">
        <w:t xml:space="preserve">another contributor to </w:t>
      </w:r>
      <w:proofErr w:type="spellStart"/>
      <w:r w:rsidR="00547396">
        <w:t>microplastics</w:t>
      </w:r>
      <w:proofErr w:type="spellEnd"/>
      <w:r w:rsidR="00A07ABD">
        <w:t>,</w:t>
      </w:r>
      <w:r w:rsidR="00547396">
        <w:t xml:space="preserve"> with multiple more sustainable alternatives</w:t>
      </w:r>
      <w:r w:rsidR="00A07ABD">
        <w:t>)</w:t>
      </w:r>
      <w:r w:rsidR="00547396">
        <w:t>,</w:t>
      </w:r>
      <w:r>
        <w:t xml:space="preserve"> which took effect in June 2018. </w:t>
      </w:r>
    </w:p>
    <w:p w14:paraId="1ADAA517" w14:textId="77777777" w:rsidR="007B771C" w:rsidRDefault="00826302" w:rsidP="007B771C">
      <w:r>
        <w:t xml:space="preserve">Alternatives to </w:t>
      </w:r>
      <w:r w:rsidR="002B1862">
        <w:t xml:space="preserve">other plastics </w:t>
      </w:r>
      <w:r w:rsidR="005D4CCF">
        <w:t xml:space="preserve">that contribute </w:t>
      </w:r>
      <w:r>
        <w:t xml:space="preserve">substantially </w:t>
      </w:r>
      <w:r w:rsidR="005D4CCF">
        <w:t xml:space="preserve">to </w:t>
      </w:r>
      <w:proofErr w:type="spellStart"/>
      <w:r w:rsidR="005D4CCF">
        <w:t>microplastics</w:t>
      </w:r>
      <w:proofErr w:type="spellEnd"/>
      <w:r w:rsidR="005D4CCF">
        <w:t xml:space="preserve"> </w:t>
      </w:r>
      <w:r w:rsidR="002B1862">
        <w:t>(</w:t>
      </w:r>
      <w:proofErr w:type="spellStart"/>
      <w:r w:rsidR="002B1862">
        <w:t>eg</w:t>
      </w:r>
      <w:proofErr w:type="spellEnd"/>
      <w:r w:rsidR="002B1862">
        <w:t xml:space="preserve">, </w:t>
      </w:r>
      <w:r>
        <w:t xml:space="preserve">fishing gear, takeaway </w:t>
      </w:r>
      <w:r w:rsidR="002B1862">
        <w:t xml:space="preserve">food packaging) will take longer to develop </w:t>
      </w:r>
      <w:r>
        <w:t>and each may require different mechanisms</w:t>
      </w:r>
      <w:r w:rsidR="002B1862">
        <w:t>. The Government proposes to develop an overarching plastic waste strategy that will take a circular economy approach to developing alternativ</w:t>
      </w:r>
      <w:r>
        <w:t>es</w:t>
      </w:r>
      <w:r w:rsidR="002B1862">
        <w:t xml:space="preserve">. </w:t>
      </w:r>
    </w:p>
    <w:p w14:paraId="50FC1BDA" w14:textId="1D2CD4CA" w:rsidR="007B771C" w:rsidRPr="00B2239E" w:rsidRDefault="007B771C" w:rsidP="007C039F">
      <w:pPr>
        <w:pStyle w:val="Heading2"/>
      </w:pPr>
      <w:bookmarkStart w:id="4" w:name="_Toc528670861"/>
      <w:r w:rsidRPr="00B2239E">
        <w:t>Section B</w:t>
      </w:r>
      <w:r>
        <w:t xml:space="preserve">: </w:t>
      </w:r>
      <w:r w:rsidRPr="00B2239E">
        <w:t>Summary Impacts: Benefits and costs</w:t>
      </w:r>
      <w:bookmarkEnd w:id="4"/>
      <w:r w:rsidRPr="00B2239E">
        <w:t xml:space="preserve"> </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7B771C" w:rsidRPr="00210C3D" w14:paraId="16F671CA" w14:textId="77777777" w:rsidTr="00A42D23">
        <w:trPr>
          <w:trHeight w:val="197"/>
        </w:trPr>
        <w:tc>
          <w:tcPr>
            <w:tcW w:w="9039" w:type="dxa"/>
            <w:tcBorders>
              <w:top w:val="single" w:sz="4" w:space="0" w:color="auto"/>
              <w:left w:val="single" w:sz="4" w:space="0" w:color="auto"/>
              <w:bottom w:val="single" w:sz="4" w:space="0" w:color="auto"/>
              <w:right w:val="single" w:sz="4" w:space="0" w:color="auto"/>
            </w:tcBorders>
            <w:shd w:val="clear" w:color="auto" w:fill="99CDDD"/>
          </w:tcPr>
          <w:p w14:paraId="72C55262" w14:textId="77777777" w:rsidR="007B771C" w:rsidRPr="00210C3D" w:rsidRDefault="007B771C" w:rsidP="00A42D23">
            <w:pPr>
              <w:spacing w:before="60" w:after="60" w:line="240" w:lineRule="auto"/>
              <w:rPr>
                <w:rFonts w:ascii="Arial Narrow" w:hAnsi="Arial Narrow"/>
                <w:b/>
                <w:i/>
                <w:szCs w:val="22"/>
              </w:rPr>
            </w:pPr>
            <w:r w:rsidRPr="00210C3D">
              <w:rPr>
                <w:b/>
                <w:szCs w:val="22"/>
              </w:rPr>
              <w:t>Who are the main expected beneficiaries and what is the nature of the expected benefit?</w:t>
            </w:r>
          </w:p>
        </w:tc>
      </w:tr>
    </w:tbl>
    <w:p w14:paraId="07781359" w14:textId="591A1E20" w:rsidR="004C5780" w:rsidRDefault="00C3171C" w:rsidP="00746D82">
      <w:pPr>
        <w:spacing w:before="120"/>
      </w:pPr>
      <w:r>
        <w:t xml:space="preserve">The primary beneficiary of this policy will be the environment, </w:t>
      </w:r>
      <w:r w:rsidR="00EE4FAE">
        <w:t>bo</w:t>
      </w:r>
      <w:r w:rsidR="00D832F6">
        <w:t xml:space="preserve">th locally and regionally, </w:t>
      </w:r>
      <w:r>
        <w:t xml:space="preserve">as the proposed approach will mean </w:t>
      </w:r>
      <w:r w:rsidR="002B1862">
        <w:t xml:space="preserve">fewer </w:t>
      </w:r>
      <w:r>
        <w:t xml:space="preserve">plastic </w:t>
      </w:r>
      <w:r w:rsidR="00787B87">
        <w:t xml:space="preserve">shopping </w:t>
      </w:r>
      <w:r>
        <w:t>bags entering the environment</w:t>
      </w:r>
      <w:r w:rsidR="003C4B31">
        <w:t xml:space="preserve"> and contributing to adverse effects</w:t>
      </w:r>
      <w:r w:rsidR="00745DE5">
        <w:t>.</w:t>
      </w:r>
      <w:r w:rsidR="00745DE5" w:rsidRPr="00745DE5">
        <w:t xml:space="preserve"> </w:t>
      </w:r>
    </w:p>
    <w:p w14:paraId="248B0351" w14:textId="134E5D81" w:rsidR="004C5780" w:rsidRDefault="00A07ABD" w:rsidP="004C5780">
      <w:r>
        <w:t xml:space="preserve">Less litter and a cleaner marine environment is also a public benefit. </w:t>
      </w:r>
      <w:r w:rsidR="004C5780">
        <w:t>Local government</w:t>
      </w:r>
      <w:r w:rsidR="00041008">
        <w:t xml:space="preserve"> submitters note they anticipate</w:t>
      </w:r>
      <w:r w:rsidR="004C5780">
        <w:t xml:space="preserve"> </w:t>
      </w:r>
      <w:r w:rsidR="00041008">
        <w:t xml:space="preserve">the proposals would lead to </w:t>
      </w:r>
      <w:r>
        <w:t>improved waste management (</w:t>
      </w:r>
      <w:proofErr w:type="spellStart"/>
      <w:r>
        <w:t>eg</w:t>
      </w:r>
      <w:proofErr w:type="spellEnd"/>
      <w:r>
        <w:t>, reduced contamination of other recyclables)</w:t>
      </w:r>
      <w:r w:rsidR="004C5780">
        <w:t xml:space="preserve">. </w:t>
      </w:r>
    </w:p>
    <w:p w14:paraId="040B06EE" w14:textId="684A63D2" w:rsidR="00D832F6" w:rsidRDefault="004C5780" w:rsidP="007B771C">
      <w:r>
        <w:t>At present retailers recoup costs of ‘free’ single-use bags in the price charged for goods. Alternative</w:t>
      </w:r>
      <w:r w:rsidR="00A07ABD">
        <w:t xml:space="preserve">, </w:t>
      </w:r>
      <w:r w:rsidR="0002127E">
        <w:t>multi-use</w:t>
      </w:r>
      <w:r>
        <w:t xml:space="preserve"> bags </w:t>
      </w:r>
      <w:r w:rsidR="00A07ABD">
        <w:t xml:space="preserve">will </w:t>
      </w:r>
      <w:r>
        <w:t>be more costly upfront</w:t>
      </w:r>
      <w:r w:rsidR="00A07ABD">
        <w:t>. Re</w:t>
      </w:r>
      <w:r w:rsidR="00C3171C">
        <w:t xml:space="preserve">tailers </w:t>
      </w:r>
      <w:r w:rsidR="002B1862">
        <w:t>may</w:t>
      </w:r>
      <w:r w:rsidR="00C3171C">
        <w:t xml:space="preserve"> </w:t>
      </w:r>
      <w:r>
        <w:t xml:space="preserve">choose to </w:t>
      </w:r>
      <w:r w:rsidR="00BA1893">
        <w:t xml:space="preserve">stop </w:t>
      </w:r>
      <w:r>
        <w:t>provi</w:t>
      </w:r>
      <w:r w:rsidR="00BA1893">
        <w:t>ding</w:t>
      </w:r>
      <w:r>
        <w:t xml:space="preserve"> free bags altogether</w:t>
      </w:r>
      <w:r w:rsidR="00A07ABD">
        <w:t xml:space="preserve"> (benefiting from reduced costs, although this would be weighed </w:t>
      </w:r>
      <w:r w:rsidR="0002127E">
        <w:t>against any potential impact on their business operation if customers are inconvenienced</w:t>
      </w:r>
      <w:r w:rsidR="00A07ABD">
        <w:t>)</w:t>
      </w:r>
      <w:r w:rsidR="0002127E">
        <w:t xml:space="preserve">. Retailers may also gain a new revenue stream if they choose </w:t>
      </w:r>
      <w:r w:rsidR="003915D2">
        <w:t xml:space="preserve">to charge consumers for </w:t>
      </w:r>
      <w:r>
        <w:t xml:space="preserve">new multi-use bags. </w:t>
      </w:r>
    </w:p>
    <w:p w14:paraId="36159D65" w14:textId="77777777" w:rsidR="004C5780" w:rsidRDefault="00D832F6" w:rsidP="004C5780">
      <w:pPr>
        <w:spacing w:before="120"/>
      </w:pPr>
      <w:r>
        <w:t>Some i</w:t>
      </w:r>
      <w:r w:rsidR="003915D2">
        <w:t xml:space="preserve">mporters </w:t>
      </w:r>
      <w:r w:rsidR="00F52A68">
        <w:t xml:space="preserve">and local manufacturers </w:t>
      </w:r>
      <w:r w:rsidR="003915D2">
        <w:t xml:space="preserve">will also benefit from a new market for </w:t>
      </w:r>
      <w:r w:rsidR="00F52A68">
        <w:t>multi-use carry</w:t>
      </w:r>
      <w:r w:rsidR="003915D2">
        <w:t xml:space="preserve"> bags</w:t>
      </w:r>
      <w:r w:rsidR="0002127E">
        <w:t xml:space="preserve">, although </w:t>
      </w:r>
      <w:r>
        <w:t>others will have interim impacts while they find alternatives to meet changing market demand.</w:t>
      </w:r>
      <w:r w:rsidR="004C5780" w:rsidRPr="004C5780">
        <w:t xml:space="preserve"> </w:t>
      </w:r>
    </w:p>
    <w:p w14:paraId="764409B9" w14:textId="67F063D6" w:rsidR="004C5780" w:rsidRDefault="0002127E" w:rsidP="004C5780">
      <w:pPr>
        <w:spacing w:before="120"/>
      </w:pPr>
      <w:r>
        <w:t xml:space="preserve">The precise benefits will depend on retailer and consumer responses that are difficult to quantify, but we consider there </w:t>
      </w:r>
      <w:r w:rsidR="007205B2">
        <w:t>may be</w:t>
      </w:r>
      <w:r w:rsidR="004C5780">
        <w:t xml:space="preserve"> </w:t>
      </w:r>
      <w:r>
        <w:t xml:space="preserve">net benefits compared to the </w:t>
      </w:r>
      <w:r>
        <w:rPr>
          <w:i/>
        </w:rPr>
        <w:t>status quo</w:t>
      </w:r>
      <w:r w:rsidR="004C5780">
        <w:t>.</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8493"/>
      </w:tblGrid>
      <w:tr w:rsidR="007B771C" w:rsidRPr="00210C3D" w14:paraId="513176AE" w14:textId="77777777" w:rsidTr="00970852">
        <w:trPr>
          <w:trHeight w:val="224"/>
        </w:trPr>
        <w:tc>
          <w:tcPr>
            <w:tcW w:w="8493" w:type="dxa"/>
            <w:tcBorders>
              <w:top w:val="single" w:sz="4" w:space="0" w:color="auto"/>
              <w:left w:val="single" w:sz="4" w:space="0" w:color="auto"/>
              <w:bottom w:val="single" w:sz="4" w:space="0" w:color="auto"/>
              <w:right w:val="single" w:sz="4" w:space="0" w:color="auto"/>
            </w:tcBorders>
            <w:shd w:val="clear" w:color="auto" w:fill="99CDDD"/>
          </w:tcPr>
          <w:p w14:paraId="2B35FCD6" w14:textId="77777777" w:rsidR="007B771C" w:rsidRPr="00210C3D" w:rsidRDefault="007B771C" w:rsidP="00A42D23">
            <w:pPr>
              <w:spacing w:before="60" w:after="60" w:line="240" w:lineRule="auto"/>
              <w:rPr>
                <w:b/>
                <w:szCs w:val="22"/>
              </w:rPr>
            </w:pPr>
            <w:r w:rsidRPr="00210C3D">
              <w:rPr>
                <w:b/>
                <w:szCs w:val="22"/>
              </w:rPr>
              <w:t xml:space="preserve">Where do the costs fall?  </w:t>
            </w:r>
          </w:p>
        </w:tc>
      </w:tr>
    </w:tbl>
    <w:p w14:paraId="71A2E25A" w14:textId="4AD8D7C4" w:rsidR="004C5780" w:rsidRDefault="00B06825" w:rsidP="004C5780">
      <w:pPr>
        <w:spacing w:before="120"/>
      </w:pPr>
      <w:r>
        <w:t>C</w:t>
      </w:r>
      <w:r w:rsidR="00890D27">
        <w:t xml:space="preserve">osts could fall on retailers, manufacturers or importers of plastic </w:t>
      </w:r>
      <w:r w:rsidR="00787B87">
        <w:t xml:space="preserve">shopping </w:t>
      </w:r>
      <w:r w:rsidR="00890D27">
        <w:t>ba</w:t>
      </w:r>
      <w:r>
        <w:t xml:space="preserve">gs and on consumers. </w:t>
      </w:r>
      <w:r w:rsidR="00890D27">
        <w:t xml:space="preserve"> </w:t>
      </w:r>
    </w:p>
    <w:p w14:paraId="10D27B2D" w14:textId="36A04377" w:rsidR="004C5780" w:rsidRDefault="00890D27" w:rsidP="004C5780">
      <w:pPr>
        <w:spacing w:before="120"/>
      </w:pPr>
      <w:r>
        <w:t xml:space="preserve">How each of these groups will be affected by the proposals depends on </w:t>
      </w:r>
      <w:r w:rsidR="00B06825">
        <w:t>decisions about the coverage of the phase out</w:t>
      </w:r>
      <w:r w:rsidR="00705613">
        <w:t>. It also depends on</w:t>
      </w:r>
      <w:r w:rsidR="00B06825">
        <w:t xml:space="preserve"> </w:t>
      </w:r>
      <w:r>
        <w:t xml:space="preserve">the extent to which they have already started to change their practices to respond to growing public demand </w:t>
      </w:r>
      <w:r w:rsidR="00705613">
        <w:t>to</w:t>
      </w:r>
      <w:r>
        <w:t xml:space="preserve"> move away from single-use </w:t>
      </w:r>
      <w:r w:rsidR="00787B87">
        <w:t>plastic shopping bags</w:t>
      </w:r>
      <w:r>
        <w:t xml:space="preserve">. </w:t>
      </w:r>
    </w:p>
    <w:p w14:paraId="7052D975" w14:textId="77777777" w:rsidR="00394C77" w:rsidRDefault="00890D27" w:rsidP="004C5780">
      <w:pPr>
        <w:spacing w:before="120"/>
      </w:pPr>
      <w:r>
        <w:t xml:space="preserve">For example, both major supermarket chains (Foodstuffs and Countdown) have already taken steps to phase out single-use </w:t>
      </w:r>
      <w:r w:rsidR="00787B87">
        <w:t>plastic shopping bags</w:t>
      </w:r>
      <w:r>
        <w:t xml:space="preserve"> in their stores. The </w:t>
      </w:r>
      <w:r w:rsidR="0002127E">
        <w:t xml:space="preserve">additional </w:t>
      </w:r>
      <w:r>
        <w:t>cost to these operators is therefore likely to be low</w:t>
      </w:r>
      <w:r w:rsidR="0002127E">
        <w:t xml:space="preserve">. </w:t>
      </w:r>
    </w:p>
    <w:p w14:paraId="516B14AE" w14:textId="7838CBE4" w:rsidR="006E44A1" w:rsidRDefault="0002127E" w:rsidP="004C5780">
      <w:pPr>
        <w:spacing w:before="120"/>
      </w:pPr>
      <w:r>
        <w:t>R</w:t>
      </w:r>
      <w:r w:rsidR="006A6494">
        <w:t xml:space="preserve">etailers </w:t>
      </w:r>
      <w:r>
        <w:t xml:space="preserve">who </w:t>
      </w:r>
      <w:r w:rsidR="006A6494">
        <w:t xml:space="preserve">have not </w:t>
      </w:r>
      <w:r>
        <w:t xml:space="preserve">yet moved away from single-use plastic shopping bags will likely be subject to some costs. </w:t>
      </w:r>
      <w:r w:rsidRPr="0002127E">
        <w:t xml:space="preserve">These costs will depend on whether they continue </w:t>
      </w:r>
      <w:r w:rsidR="00544B1F">
        <w:t xml:space="preserve">to </w:t>
      </w:r>
      <w:r w:rsidRPr="0002127E">
        <w:t xml:space="preserve">offer customers a free bag </w:t>
      </w:r>
      <w:r w:rsidR="00544B1F">
        <w:t>for</w:t>
      </w:r>
      <w:r w:rsidRPr="0002127E">
        <w:t xml:space="preserve"> their purchases (at higher cost to the retailer); no longer provide a free bag, or charge customers for a bag (which may inconvenience customers, thus affecting their business)</w:t>
      </w:r>
      <w:r>
        <w:t xml:space="preserve">. </w:t>
      </w:r>
    </w:p>
    <w:p w14:paraId="75CC3726" w14:textId="35F2DA4C" w:rsidR="00890D27" w:rsidRDefault="0002127E" w:rsidP="004C5780">
      <w:pPr>
        <w:spacing w:before="120"/>
      </w:pPr>
      <w:r>
        <w:t xml:space="preserve">Small retailers who </w:t>
      </w:r>
      <w:r w:rsidR="006A6494">
        <w:t xml:space="preserve">hold significant surplus stock </w:t>
      </w:r>
      <w:r>
        <w:t xml:space="preserve">may also have a short-term sunk cost because they </w:t>
      </w:r>
      <w:r w:rsidR="00510C38">
        <w:t xml:space="preserve">will </w:t>
      </w:r>
      <w:r>
        <w:t xml:space="preserve">not </w:t>
      </w:r>
      <w:r w:rsidR="00510C38">
        <w:t xml:space="preserve">be </w:t>
      </w:r>
      <w:r>
        <w:t xml:space="preserve">able to distribute single-use plastic shopping bag stock they already hold. </w:t>
      </w:r>
      <w:r w:rsidR="00E23A59">
        <w:t xml:space="preserve">Any such </w:t>
      </w:r>
      <w:r w:rsidR="006A6494">
        <w:t>costs are likely to be passed on in due course to consumers.</w:t>
      </w:r>
    </w:p>
    <w:p w14:paraId="366CA9C9" w14:textId="31CDD436" w:rsidR="000F14DB" w:rsidRDefault="000F14DB" w:rsidP="000F14DB">
      <w:r>
        <w:t xml:space="preserve">The proposed implementation period is intended to allow sufficient time for changes to most commercial contracts (as advised by business submitters), although some contracts with a long lead-in time may still be affected. Retailers will also bear the costs of changes to store layout </w:t>
      </w:r>
      <w:r w:rsidR="00D000A8">
        <w:t>for example</w:t>
      </w:r>
      <w:r>
        <w:t xml:space="preserve">, checkout configuration, </w:t>
      </w:r>
      <w:r w:rsidRPr="003915D2">
        <w:t xml:space="preserve">staff training, consumer information, potential </w:t>
      </w:r>
      <w:r>
        <w:t xml:space="preserve">shopping </w:t>
      </w:r>
      <w:r w:rsidRPr="003915D2">
        <w:t xml:space="preserve">delays during </w:t>
      </w:r>
      <w:r>
        <w:t xml:space="preserve">the </w:t>
      </w:r>
      <w:r w:rsidRPr="003915D2">
        <w:t>adjustment period</w:t>
      </w:r>
      <w:r>
        <w:t>.</w:t>
      </w:r>
      <w:r w:rsidR="00B8585A">
        <w:rPr>
          <w:rStyle w:val="FootnoteReference"/>
        </w:rPr>
        <w:footnoteReference w:id="3"/>
      </w:r>
      <w:r>
        <w:t xml:space="preserve"> </w:t>
      </w:r>
    </w:p>
    <w:p w14:paraId="01BA5CF7" w14:textId="455724C7" w:rsidR="00890D27" w:rsidRDefault="000F14DB" w:rsidP="003915D2">
      <w:r>
        <w:t>A</w:t>
      </w:r>
      <w:r w:rsidR="0072533B">
        <w:t>nother</w:t>
      </w:r>
      <w:r w:rsidR="00890D27">
        <w:t xml:space="preserve"> group likely to incur direct costs is manufacturers </w:t>
      </w:r>
      <w:r w:rsidR="005F39C8">
        <w:t xml:space="preserve">and </w:t>
      </w:r>
      <w:r w:rsidR="00890D27">
        <w:t xml:space="preserve">importers of </w:t>
      </w:r>
      <w:r w:rsidR="00787B87">
        <w:t xml:space="preserve">single-use </w:t>
      </w:r>
      <w:r w:rsidR="00890D27">
        <w:t xml:space="preserve">plastic </w:t>
      </w:r>
      <w:r w:rsidR="00787B87">
        <w:t xml:space="preserve">shopping </w:t>
      </w:r>
      <w:r w:rsidR="00890D27">
        <w:t xml:space="preserve">bags. In </w:t>
      </w:r>
      <w:r w:rsidR="00E23A59">
        <w:t xml:space="preserve">a few </w:t>
      </w:r>
      <w:r w:rsidR="00890D27">
        <w:t xml:space="preserve">cases, </w:t>
      </w:r>
      <w:r>
        <w:t>single-use plastic shopping bags</w:t>
      </w:r>
      <w:r w:rsidR="00890D27">
        <w:t xml:space="preserve"> make up a significant percentage of the company’s overall business.</w:t>
      </w:r>
      <w:r w:rsidR="00D05143">
        <w:t xml:space="preserve"> </w:t>
      </w:r>
      <w:r w:rsidR="0072533B">
        <w:t xml:space="preserve">The current </w:t>
      </w:r>
      <w:r w:rsidR="00E23A59">
        <w:t>supplier</w:t>
      </w:r>
      <w:r w:rsidR="004C5780">
        <w:t xml:space="preserve">s </w:t>
      </w:r>
      <w:r w:rsidR="0072533B">
        <w:t xml:space="preserve">of single-use shopping bags </w:t>
      </w:r>
      <w:r w:rsidR="004C5780">
        <w:t xml:space="preserve">to major retail chains </w:t>
      </w:r>
      <w:r w:rsidR="00B06825">
        <w:t>may</w:t>
      </w:r>
      <w:r w:rsidR="004C5780">
        <w:t xml:space="preserve"> </w:t>
      </w:r>
      <w:r w:rsidR="0072533B">
        <w:t xml:space="preserve">lose a significant </w:t>
      </w:r>
      <w:r w:rsidR="004C5780">
        <w:t xml:space="preserve">proportion of their business </w:t>
      </w:r>
      <w:r w:rsidR="0072533B">
        <w:t>during the transition to new markets</w:t>
      </w:r>
      <w:r w:rsidR="00E23A59">
        <w:t>.</w:t>
      </w:r>
      <w:r w:rsidR="0072533B">
        <w:rPr>
          <w:rStyle w:val="FootnoteReference"/>
        </w:rPr>
        <w:footnoteReference w:id="4"/>
      </w:r>
      <w:r w:rsidR="0002127E">
        <w:t xml:space="preserve"> </w:t>
      </w:r>
      <w:r w:rsidR="000341BB">
        <w:t>Manufacturers and importers will also bear the costs of any unused single-use plastic shopping bags they hold and will no</w:t>
      </w:r>
      <w:r w:rsidR="00ED10B4">
        <w:t>t</w:t>
      </w:r>
      <w:r w:rsidR="000341BB">
        <w:t xml:space="preserve"> be able to </w:t>
      </w:r>
      <w:r w:rsidR="004A5282">
        <w:t>sell</w:t>
      </w:r>
      <w:r w:rsidR="000341BB">
        <w:t xml:space="preserve">. </w:t>
      </w:r>
      <w:r w:rsidR="008D1BDB">
        <w:t>S</w:t>
      </w:r>
      <w:r w:rsidR="0002127E">
        <w:t xml:space="preserve">uppliers cannot accurately predict whether current customers will continue to use them to supply </w:t>
      </w:r>
      <w:r w:rsidR="000341BB">
        <w:t>compliant multi-use</w:t>
      </w:r>
      <w:r w:rsidR="0002127E">
        <w:t xml:space="preserve"> </w:t>
      </w:r>
      <w:r w:rsidR="000341BB">
        <w:t xml:space="preserve">bags (a potential boost to their business), or if </w:t>
      </w:r>
      <w:r w:rsidR="008D1BDB">
        <w:t>they</w:t>
      </w:r>
      <w:r w:rsidR="000341BB">
        <w:t xml:space="preserve"> will turn to alternative suppliers (at potential cost to their business).</w:t>
      </w:r>
    </w:p>
    <w:p w14:paraId="658D1425" w14:textId="3D3EF4AB" w:rsidR="000341BB" w:rsidRDefault="000341BB" w:rsidP="000341BB">
      <w:r>
        <w:t>One submitter considers that the costs of packaging to retailers</w:t>
      </w:r>
      <w:r w:rsidR="008D1BDB">
        <w:t xml:space="preserve"> and </w:t>
      </w:r>
      <w:r>
        <w:t xml:space="preserve">consumers would go up considerably based on the need to provide thicker bags. This submitter considers the amount depends on the thickness adopted (50 or 70 microns), but considers this could easily increase packaging spending </w:t>
      </w:r>
      <w:r w:rsidR="00DE3C5F">
        <w:t xml:space="preserve">(and potential cost recovery from consumers) </w:t>
      </w:r>
      <w:r>
        <w:t>by 200-300 per cent.</w:t>
      </w:r>
    </w:p>
    <w:p w14:paraId="704AB3EC" w14:textId="30D161E4" w:rsidR="0072533B" w:rsidRDefault="0072533B" w:rsidP="0072533B">
      <w:r>
        <w:t>A few companies have expr</w:t>
      </w:r>
      <w:r w:rsidR="00B06825">
        <w:t>essed concern for the future of</w:t>
      </w:r>
      <w:r>
        <w:t xml:space="preserve"> alternatives to non-degradable plastic single-use plastic shopping bags</w:t>
      </w:r>
      <w:r w:rsidR="00D46494">
        <w:t xml:space="preserve"> they have developed,</w:t>
      </w:r>
      <w:r>
        <w:t xml:space="preserve"> such as compo</w:t>
      </w:r>
      <w:r w:rsidR="00B06825">
        <w:t xml:space="preserve">stable or </w:t>
      </w:r>
      <w:proofErr w:type="spellStart"/>
      <w:r w:rsidR="00B06825">
        <w:t>oxo</w:t>
      </w:r>
      <w:proofErr w:type="spellEnd"/>
      <w:r w:rsidR="00B06825">
        <w:t>-degradable bags. S</w:t>
      </w:r>
      <w:r>
        <w:t>ingle-use plastic shopping bags ma</w:t>
      </w:r>
      <w:r w:rsidR="00B06825">
        <w:t xml:space="preserve">de of these materials would be </w:t>
      </w:r>
      <w:r>
        <w:t>co</w:t>
      </w:r>
      <w:r w:rsidR="00B06825">
        <w:t xml:space="preserve">vered in the proposed phase out, but other products made </w:t>
      </w:r>
      <w:r w:rsidR="00D46494">
        <w:t xml:space="preserve">of </w:t>
      </w:r>
      <w:r w:rsidR="00B06825">
        <w:t>these materials manufactured or imported by these companies</w:t>
      </w:r>
      <w:r w:rsidR="00D90FA4">
        <w:t xml:space="preserve"> would not</w:t>
      </w:r>
      <w:r w:rsidR="00B06825">
        <w:t>, such as rubbish bags, bin liners, pet waste bags and product packaging.</w:t>
      </w:r>
    </w:p>
    <w:p w14:paraId="7CE54577" w14:textId="5E0BBD26" w:rsidR="003915D2" w:rsidRDefault="00890D27" w:rsidP="003915D2">
      <w:r>
        <w:t>Some</w:t>
      </w:r>
      <w:r w:rsidR="003915D2">
        <w:t xml:space="preserve"> costs will </w:t>
      </w:r>
      <w:r>
        <w:t xml:space="preserve">also </w:t>
      </w:r>
      <w:r w:rsidR="003915D2">
        <w:t>fall on consumers who will now be required to pay for shopping bags</w:t>
      </w:r>
      <w:r w:rsidR="002B1862">
        <w:t xml:space="preserve"> if they do not currently own </w:t>
      </w:r>
      <w:r w:rsidR="00A17C57">
        <w:t>multi-use</w:t>
      </w:r>
      <w:r w:rsidR="002B1862">
        <w:t xml:space="preserve"> bags, or </w:t>
      </w:r>
      <w:r w:rsidR="00B06825">
        <w:t>have forgotten to bring them</w:t>
      </w:r>
      <w:r w:rsidR="003915D2">
        <w:t xml:space="preserve">. At present, the cost of the </w:t>
      </w:r>
      <w:r w:rsidR="00B54A76">
        <w:t xml:space="preserve">‘free’ single-use </w:t>
      </w:r>
      <w:r w:rsidR="003915D2">
        <w:t xml:space="preserve">bags </w:t>
      </w:r>
      <w:r w:rsidR="002B1862">
        <w:t xml:space="preserve">is </w:t>
      </w:r>
      <w:r w:rsidR="00EC30F3">
        <w:t>included in the price of</w:t>
      </w:r>
      <w:r w:rsidR="003915D2">
        <w:t xml:space="preserve"> the</w:t>
      </w:r>
      <w:r w:rsidR="00745DE5">
        <w:t xml:space="preserve"> other</w:t>
      </w:r>
      <w:r w:rsidR="003915D2">
        <w:t xml:space="preserve"> items they buy. Consumers </w:t>
      </w:r>
      <w:r w:rsidR="000F14DB">
        <w:t xml:space="preserve">who are not already using multi-use bags </w:t>
      </w:r>
      <w:r w:rsidR="003915D2">
        <w:t xml:space="preserve">will also face inconvenience costs of forming </w:t>
      </w:r>
      <w:r w:rsidR="00EC30F3">
        <w:t xml:space="preserve">a </w:t>
      </w:r>
      <w:r w:rsidR="00745DE5">
        <w:t xml:space="preserve">new </w:t>
      </w:r>
      <w:r w:rsidR="003915D2">
        <w:t xml:space="preserve">habit of taking reusable bags on each shopping </w:t>
      </w:r>
      <w:r w:rsidR="000F14DB">
        <w:t>trip</w:t>
      </w:r>
      <w:r w:rsidR="003915D2">
        <w:t xml:space="preserve">. </w:t>
      </w:r>
      <w:r>
        <w:t xml:space="preserve">In </w:t>
      </w:r>
      <w:r w:rsidR="00A17C57">
        <w:t>some shops</w:t>
      </w:r>
      <w:r w:rsidR="00EC30F3">
        <w:t>,</w:t>
      </w:r>
      <w:r w:rsidR="00A17C57">
        <w:t xml:space="preserve"> </w:t>
      </w:r>
      <w:r w:rsidR="002B1862">
        <w:t>free alternatives are available</w:t>
      </w:r>
      <w:r w:rsidR="00A17C57">
        <w:t xml:space="preserve">, such as </w:t>
      </w:r>
      <w:r w:rsidR="002B1862">
        <w:t xml:space="preserve">boxes, or community-based </w:t>
      </w:r>
      <w:r w:rsidR="00A17C57">
        <w:t xml:space="preserve">bag manufacture and sharing </w:t>
      </w:r>
      <w:r w:rsidR="002B1862">
        <w:t>alternatives</w:t>
      </w:r>
      <w:r w:rsidR="00EC30F3">
        <w:t>,</w:t>
      </w:r>
      <w:r w:rsidR="002B1862">
        <w:t xml:space="preserve"> such as Boomerang</w:t>
      </w:r>
      <w:r w:rsidR="00A17C57">
        <w:t xml:space="preserve"> Bags</w:t>
      </w:r>
      <w:r w:rsidR="002B1862">
        <w:t>.</w:t>
      </w:r>
      <w:r>
        <w:t xml:space="preserve"> </w:t>
      </w:r>
    </w:p>
    <w:p w14:paraId="02A6D341" w14:textId="7ECDADE3" w:rsidR="003915D2" w:rsidRDefault="003915D2" w:rsidP="003915D2">
      <w:r>
        <w:t xml:space="preserve">The Ministry for the Environment </w:t>
      </w:r>
      <w:r w:rsidR="00676E24">
        <w:t xml:space="preserve">(and </w:t>
      </w:r>
      <w:r w:rsidR="00EC30F3">
        <w:t xml:space="preserve">therefore </w:t>
      </w:r>
      <w:r w:rsidR="000F14DB">
        <w:t xml:space="preserve">the taxpayer) </w:t>
      </w:r>
      <w:r>
        <w:t>will bear the costs of making the required regulations, providing education material for the mandato</w:t>
      </w:r>
      <w:r w:rsidR="00595D29">
        <w:t xml:space="preserve">ry phase out, and </w:t>
      </w:r>
      <w:r w:rsidR="00A17C57">
        <w:t xml:space="preserve">monitoring and </w:t>
      </w:r>
      <w:r w:rsidR="00595D29">
        <w:t>enforc</w:t>
      </w:r>
      <w:r w:rsidR="00A17C57">
        <w:t>ement</w:t>
      </w:r>
      <w:r w:rsidR="00595D29">
        <w:t xml:space="preserve">. </w:t>
      </w:r>
    </w:p>
    <w:p w14:paraId="5503232D" w14:textId="6980F4F3" w:rsidR="0029035A" w:rsidRPr="003915D2" w:rsidRDefault="0029035A" w:rsidP="003915D2">
      <w:r>
        <w:t>During public consultation</w:t>
      </w:r>
      <w:r w:rsidR="00EC30F3">
        <w:t>,</w:t>
      </w:r>
      <w:r>
        <w:t xml:space="preserve"> information was specifically sought on impacts to importers and manufacturers of single-use plastic shopping bags. </w:t>
      </w:r>
      <w:r w:rsidR="00A17C57">
        <w:t xml:space="preserve">While </w:t>
      </w:r>
      <w:r w:rsidR="00EC30F3">
        <w:t xml:space="preserve">we received </w:t>
      </w:r>
      <w:r w:rsidR="00A17C57">
        <w:t>s</w:t>
      </w:r>
      <w:r>
        <w:t>ome additional quantitative information, comprehensive quantitative impact data remains unavailable.</w:t>
      </w:r>
      <w:r w:rsidR="00A17C57">
        <w:t xml:space="preserve"> In many cases</w:t>
      </w:r>
      <w:r w:rsidR="00EC30F3">
        <w:t>,</w:t>
      </w:r>
      <w:r w:rsidR="00A17C57">
        <w:t xml:space="preserve"> businesses</w:t>
      </w:r>
      <w:r>
        <w:t xml:space="preserve"> did not wish to be drawn further on data they considered to be commercially confidential.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B771C" w:rsidRPr="00210C3D" w14:paraId="0AE9C0C2" w14:textId="77777777" w:rsidTr="00A42D23">
        <w:tc>
          <w:tcPr>
            <w:tcW w:w="9067" w:type="dxa"/>
            <w:shd w:val="clear" w:color="auto" w:fill="99CDDD"/>
          </w:tcPr>
          <w:p w14:paraId="746968E3" w14:textId="77777777" w:rsidR="007B771C" w:rsidRPr="00210C3D" w:rsidRDefault="007B771C" w:rsidP="00A42D23">
            <w:pPr>
              <w:spacing w:before="60" w:after="60" w:line="240" w:lineRule="auto"/>
              <w:rPr>
                <w:b/>
                <w:i/>
                <w:szCs w:val="22"/>
              </w:rPr>
            </w:pPr>
            <w:r w:rsidRPr="00D46F85">
              <w:rPr>
                <w:b/>
                <w:szCs w:val="22"/>
              </w:rPr>
              <w:t xml:space="preserve">What are the likely risks and unintended impacts, how significant are they and how will they be minimised or mitigated? </w:t>
            </w:r>
          </w:p>
        </w:tc>
      </w:tr>
    </w:tbl>
    <w:p w14:paraId="4494825B" w14:textId="58705F7B" w:rsidR="00A17C57" w:rsidRDefault="0029035A" w:rsidP="00A17C57">
      <w:pPr>
        <w:spacing w:before="120" w:after="120"/>
      </w:pPr>
      <w:r>
        <w:t xml:space="preserve">Depending on the </w:t>
      </w:r>
      <w:r w:rsidR="000341BB">
        <w:t>commencement date</w:t>
      </w:r>
      <w:r>
        <w:t xml:space="preserve"> chosen</w:t>
      </w:r>
      <w:r w:rsidR="00AC3C81">
        <w:t>,</w:t>
      </w:r>
      <w:r>
        <w:t xml:space="preserve"> i</w:t>
      </w:r>
      <w:r w:rsidR="00D46F85">
        <w:t xml:space="preserve">t is possible that </w:t>
      </w:r>
      <w:r w:rsidR="00647C08">
        <w:t xml:space="preserve">importers, manufacturers and </w:t>
      </w:r>
      <w:r w:rsidR="00D46F85">
        <w:t xml:space="preserve">smaller retailers will be unable to dispose of their existing stocks of </w:t>
      </w:r>
      <w:r>
        <w:t xml:space="preserve">single-use </w:t>
      </w:r>
      <w:r w:rsidR="00787B87">
        <w:t>plastic shopping bags</w:t>
      </w:r>
      <w:r w:rsidR="00D46F85">
        <w:t xml:space="preserve"> by the end of the mandatory phase</w:t>
      </w:r>
      <w:r w:rsidR="00907B6E">
        <w:t>-</w:t>
      </w:r>
      <w:r w:rsidR="00D46F85">
        <w:t xml:space="preserve">out period. This risk will be mitigated by </w:t>
      </w:r>
      <w:r w:rsidR="00A17C57">
        <w:t>a number of proposed measures.</w:t>
      </w:r>
    </w:p>
    <w:p w14:paraId="1059B986" w14:textId="6E20EFF6" w:rsidR="00A17C57" w:rsidRDefault="00D46F85" w:rsidP="00982A70">
      <w:pPr>
        <w:pStyle w:val="ListParagraph"/>
        <w:numPr>
          <w:ilvl w:val="0"/>
          <w:numId w:val="47"/>
        </w:numPr>
      </w:pPr>
      <w:r>
        <w:t>a</w:t>
      </w:r>
      <w:r w:rsidR="00B54A76">
        <w:t>n</w:t>
      </w:r>
      <w:r>
        <w:t xml:space="preserve"> education and information campaign to ensure all </w:t>
      </w:r>
      <w:r w:rsidR="00647C08">
        <w:t xml:space="preserve">affected parties </w:t>
      </w:r>
      <w:r w:rsidR="00B54A76">
        <w:t>have early warning</w:t>
      </w:r>
    </w:p>
    <w:p w14:paraId="5D2F02B3" w14:textId="3E1C065C" w:rsidR="00A17C57" w:rsidRDefault="0058228F" w:rsidP="00982A70">
      <w:pPr>
        <w:pStyle w:val="ListParagraph"/>
        <w:numPr>
          <w:ilvl w:val="0"/>
          <w:numId w:val="47"/>
        </w:numPr>
      </w:pPr>
      <w:r>
        <w:t>facilitati</w:t>
      </w:r>
      <w:r w:rsidR="00907B6E">
        <w:t>ng</w:t>
      </w:r>
      <w:r w:rsidR="00A17C57">
        <w:t xml:space="preserve"> local recyclers to run a collection service </w:t>
      </w:r>
      <w:r>
        <w:t xml:space="preserve">for </w:t>
      </w:r>
      <w:r w:rsidR="00A17C57">
        <w:t xml:space="preserve">surplus single-use plastic shopping bags </w:t>
      </w:r>
      <w:r w:rsidR="00907B6E">
        <w:t xml:space="preserve">that </w:t>
      </w:r>
      <w:r w:rsidR="00A17C57">
        <w:t>can be recycled into new products (rather than being disposed of to landfill)</w:t>
      </w:r>
    </w:p>
    <w:p w14:paraId="6F876FA1" w14:textId="77777777" w:rsidR="00A17C57" w:rsidRDefault="00A17C57" w:rsidP="00982A70">
      <w:pPr>
        <w:pStyle w:val="ListParagraph"/>
        <w:numPr>
          <w:ilvl w:val="0"/>
          <w:numId w:val="47"/>
        </w:numPr>
      </w:pPr>
      <w:proofErr w:type="gramStart"/>
      <w:r>
        <w:t>retailers</w:t>
      </w:r>
      <w:proofErr w:type="gramEnd"/>
      <w:r>
        <w:t xml:space="preserve"> will not be prevented by the proposed regulations from selling or distributing surplus stock for purposes other than carrying away sold goods (</w:t>
      </w:r>
      <w:proofErr w:type="spellStart"/>
      <w:r>
        <w:t>eg</w:t>
      </w:r>
      <w:proofErr w:type="spellEnd"/>
      <w:r>
        <w:t>, bin liners or clean recycling feedstock).</w:t>
      </w:r>
    </w:p>
    <w:p w14:paraId="39D27531" w14:textId="0CD9460A" w:rsidR="00745DE5" w:rsidRDefault="00745DE5" w:rsidP="007B771C">
      <w:r>
        <w:t xml:space="preserve">Requiring consumers to pay up-front for </w:t>
      </w:r>
      <w:r w:rsidR="00B54A76">
        <w:t>new multi-use</w:t>
      </w:r>
      <w:r w:rsidR="00787B87">
        <w:t xml:space="preserve"> shopping bags</w:t>
      </w:r>
      <w:r>
        <w:t xml:space="preserve"> could disproportionately affect lower-income consumers. This could be mitigated by </w:t>
      </w:r>
      <w:r w:rsidR="00E23A59">
        <w:t xml:space="preserve">retailers </w:t>
      </w:r>
      <w:r>
        <w:t xml:space="preserve">allowing consumers who have Gold Cards or Community Service Cards </w:t>
      </w:r>
      <w:r w:rsidR="00E23A59">
        <w:t xml:space="preserve">a discount or </w:t>
      </w:r>
      <w:r>
        <w:t xml:space="preserve">exceptions. </w:t>
      </w:r>
      <w:r w:rsidR="00E23A59">
        <w:t>We</w:t>
      </w:r>
      <w:r w:rsidR="00B54A76">
        <w:t xml:space="preserve"> propose to help facilitate emerging partnerships between food ba</w:t>
      </w:r>
      <w:r w:rsidR="00E23A59">
        <w:t>n</w:t>
      </w:r>
      <w:r w:rsidR="00B54A76">
        <w:t>ks and donors to distribute free multi-use bags with food parcels.</w:t>
      </w:r>
    </w:p>
    <w:p w14:paraId="59E69C76" w14:textId="1AC5BD34" w:rsidR="0058228F" w:rsidRDefault="0058228F" w:rsidP="0058228F">
      <w:pPr>
        <w:spacing w:after="120"/>
      </w:pPr>
      <w:r>
        <w:t>While t</w:t>
      </w:r>
      <w:r w:rsidR="000B565E">
        <w:t>he intention of the phase out is to encourage a shift from single-use to multi-use me</w:t>
      </w:r>
      <w:r w:rsidR="00E23A59">
        <w:t xml:space="preserve">thods </w:t>
      </w:r>
      <w:r>
        <w:t>of transporting sold goods</w:t>
      </w:r>
      <w:r w:rsidR="00647C08">
        <w:t>,</w:t>
      </w:r>
      <w:r>
        <w:t xml:space="preserve"> it is not possible to control how</w:t>
      </w:r>
      <w:r w:rsidR="000B565E">
        <w:t xml:space="preserve"> individual consumer</w:t>
      </w:r>
      <w:r w:rsidR="005000AE">
        <w:t>s</w:t>
      </w:r>
      <w:r>
        <w:t xml:space="preserve"> will respond. If </w:t>
      </w:r>
      <w:r w:rsidR="000B565E">
        <w:t xml:space="preserve">multi-use bags </w:t>
      </w:r>
      <w:r>
        <w:t>are not</w:t>
      </w:r>
      <w:r w:rsidR="000B565E">
        <w:t xml:space="preserve"> reused by the consumer</w:t>
      </w:r>
      <w:r>
        <w:t xml:space="preserve"> to the design lifetime of the bags, net </w:t>
      </w:r>
      <w:r w:rsidR="000B565E">
        <w:t xml:space="preserve">resource </w:t>
      </w:r>
      <w:r>
        <w:t>use may increase</w:t>
      </w:r>
      <w:r w:rsidR="000B565E">
        <w:t xml:space="preserve"> –</w:t>
      </w:r>
      <w:r>
        <w:t xml:space="preserve"> </w:t>
      </w:r>
      <w:r w:rsidR="000B565E">
        <w:t>result</w:t>
      </w:r>
      <w:r w:rsidR="00C70981">
        <w:t>ing</w:t>
      </w:r>
      <w:r>
        <w:t xml:space="preserve"> in</w:t>
      </w:r>
      <w:r w:rsidR="000B565E">
        <w:t xml:space="preserve"> greater inefficiency and loss of resources </w:t>
      </w:r>
      <w:r w:rsidR="00647C08">
        <w:t xml:space="preserve">compared to </w:t>
      </w:r>
      <w:r>
        <w:t>the status quo.</w:t>
      </w:r>
      <w:r w:rsidR="000B565E">
        <w:t xml:space="preserve"> To </w:t>
      </w:r>
      <w:r>
        <w:t xml:space="preserve">mitigate this risk, proposed </w:t>
      </w:r>
      <w:r w:rsidR="00863001">
        <w:t xml:space="preserve">supplementary non-regulatory </w:t>
      </w:r>
      <w:r>
        <w:t>actions include</w:t>
      </w:r>
      <w:r w:rsidR="00647C08">
        <w:t>:</w:t>
      </w:r>
    </w:p>
    <w:p w14:paraId="7F0D3587" w14:textId="49A7ED28" w:rsidR="0058228F" w:rsidRDefault="0089045F" w:rsidP="0058228F">
      <w:pPr>
        <w:pStyle w:val="ListParagraph"/>
        <w:numPr>
          <w:ilvl w:val="0"/>
          <w:numId w:val="47"/>
        </w:numPr>
      </w:pPr>
      <w:proofErr w:type="gramStart"/>
      <w:r>
        <w:t>s</w:t>
      </w:r>
      <w:r w:rsidR="0058228F">
        <w:t>electing</w:t>
      </w:r>
      <w:proofErr w:type="gramEnd"/>
      <w:r w:rsidR="0058228F">
        <w:t xml:space="preserve"> </w:t>
      </w:r>
      <w:r w:rsidR="000B565E">
        <w:t>the thickness of bag</w:t>
      </w:r>
      <w:r w:rsidR="0058228F">
        <w:t xml:space="preserve"> to discourage </w:t>
      </w:r>
      <w:r w:rsidR="00647C08">
        <w:t xml:space="preserve">so-called </w:t>
      </w:r>
      <w:r w:rsidR="0058228F">
        <w:t xml:space="preserve">‘emergency bags’ </w:t>
      </w:r>
      <w:r w:rsidR="00647C08">
        <w:t xml:space="preserve">(thicker plastic bags designed to be used multiple times but are not as sturdy as most multi-use bags), </w:t>
      </w:r>
      <w:r w:rsidR="0058228F">
        <w:t xml:space="preserve">which may </w:t>
      </w:r>
      <w:r w:rsidR="00647C08">
        <w:t xml:space="preserve">be </w:t>
      </w:r>
      <w:r w:rsidR="0058228F">
        <w:t xml:space="preserve">more </w:t>
      </w:r>
      <w:r w:rsidR="00647C08">
        <w:t xml:space="preserve">likely to </w:t>
      </w:r>
      <w:r w:rsidR="0058228F">
        <w:t xml:space="preserve">be used </w:t>
      </w:r>
      <w:r w:rsidR="00647C08">
        <w:t xml:space="preserve">only </w:t>
      </w:r>
      <w:r w:rsidR="0058228F">
        <w:t xml:space="preserve">once </w:t>
      </w:r>
      <w:r w:rsidR="00647C08">
        <w:t xml:space="preserve">or twice </w:t>
      </w:r>
      <w:r w:rsidR="0058228F">
        <w:t>due to their cheap price</w:t>
      </w:r>
      <w:r w:rsidR="00775AB3">
        <w:t>.</w:t>
      </w:r>
    </w:p>
    <w:p w14:paraId="38CB7401" w14:textId="30872A7D" w:rsidR="0058228F" w:rsidRDefault="0089045F" w:rsidP="0058228F">
      <w:pPr>
        <w:pStyle w:val="ListParagraph"/>
        <w:numPr>
          <w:ilvl w:val="0"/>
          <w:numId w:val="47"/>
        </w:numPr>
      </w:pPr>
      <w:proofErr w:type="gramStart"/>
      <w:r>
        <w:t>p</w:t>
      </w:r>
      <w:r w:rsidR="00C70981">
        <w:t>rovi</w:t>
      </w:r>
      <w:r>
        <w:t>ding</w:t>
      </w:r>
      <w:proofErr w:type="gramEnd"/>
      <w:r w:rsidR="00C70981">
        <w:t xml:space="preserve"> public information, </w:t>
      </w:r>
      <w:r w:rsidR="0058228F">
        <w:t xml:space="preserve">particularly about </w:t>
      </w:r>
      <w:r>
        <w:t>the number of</w:t>
      </w:r>
      <w:r w:rsidR="0058228F">
        <w:t xml:space="preserve"> times certain types of multi-use bags need to be used to have a net environmental benefit</w:t>
      </w:r>
      <w:r w:rsidR="00775AB3">
        <w:t xml:space="preserve"> compared to single-use plastic shopping bags.</w:t>
      </w:r>
      <w:r w:rsidR="00647C08">
        <w:t xml:space="preserve"> This information would help consumers and retailers to make good choices about alternatives.</w:t>
      </w:r>
    </w:p>
    <w:p w14:paraId="702E1CDB" w14:textId="6B0D8233" w:rsidR="00C70981" w:rsidRPr="00210C3D" w:rsidRDefault="0089045F" w:rsidP="0058228F">
      <w:pPr>
        <w:pStyle w:val="ListParagraph"/>
        <w:numPr>
          <w:ilvl w:val="0"/>
          <w:numId w:val="47"/>
        </w:numPr>
      </w:pPr>
      <w:proofErr w:type="gramStart"/>
      <w:r>
        <w:t>w</w:t>
      </w:r>
      <w:r w:rsidR="0058228F">
        <w:t>orking</w:t>
      </w:r>
      <w:proofErr w:type="gramEnd"/>
      <w:r w:rsidR="0058228F">
        <w:t xml:space="preserve"> with</w:t>
      </w:r>
      <w:r w:rsidR="00C70981">
        <w:t xml:space="preserve"> retailers to encourage and incentivise desired behaviours (for example, New World supermarkets’ </w:t>
      </w:r>
      <w:r w:rsidR="00E23A59">
        <w:t xml:space="preserve">current </w:t>
      </w:r>
      <w:r w:rsidR="00C70981">
        <w:t xml:space="preserve">discount of 5c per reusable bag).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B771C" w:rsidRPr="00210C3D" w14:paraId="4AA0D46B" w14:textId="77777777" w:rsidTr="00A42D23">
        <w:tc>
          <w:tcPr>
            <w:tcW w:w="9067" w:type="dxa"/>
            <w:shd w:val="clear" w:color="auto" w:fill="99CDDD"/>
          </w:tcPr>
          <w:p w14:paraId="3415FD3D" w14:textId="4E55B718" w:rsidR="007B771C" w:rsidRPr="00210C3D" w:rsidRDefault="007B771C" w:rsidP="00A42D23">
            <w:pPr>
              <w:spacing w:before="60" w:after="60" w:line="240" w:lineRule="auto"/>
              <w:rPr>
                <w:b/>
                <w:i/>
                <w:szCs w:val="22"/>
              </w:rPr>
            </w:pPr>
            <w:r w:rsidRPr="00210C3D">
              <w:rPr>
                <w:b/>
                <w:szCs w:val="22"/>
              </w:rPr>
              <w:t>Identify any significant incompatibility with the Government’s ‘Expectations for the design of regulatory systems’</w:t>
            </w:r>
          </w:p>
        </w:tc>
      </w:tr>
    </w:tbl>
    <w:p w14:paraId="1701DCBF" w14:textId="331AB47D" w:rsidR="00970852" w:rsidRPr="00090C43" w:rsidRDefault="00C46DB6" w:rsidP="00090C43">
      <w:pPr>
        <w:spacing w:before="120" w:after="120"/>
      </w:pPr>
      <w:r w:rsidRPr="00090C43">
        <w:t xml:space="preserve">There are no significant incompatibilities with the Government’s ‘Expectations for the design of regulatory systems’. </w:t>
      </w:r>
      <w:r w:rsidR="00113B86">
        <w:t>T</w:t>
      </w:r>
      <w:r w:rsidRPr="00090C43">
        <w:t>he proposed approach will impose some</w:t>
      </w:r>
      <w:r w:rsidR="00C70981" w:rsidRPr="00090C43">
        <w:t xml:space="preserve"> limited</w:t>
      </w:r>
      <w:r w:rsidRPr="00090C43">
        <w:t xml:space="preserve"> costs on </w:t>
      </w:r>
      <w:r w:rsidR="00B54A76" w:rsidRPr="00090C43">
        <w:t>retailers, manufacturers</w:t>
      </w:r>
      <w:r w:rsidR="00113B86">
        <w:t xml:space="preserve"> and </w:t>
      </w:r>
      <w:r w:rsidR="00B54A76" w:rsidRPr="00090C43">
        <w:t>importers</w:t>
      </w:r>
      <w:r w:rsidR="00113B86">
        <w:t>,</w:t>
      </w:r>
      <w:r w:rsidR="00B54A76" w:rsidRPr="00090C43">
        <w:t xml:space="preserve"> and </w:t>
      </w:r>
      <w:r w:rsidRPr="00090C43">
        <w:t>consumers</w:t>
      </w:r>
      <w:r w:rsidR="00113B86">
        <w:t>. However</w:t>
      </w:r>
      <w:r w:rsidRPr="00090C43">
        <w:t xml:space="preserve">, it will contribute to </w:t>
      </w:r>
      <w:r w:rsidR="00113B86">
        <w:t xml:space="preserve">transitioning </w:t>
      </w:r>
      <w:r w:rsidRPr="00090C43">
        <w:t>to a more sustainable economy</w:t>
      </w:r>
      <w:r w:rsidR="00113B86">
        <w:t>,</w:t>
      </w:r>
      <w:r w:rsidRPr="00090C43">
        <w:t xml:space="preserve"> which </w:t>
      </w:r>
      <w:r w:rsidR="00745DE5" w:rsidRPr="00090C43">
        <w:t xml:space="preserve">will </w:t>
      </w:r>
      <w:r w:rsidR="00775AB3" w:rsidRPr="00090C43">
        <w:t xml:space="preserve">in due course </w:t>
      </w:r>
      <w:r w:rsidRPr="00090C43">
        <w:t>use New Zealand’s resources much more efficiently</w:t>
      </w:r>
      <w:r w:rsidR="003D0A8F" w:rsidRPr="00090C43">
        <w:t xml:space="preserve"> and provide opportunities for innovative product design and manufacture</w:t>
      </w:r>
      <w:r w:rsidRPr="00090C43">
        <w:t xml:space="preserve">. </w:t>
      </w:r>
    </w:p>
    <w:p w14:paraId="3D7E56FD" w14:textId="77777777" w:rsidR="00970852" w:rsidRDefault="00970852">
      <w:pPr>
        <w:spacing w:after="0" w:line="240" w:lineRule="auto"/>
        <w:rPr>
          <w:b/>
          <w:color w:val="0082AB"/>
          <w:spacing w:val="20"/>
          <w:w w:val="90"/>
          <w:sz w:val="32"/>
          <w:szCs w:val="24"/>
        </w:rPr>
      </w:pPr>
      <w:r>
        <w:br w:type="page"/>
      </w:r>
    </w:p>
    <w:p w14:paraId="32DC0C51" w14:textId="77777777" w:rsidR="00D64B10" w:rsidRPr="008603C7" w:rsidRDefault="007B771C" w:rsidP="00970852">
      <w:pPr>
        <w:pStyle w:val="Heading2"/>
      </w:pPr>
      <w:bookmarkStart w:id="5" w:name="_Toc528670862"/>
      <w:r w:rsidRPr="008603C7">
        <w:t>Section C</w:t>
      </w:r>
      <w:r>
        <w:t xml:space="preserve">: </w:t>
      </w:r>
      <w:r w:rsidRPr="008603C7">
        <w:t>Evidence certainty and quality assurance</w:t>
      </w:r>
      <w:bookmarkEnd w:id="5"/>
      <w:r w:rsidRPr="008603C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B771C" w:rsidRPr="00210C3D" w14:paraId="7CE4FF34" w14:textId="77777777" w:rsidTr="00A42D23">
        <w:trPr>
          <w:trHeight w:val="339"/>
        </w:trPr>
        <w:tc>
          <w:tcPr>
            <w:tcW w:w="9039" w:type="dxa"/>
            <w:shd w:val="clear" w:color="auto" w:fill="99CDDD"/>
          </w:tcPr>
          <w:p w14:paraId="3ED14230" w14:textId="77777777" w:rsidR="007B771C" w:rsidRPr="00210C3D" w:rsidRDefault="007B771C" w:rsidP="009274CD">
            <w:pPr>
              <w:keepNext/>
              <w:spacing w:before="60" w:after="60" w:line="240" w:lineRule="auto"/>
              <w:rPr>
                <w:b/>
                <w:szCs w:val="22"/>
              </w:rPr>
            </w:pPr>
            <w:r w:rsidRPr="00210C3D">
              <w:rPr>
                <w:b/>
                <w:szCs w:val="22"/>
              </w:rPr>
              <w:t xml:space="preserve">Agency rating of evidence certainty  </w:t>
            </w:r>
          </w:p>
        </w:tc>
      </w:tr>
    </w:tbl>
    <w:p w14:paraId="781F70F0" w14:textId="7EF08BB7" w:rsidR="007B771C" w:rsidRDefault="007B771C" w:rsidP="00746D82">
      <w:pPr>
        <w:spacing w:before="120"/>
        <w:rPr>
          <w:bCs/>
        </w:rPr>
      </w:pPr>
      <w:r w:rsidRPr="00C53F30">
        <w:rPr>
          <w:bCs/>
        </w:rPr>
        <w:t>Th</w:t>
      </w:r>
      <w:r w:rsidR="00B54A76">
        <w:rPr>
          <w:bCs/>
        </w:rPr>
        <w:t>e original assessment of regulatory and non-regulatory options was</w:t>
      </w:r>
      <w:r w:rsidRPr="00C53F30">
        <w:rPr>
          <w:bCs/>
        </w:rPr>
        <w:t xml:space="preserve"> based on information from overseas experience, which </w:t>
      </w:r>
      <w:r w:rsidR="00C77A18">
        <w:rPr>
          <w:bCs/>
        </w:rPr>
        <w:t xml:space="preserve">does not </w:t>
      </w:r>
      <w:r w:rsidR="005D09AE">
        <w:rPr>
          <w:bCs/>
        </w:rPr>
        <w:t xml:space="preserve">completely </w:t>
      </w:r>
      <w:r w:rsidR="00C77A18">
        <w:rPr>
          <w:bCs/>
        </w:rPr>
        <w:t>cover the</w:t>
      </w:r>
      <w:r w:rsidRPr="00C53F30">
        <w:rPr>
          <w:bCs/>
        </w:rPr>
        <w:t xml:space="preserve"> assessment criteria. </w:t>
      </w:r>
      <w:r w:rsidR="00C70981">
        <w:rPr>
          <w:bCs/>
        </w:rPr>
        <w:t xml:space="preserve">As some large retailers have already started phasing out </w:t>
      </w:r>
      <w:r w:rsidR="00787B87">
        <w:rPr>
          <w:bCs/>
        </w:rPr>
        <w:t>plastic shopping bags</w:t>
      </w:r>
      <w:r w:rsidR="00C70981">
        <w:rPr>
          <w:bCs/>
        </w:rPr>
        <w:t xml:space="preserve"> in their operations, we have access to direct on-the-ground</w:t>
      </w:r>
      <w:r w:rsidR="00FA6DF2">
        <w:rPr>
          <w:bCs/>
        </w:rPr>
        <w:t xml:space="preserve"> local</w:t>
      </w:r>
      <w:r w:rsidR="00C70981">
        <w:rPr>
          <w:bCs/>
        </w:rPr>
        <w:t xml:space="preserve"> experience of potential impacts on retail operations and their customers.</w:t>
      </w:r>
    </w:p>
    <w:p w14:paraId="693C9B8D" w14:textId="01AE537A" w:rsidR="00595D29" w:rsidRDefault="00595D29" w:rsidP="007B771C">
      <w:pPr>
        <w:rPr>
          <w:bCs/>
        </w:rPr>
      </w:pPr>
      <w:r>
        <w:rPr>
          <w:bCs/>
        </w:rPr>
        <w:t xml:space="preserve">There is also </w:t>
      </w:r>
      <w:r w:rsidR="00775AB3">
        <w:rPr>
          <w:bCs/>
        </w:rPr>
        <w:t xml:space="preserve">some </w:t>
      </w:r>
      <w:r>
        <w:rPr>
          <w:bCs/>
        </w:rPr>
        <w:t xml:space="preserve">uncertainty </w:t>
      </w:r>
      <w:r w:rsidR="00650610">
        <w:rPr>
          <w:bCs/>
        </w:rPr>
        <w:t xml:space="preserve">about </w:t>
      </w:r>
      <w:r>
        <w:rPr>
          <w:bCs/>
        </w:rPr>
        <w:t xml:space="preserve">the precise figures of </w:t>
      </w:r>
      <w:r w:rsidR="00787B87">
        <w:rPr>
          <w:bCs/>
        </w:rPr>
        <w:t>plastic shopping bags</w:t>
      </w:r>
      <w:r>
        <w:rPr>
          <w:bCs/>
        </w:rPr>
        <w:t xml:space="preserve"> imported and used in New Z</w:t>
      </w:r>
      <w:r w:rsidR="00775AB3">
        <w:rPr>
          <w:bCs/>
        </w:rPr>
        <w:t>ealand, as well as their costs</w:t>
      </w:r>
      <w:r w:rsidR="00B4555D">
        <w:rPr>
          <w:bCs/>
        </w:rPr>
        <w:t xml:space="preserve"> –</w:t>
      </w:r>
      <w:r w:rsidR="00775AB3">
        <w:rPr>
          <w:bCs/>
        </w:rPr>
        <w:t xml:space="preserve"> these are estimates not precise data. </w:t>
      </w:r>
    </w:p>
    <w:p w14:paraId="55284D82" w14:textId="32C9FDC7" w:rsidR="00D46F85" w:rsidRPr="00210C3D" w:rsidRDefault="00D46F85" w:rsidP="007B771C">
      <w:r>
        <w:rPr>
          <w:bCs/>
        </w:rPr>
        <w:t xml:space="preserve">These potential gaps </w:t>
      </w:r>
      <w:r w:rsidR="00775AB3">
        <w:rPr>
          <w:bCs/>
        </w:rPr>
        <w:t xml:space="preserve">were </w:t>
      </w:r>
      <w:r>
        <w:rPr>
          <w:bCs/>
        </w:rPr>
        <w:t>addressed by a national consultation exercise, which specifically request</w:t>
      </w:r>
      <w:r w:rsidR="00FA6DF2">
        <w:rPr>
          <w:bCs/>
        </w:rPr>
        <w:t>ed</w:t>
      </w:r>
      <w:r>
        <w:rPr>
          <w:bCs/>
        </w:rPr>
        <w:t xml:space="preserve"> evidence and data from retailers</w:t>
      </w:r>
      <w:r w:rsidR="00FA6DF2">
        <w:rPr>
          <w:bCs/>
        </w:rPr>
        <w:t xml:space="preserve"> and included visits and discussions with potentially affected parties</w:t>
      </w:r>
      <w:r w:rsidR="00180EB9">
        <w:rPr>
          <w:bCs/>
        </w:rPr>
        <w:t>,</w:t>
      </w:r>
      <w:r w:rsidR="00FA6DF2">
        <w:rPr>
          <w:bCs/>
        </w:rPr>
        <w:t xml:space="preserve"> such as bag importers and manufacturers</w:t>
      </w:r>
      <w:r w:rsidR="00180EB9">
        <w:rPr>
          <w:bCs/>
        </w:rPr>
        <w:t>,</w:t>
      </w:r>
      <w:r w:rsidR="00FA6DF2">
        <w:rPr>
          <w:bCs/>
        </w:rPr>
        <w:t xml:space="preserve"> and large retailers</w:t>
      </w:r>
      <w:r>
        <w:rPr>
          <w:bCs/>
        </w:rPr>
        <w:t>. Where possible, the results of this consultation have been integrated into th</w:t>
      </w:r>
      <w:r w:rsidR="001E666A">
        <w:rPr>
          <w:bCs/>
        </w:rPr>
        <w:t>e</w:t>
      </w:r>
      <w:r>
        <w:rPr>
          <w:bCs/>
        </w:rPr>
        <w:t xml:space="preserve"> R</w:t>
      </w:r>
      <w:r w:rsidR="00745DE5">
        <w:rPr>
          <w:bCs/>
        </w:rPr>
        <w:t xml:space="preserve">egulatory </w:t>
      </w:r>
      <w:r>
        <w:rPr>
          <w:bCs/>
        </w:rPr>
        <w:t>I</w:t>
      </w:r>
      <w:r w:rsidR="00745DE5">
        <w:rPr>
          <w:bCs/>
        </w:rPr>
        <w:t xml:space="preserve">mpact </w:t>
      </w:r>
      <w:r>
        <w:rPr>
          <w:bCs/>
        </w:rPr>
        <w:t>S</w:t>
      </w:r>
      <w:r w:rsidR="00745DE5">
        <w:rPr>
          <w:bCs/>
        </w:rPr>
        <w:t>tatement</w:t>
      </w:r>
      <w:r>
        <w:rPr>
          <w:bCs/>
        </w:rPr>
        <w:t xml:space="preserve">. </w:t>
      </w:r>
      <w:r w:rsidR="00676E24">
        <w:rPr>
          <w:bCs/>
        </w:rPr>
        <w:t xml:space="preserve">However, the evidence base </w:t>
      </w:r>
      <w:r w:rsidR="001E666A">
        <w:rPr>
          <w:bCs/>
        </w:rPr>
        <w:t xml:space="preserve">is </w:t>
      </w:r>
      <w:r w:rsidR="00676E24">
        <w:rPr>
          <w:bCs/>
        </w:rPr>
        <w:t>suitable for a qualitative but not qua</w:t>
      </w:r>
      <w:r w:rsidR="008B63E3">
        <w:rPr>
          <w:bCs/>
        </w:rPr>
        <w:t>nti</w:t>
      </w:r>
      <w:r w:rsidR="00676E24">
        <w:rPr>
          <w:bCs/>
        </w:rPr>
        <w:t>tative assessment.</w:t>
      </w:r>
    </w:p>
    <w:p w14:paraId="0632538A" w14:textId="77777777" w:rsidR="00CE0DFD" w:rsidRDefault="00CE0DFD">
      <w:pPr>
        <w:spacing w:after="0" w:line="240" w:lineRule="auto"/>
        <w:rPr>
          <w:i/>
          <w:szCs w:val="22"/>
        </w:rPr>
      </w:pPr>
    </w:p>
    <w:p w14:paraId="53BB8A68" w14:textId="77777777" w:rsidR="007B771C" w:rsidRPr="00210C3D" w:rsidRDefault="007B771C" w:rsidP="007B771C">
      <w:pPr>
        <w:spacing w:line="276" w:lineRule="auto"/>
        <w:rPr>
          <w:rFonts w:ascii="Arial Narrow" w:hAnsi="Arial Narrow"/>
          <w:i/>
          <w:szCs w:val="22"/>
        </w:rPr>
      </w:pPr>
      <w:r w:rsidRPr="00210C3D">
        <w:rPr>
          <w:i/>
          <w:szCs w:val="22"/>
        </w:rPr>
        <w:t>To be completed by quality assurers: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B771C" w:rsidRPr="00210C3D" w14:paraId="56EBE8BC" w14:textId="77777777" w:rsidTr="00A42D23">
        <w:trPr>
          <w:trHeight w:val="77"/>
        </w:trPr>
        <w:tc>
          <w:tcPr>
            <w:tcW w:w="9067" w:type="dxa"/>
            <w:shd w:val="clear" w:color="auto" w:fill="99CDDD"/>
            <w:hideMark/>
          </w:tcPr>
          <w:p w14:paraId="5CB9973D" w14:textId="77777777" w:rsidR="007B771C" w:rsidRPr="00210C3D" w:rsidRDefault="007B771C" w:rsidP="00A42D23">
            <w:pPr>
              <w:spacing w:before="60" w:after="60" w:line="240" w:lineRule="auto"/>
              <w:rPr>
                <w:szCs w:val="22"/>
              </w:rPr>
            </w:pPr>
            <w:r w:rsidRPr="00210C3D">
              <w:rPr>
                <w:szCs w:val="22"/>
              </w:rPr>
              <w:t>Quality Assurance Reviewing Agency:</w:t>
            </w:r>
          </w:p>
        </w:tc>
      </w:tr>
      <w:tr w:rsidR="007B771C" w:rsidRPr="00210C3D" w14:paraId="59EA432E" w14:textId="77777777" w:rsidTr="00A42D23">
        <w:trPr>
          <w:trHeight w:val="850"/>
        </w:trPr>
        <w:tc>
          <w:tcPr>
            <w:tcW w:w="9067" w:type="dxa"/>
            <w:shd w:val="clear" w:color="auto" w:fill="FFFFFF"/>
          </w:tcPr>
          <w:p w14:paraId="10F9CAEB" w14:textId="239A15CE" w:rsidR="007B771C" w:rsidRPr="00210C3D" w:rsidRDefault="009C29FB" w:rsidP="00A42D23">
            <w:pPr>
              <w:pStyle w:val="spacer"/>
              <w:spacing w:line="276" w:lineRule="auto"/>
              <w:rPr>
                <w:sz w:val="22"/>
              </w:rPr>
            </w:pPr>
            <w:r>
              <w:rPr>
                <w:sz w:val="22"/>
              </w:rPr>
              <w:t>The Treasury</w:t>
            </w:r>
          </w:p>
        </w:tc>
      </w:tr>
      <w:tr w:rsidR="007B771C" w:rsidRPr="00210C3D" w14:paraId="6AF2BC5B" w14:textId="77777777" w:rsidTr="00A42D23">
        <w:trPr>
          <w:trHeight w:val="109"/>
        </w:trPr>
        <w:tc>
          <w:tcPr>
            <w:tcW w:w="9067" w:type="dxa"/>
            <w:shd w:val="clear" w:color="auto" w:fill="99CDDD"/>
          </w:tcPr>
          <w:p w14:paraId="0B202331" w14:textId="77777777" w:rsidR="007B771C" w:rsidRPr="00210C3D" w:rsidRDefault="007B771C" w:rsidP="00A42D23">
            <w:pPr>
              <w:spacing w:before="60" w:after="60" w:line="240" w:lineRule="auto"/>
              <w:rPr>
                <w:szCs w:val="22"/>
              </w:rPr>
            </w:pPr>
            <w:r w:rsidRPr="00210C3D">
              <w:rPr>
                <w:szCs w:val="22"/>
              </w:rPr>
              <w:t>Quality Assurance Assessment:</w:t>
            </w:r>
          </w:p>
        </w:tc>
      </w:tr>
      <w:tr w:rsidR="007B771C" w:rsidRPr="00210C3D" w14:paraId="04AD9EEB" w14:textId="77777777" w:rsidTr="00A42D23">
        <w:trPr>
          <w:trHeight w:val="850"/>
        </w:trPr>
        <w:tc>
          <w:tcPr>
            <w:tcW w:w="9067" w:type="dxa"/>
            <w:shd w:val="clear" w:color="auto" w:fill="FFFFFF"/>
          </w:tcPr>
          <w:p w14:paraId="4C5A1907" w14:textId="40B3C5FD" w:rsidR="00982A70" w:rsidRDefault="00982A70" w:rsidP="00982A70">
            <w:pPr>
              <w:pStyle w:val="spacer"/>
              <w:spacing w:line="276" w:lineRule="auto"/>
              <w:rPr>
                <w:sz w:val="22"/>
              </w:rPr>
            </w:pPr>
            <w:r w:rsidRPr="00982A70">
              <w:rPr>
                <w:sz w:val="22"/>
              </w:rPr>
              <w:t>The Regulatory Quality Team (RQT) at the Treasury has reviewed the Regulatory Impact Assessment “Phasing out single-use plastic shopping bags” produced by the Ministry for the Environment and dated 23 October 2018. The review team considers that it meets the Quality Assurance criteria.</w:t>
            </w:r>
          </w:p>
          <w:p w14:paraId="561BD455" w14:textId="2DC52B58" w:rsidR="007B771C" w:rsidRPr="00210C3D" w:rsidRDefault="007B771C" w:rsidP="00982A70">
            <w:pPr>
              <w:pStyle w:val="spacer"/>
              <w:spacing w:line="276" w:lineRule="auto"/>
              <w:rPr>
                <w:sz w:val="22"/>
              </w:rPr>
            </w:pPr>
          </w:p>
        </w:tc>
      </w:tr>
      <w:tr w:rsidR="007B771C" w:rsidRPr="00210C3D" w14:paraId="540C0938" w14:textId="77777777" w:rsidTr="00A42D23">
        <w:trPr>
          <w:trHeight w:val="56"/>
        </w:trPr>
        <w:tc>
          <w:tcPr>
            <w:tcW w:w="9067" w:type="dxa"/>
            <w:shd w:val="clear" w:color="auto" w:fill="99CDDD"/>
          </w:tcPr>
          <w:p w14:paraId="13B64F47" w14:textId="77777777" w:rsidR="007B771C" w:rsidRPr="00210C3D" w:rsidRDefault="007B771C" w:rsidP="00A42D23">
            <w:pPr>
              <w:spacing w:before="60" w:after="60" w:line="240" w:lineRule="auto"/>
              <w:rPr>
                <w:szCs w:val="22"/>
              </w:rPr>
            </w:pPr>
            <w:r w:rsidRPr="00210C3D">
              <w:rPr>
                <w:szCs w:val="22"/>
              </w:rPr>
              <w:t>Reviewer Comments and Recommendations:</w:t>
            </w:r>
          </w:p>
        </w:tc>
      </w:tr>
      <w:tr w:rsidR="00982A70" w:rsidRPr="00210C3D" w14:paraId="60B9BB6D" w14:textId="77777777" w:rsidTr="00982A70">
        <w:trPr>
          <w:trHeight w:val="56"/>
        </w:trPr>
        <w:tc>
          <w:tcPr>
            <w:tcW w:w="9067" w:type="dxa"/>
            <w:shd w:val="clear" w:color="auto" w:fill="auto"/>
          </w:tcPr>
          <w:p w14:paraId="6B70C81C" w14:textId="3804A10A" w:rsidR="00982A70" w:rsidRPr="00982A70" w:rsidRDefault="00982A70" w:rsidP="00982A70">
            <w:pPr>
              <w:pStyle w:val="spacer"/>
              <w:spacing w:line="276" w:lineRule="auto"/>
              <w:rPr>
                <w:sz w:val="22"/>
              </w:rPr>
            </w:pPr>
            <w:r w:rsidRPr="00982A70">
              <w:rPr>
                <w:sz w:val="22"/>
              </w:rPr>
              <w:t>The problem definition is clear and the options are well set out, drawing on overseas and local experience. There is some uncertainty around consumer behaviour in response to medium-weight bags and this would need to be carefully monitored by the Ministry for the Environment.</w:t>
            </w:r>
          </w:p>
        </w:tc>
      </w:tr>
    </w:tbl>
    <w:p w14:paraId="6CCA8C8C" w14:textId="77777777" w:rsidR="00C00D4B" w:rsidRDefault="00C00D4B" w:rsidP="007B771C">
      <w:pPr>
        <w:pStyle w:val="Heading1"/>
        <w:spacing w:line="276" w:lineRule="auto"/>
        <w:rPr>
          <w:color w:val="0082AB"/>
        </w:rPr>
      </w:pPr>
    </w:p>
    <w:p w14:paraId="317EC395" w14:textId="77777777" w:rsidR="00C00D4B" w:rsidRDefault="00C00D4B" w:rsidP="00C00D4B">
      <w:pPr>
        <w:rPr>
          <w:spacing w:val="20"/>
          <w:w w:val="90"/>
          <w:sz w:val="44"/>
          <w:szCs w:val="44"/>
        </w:rPr>
      </w:pPr>
      <w:r>
        <w:br w:type="page"/>
      </w:r>
    </w:p>
    <w:p w14:paraId="6721F42F" w14:textId="77777777" w:rsidR="007B771C" w:rsidRDefault="007B771C" w:rsidP="007B771C">
      <w:pPr>
        <w:pStyle w:val="Heading1"/>
        <w:spacing w:line="276" w:lineRule="auto"/>
        <w:rPr>
          <w:color w:val="0082AB"/>
        </w:rPr>
      </w:pPr>
      <w:bookmarkStart w:id="6" w:name="_Toc528670863"/>
      <w:r w:rsidRPr="0005691A">
        <w:rPr>
          <w:color w:val="0082AB"/>
        </w:rPr>
        <w:t>Impact Statement</w:t>
      </w:r>
      <w:r>
        <w:rPr>
          <w:color w:val="0082AB"/>
        </w:rPr>
        <w:t>:</w:t>
      </w:r>
      <w:r w:rsidRPr="0005691A">
        <w:rPr>
          <w:color w:val="0082AB"/>
        </w:rPr>
        <w:t xml:space="preserve"> </w:t>
      </w:r>
      <w:r>
        <w:rPr>
          <w:color w:val="0082AB"/>
        </w:rPr>
        <w:t xml:space="preserve">Phasing out single-use plastic </w:t>
      </w:r>
      <w:r w:rsidR="00787B87">
        <w:rPr>
          <w:color w:val="0082AB"/>
        </w:rPr>
        <w:t xml:space="preserve">shopping </w:t>
      </w:r>
      <w:r>
        <w:rPr>
          <w:color w:val="0082AB"/>
        </w:rPr>
        <w:t>bags</w:t>
      </w:r>
      <w:bookmarkEnd w:id="6"/>
    </w:p>
    <w:p w14:paraId="1CA18CBD" w14:textId="77777777" w:rsidR="007B771C" w:rsidRPr="0005691A" w:rsidRDefault="007B771C" w:rsidP="007C039F">
      <w:pPr>
        <w:pStyle w:val="Heading2"/>
      </w:pPr>
      <w:bookmarkStart w:id="7" w:name="_Toc528670864"/>
      <w:r w:rsidRPr="0005691A">
        <w:t>Section 1: General information</w:t>
      </w:r>
      <w:bookmarkEnd w:id="7"/>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7B771C" w:rsidRPr="009C4129" w14:paraId="435AE706" w14:textId="77777777" w:rsidTr="00A42D23">
        <w:tc>
          <w:tcPr>
            <w:tcW w:w="5000" w:type="pct"/>
            <w:shd w:val="clear" w:color="auto" w:fill="99CDDD"/>
            <w:hideMark/>
          </w:tcPr>
          <w:p w14:paraId="7CA0E415" w14:textId="77777777" w:rsidR="007B771C" w:rsidRPr="009C4129" w:rsidRDefault="007B771C" w:rsidP="00A42D23">
            <w:pPr>
              <w:spacing w:before="60" w:after="60" w:line="240" w:lineRule="auto"/>
              <w:rPr>
                <w:rFonts w:cs="Arial"/>
                <w:b/>
                <w:szCs w:val="22"/>
              </w:rPr>
            </w:pPr>
            <w:r w:rsidRPr="009C4129">
              <w:rPr>
                <w:rFonts w:cs="Arial"/>
                <w:b/>
                <w:szCs w:val="22"/>
              </w:rPr>
              <w:t>Purpose</w:t>
            </w:r>
          </w:p>
        </w:tc>
      </w:tr>
    </w:tbl>
    <w:p w14:paraId="115DB284" w14:textId="77777777" w:rsidR="007B771C" w:rsidRPr="009C4129" w:rsidRDefault="002D0DCA" w:rsidP="00746D82">
      <w:pPr>
        <w:spacing w:before="120"/>
      </w:pPr>
      <w:r w:rsidRPr="00384E9B">
        <w:rPr>
          <w:rFonts w:cs="Arial"/>
          <w:color w:val="000000"/>
          <w:szCs w:val="22"/>
        </w:rPr>
        <w:t>This analysis and advice has been produced for the purpose of informing</w:t>
      </w:r>
      <w:r>
        <w:rPr>
          <w:rFonts w:cs="Arial"/>
          <w:color w:val="000000"/>
          <w:szCs w:val="22"/>
        </w:rPr>
        <w:t xml:space="preserve"> </w:t>
      </w:r>
      <w:r w:rsidRPr="009C4129">
        <w:rPr>
          <w:rFonts w:cs="Arial"/>
          <w:szCs w:val="22"/>
        </w:rPr>
        <w:t>policy decisions to b</w:t>
      </w:r>
      <w:r>
        <w:rPr>
          <w:rFonts w:cs="Arial"/>
          <w:szCs w:val="22"/>
        </w:rPr>
        <w:t>e taken by Cabinet</w:t>
      </w:r>
      <w:r w:rsidR="00D64B10">
        <w:rPr>
          <w:rFonts w:cs="Arial"/>
          <w:szCs w:val="22"/>
        </w:rPr>
        <w:t xml:space="preserve"> on how to implement a proposed mandatory phase out of single-use plastic shopping bags</w:t>
      </w:r>
      <w:r>
        <w:rPr>
          <w:rFonts w:cs="Arial"/>
          <w:szCs w:val="22"/>
        </w:rPr>
        <w:t>.</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7B771C" w:rsidRPr="009C4129" w14:paraId="64DEE1DD" w14:textId="77777777" w:rsidTr="00A42D23">
        <w:tc>
          <w:tcPr>
            <w:tcW w:w="5000" w:type="pct"/>
            <w:shd w:val="clear" w:color="auto" w:fill="99CDDD"/>
            <w:hideMark/>
          </w:tcPr>
          <w:p w14:paraId="5296238E" w14:textId="2E1C70AE" w:rsidR="007B771C" w:rsidRPr="009C4129" w:rsidRDefault="007B771C" w:rsidP="00756A8E">
            <w:pPr>
              <w:keepNext/>
              <w:spacing w:before="60" w:after="60" w:line="240" w:lineRule="auto"/>
              <w:rPr>
                <w:rFonts w:cs="Arial"/>
                <w:b/>
                <w:color w:val="002060"/>
                <w:szCs w:val="22"/>
              </w:rPr>
            </w:pPr>
            <w:r w:rsidRPr="009C4129">
              <w:rPr>
                <w:rFonts w:cs="Arial"/>
                <w:b/>
                <w:szCs w:val="22"/>
              </w:rPr>
              <w:t>Key Limitations or Constraints on Analysis</w:t>
            </w:r>
          </w:p>
        </w:tc>
      </w:tr>
    </w:tbl>
    <w:p w14:paraId="558BCEF9" w14:textId="77777777" w:rsidR="007B771C" w:rsidRDefault="009C29FB" w:rsidP="00746D82">
      <w:pPr>
        <w:spacing w:before="120"/>
      </w:pPr>
      <w:bookmarkStart w:id="8" w:name="_Toc363047038"/>
      <w:bookmarkStart w:id="9" w:name="_Toc362940530"/>
      <w:bookmarkStart w:id="10" w:name="_Toc362618966"/>
      <w:bookmarkStart w:id="11" w:name="_Toc362434720"/>
      <w:bookmarkStart w:id="12" w:name="_Toc362368098"/>
      <w:r>
        <w:t xml:space="preserve">Cabinet has made the decision </w:t>
      </w:r>
      <w:r w:rsidR="00970E6E">
        <w:t xml:space="preserve">in </w:t>
      </w:r>
      <w:r w:rsidR="000B3D95">
        <w:t xml:space="preserve">principle </w:t>
      </w:r>
      <w:r>
        <w:t xml:space="preserve">to proceed with a mandatory phase out of </w:t>
      </w:r>
      <w:r w:rsidR="00787B87">
        <w:t xml:space="preserve">single-use </w:t>
      </w:r>
      <w:r>
        <w:t>plastic</w:t>
      </w:r>
      <w:r w:rsidR="00787B87">
        <w:t xml:space="preserve"> shopping</w:t>
      </w:r>
      <w:r>
        <w:t xml:space="preserve"> bags</w:t>
      </w:r>
      <w:r w:rsidR="000B3D95">
        <w:t>, subject to the outcomes of public consultation</w:t>
      </w:r>
      <w:r w:rsidR="00970E6E">
        <w:t xml:space="preserve"> </w:t>
      </w:r>
      <w:r w:rsidR="00970E6E">
        <w:rPr>
          <w:rFonts w:eastAsia="Calibri" w:cs="Arial"/>
          <w:szCs w:val="22"/>
          <w:lang w:val="en-NZ" w:eastAsia="en-NZ"/>
        </w:rPr>
        <w:t>(</w:t>
      </w:r>
      <w:r w:rsidR="00970E6E" w:rsidRPr="00970E6E">
        <w:rPr>
          <w:rFonts w:eastAsia="Calibri" w:cs="Arial"/>
          <w:bCs/>
          <w:szCs w:val="22"/>
          <w:lang w:val="en-NZ" w:eastAsia="en-NZ"/>
        </w:rPr>
        <w:t>CBC-18-MIN-0076</w:t>
      </w:r>
      <w:r w:rsidR="00970E6E" w:rsidRPr="0086038E">
        <w:rPr>
          <w:rFonts w:eastAsia="Calibri" w:cs="Arial"/>
          <w:szCs w:val="22"/>
          <w:lang w:val="en-NZ" w:eastAsia="en-NZ"/>
        </w:rPr>
        <w:t xml:space="preserve"> </w:t>
      </w:r>
      <w:r w:rsidR="00970E6E">
        <w:rPr>
          <w:rFonts w:eastAsia="Calibri" w:cs="Arial"/>
          <w:szCs w:val="22"/>
          <w:lang w:val="en-NZ" w:eastAsia="en-NZ"/>
        </w:rPr>
        <w:t>refers).</w:t>
      </w:r>
      <w:r>
        <w:t xml:space="preserve"> </w:t>
      </w:r>
    </w:p>
    <w:p w14:paraId="6F9011AD" w14:textId="7105AE59" w:rsidR="009C29FB" w:rsidRDefault="009C29FB" w:rsidP="007B771C">
      <w:r>
        <w:t xml:space="preserve">The evidence drawn on for this RIS </w:t>
      </w:r>
      <w:r w:rsidR="000B3D95">
        <w:t>on the environmental harms caused by single-use plastic</w:t>
      </w:r>
      <w:r w:rsidR="00787B87">
        <w:t xml:space="preserve"> shopping</w:t>
      </w:r>
      <w:r w:rsidR="000B3D95">
        <w:t xml:space="preserve"> bags </w:t>
      </w:r>
      <w:r>
        <w:t>is not comprehensive, and draws strongly from overseas experience</w:t>
      </w:r>
      <w:r w:rsidR="00037128">
        <w:t xml:space="preserve"> to supplement incomplete local research and data</w:t>
      </w:r>
      <w:r>
        <w:t xml:space="preserve">. </w:t>
      </w:r>
    </w:p>
    <w:p w14:paraId="05031748" w14:textId="2D918D99" w:rsidR="009C29FB" w:rsidRDefault="009C29FB" w:rsidP="005176B9">
      <w:r>
        <w:t xml:space="preserve">The options considered </w:t>
      </w:r>
      <w:r w:rsidR="0074755F">
        <w:t xml:space="preserve">to address these harms, both </w:t>
      </w:r>
      <w:r w:rsidR="00970E6E">
        <w:t>prior to Cabinet’s in</w:t>
      </w:r>
      <w:r w:rsidR="00904B82">
        <w:t>-</w:t>
      </w:r>
      <w:r w:rsidR="00970E6E">
        <w:t>princip</w:t>
      </w:r>
      <w:r w:rsidR="00CC205E">
        <w:t>le</w:t>
      </w:r>
      <w:r w:rsidR="00970E6E">
        <w:t xml:space="preserve"> decision and </w:t>
      </w:r>
      <w:r>
        <w:t>in this RIS</w:t>
      </w:r>
      <w:r w:rsidR="0074755F">
        <w:t>,</w:t>
      </w:r>
      <w:r>
        <w:t xml:space="preserve"> are</w:t>
      </w:r>
      <w:r w:rsidR="0074755F">
        <w:t xml:space="preserve"> informed by overseas </w:t>
      </w:r>
      <w:r>
        <w:t>experience</w:t>
      </w:r>
      <w:r w:rsidR="0074755F">
        <w:t>.</w:t>
      </w:r>
      <w:r w:rsidR="005176B9">
        <w:t xml:space="preserve"> There is</w:t>
      </w:r>
      <w:r w:rsidR="00273016">
        <w:t>,</w:t>
      </w:r>
      <w:r w:rsidR="005176B9">
        <w:t xml:space="preserve"> therefore</w:t>
      </w:r>
      <w:r w:rsidR="00273016">
        <w:t>,</w:t>
      </w:r>
      <w:r w:rsidR="005176B9">
        <w:t xml:space="preserve"> some uncertainty about likely consumer behaviour in New Zealand, in particular how consumers are likely to use medium-weight plastic shopping bags – whether they would treat them as reusable or </w:t>
      </w:r>
      <w:r w:rsidR="00273016">
        <w:t xml:space="preserve">as </w:t>
      </w:r>
      <w:r w:rsidR="005176B9">
        <w:t>single-use bags.</w:t>
      </w:r>
    </w:p>
    <w:p w14:paraId="62A0DB54" w14:textId="77777777" w:rsidR="007B771C" w:rsidRDefault="009344B9" w:rsidP="007B771C">
      <w:r>
        <w:t xml:space="preserve">The impact analysis in this RIS has been completed with the information available, and with the results of the consultation based on the discussion document. </w:t>
      </w:r>
    </w:p>
    <w:p w14:paraId="500B0BDE" w14:textId="77777777" w:rsidR="00D64B10" w:rsidRDefault="00D64B10" w:rsidP="007B771C">
      <w:r w:rsidRPr="00E0786B">
        <w:rPr>
          <w:rFonts w:cs="Arial"/>
          <w:color w:val="000000"/>
          <w:szCs w:val="22"/>
        </w:rPr>
        <w:t>The Ministry for the Environment</w:t>
      </w:r>
      <w:r w:rsidRPr="00384E9B">
        <w:rPr>
          <w:rFonts w:cs="Arial"/>
          <w:color w:val="000000"/>
          <w:szCs w:val="22"/>
        </w:rPr>
        <w:t xml:space="preserve"> is solely responsible for the analysis and advice set out in this Regulatory Impact Statement</w:t>
      </w:r>
      <w:r>
        <w:rPr>
          <w:rFonts w:cs="Arial"/>
          <w:color w:val="000000"/>
          <w:szCs w:val="22"/>
        </w:rPr>
        <w:t xml:space="preserve"> (RIS)</w:t>
      </w:r>
      <w:r w:rsidRPr="00384E9B">
        <w:rPr>
          <w:rFonts w:cs="Arial"/>
          <w:color w:val="000000"/>
          <w:szCs w:val="22"/>
        </w:rPr>
        <w:t>, except as otherwise explicitly indicated.</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7B771C" w:rsidRPr="009C4129" w14:paraId="08D14E11" w14:textId="77777777" w:rsidTr="00A42D23">
        <w:tc>
          <w:tcPr>
            <w:tcW w:w="5000" w:type="pct"/>
            <w:shd w:val="clear" w:color="auto" w:fill="99CDDD"/>
            <w:hideMark/>
          </w:tcPr>
          <w:p w14:paraId="52D32222" w14:textId="77777777" w:rsidR="007B771C" w:rsidRPr="009C4129" w:rsidRDefault="007B771C" w:rsidP="00A42D23">
            <w:pPr>
              <w:spacing w:before="60" w:after="60" w:line="240" w:lineRule="auto"/>
              <w:rPr>
                <w:rFonts w:cs="Arial"/>
                <w:b/>
                <w:szCs w:val="22"/>
              </w:rPr>
            </w:pPr>
            <w:r w:rsidRPr="009C4129">
              <w:rPr>
                <w:rFonts w:cs="Arial"/>
                <w:b/>
                <w:szCs w:val="22"/>
              </w:rPr>
              <w:t>Responsible Manager (signature and date):</w:t>
            </w:r>
          </w:p>
        </w:tc>
      </w:tr>
      <w:tr w:rsidR="007B771C" w:rsidRPr="009C4129" w14:paraId="075E0308" w14:textId="77777777" w:rsidTr="00A42D23">
        <w:trPr>
          <w:trHeight w:val="3404"/>
        </w:trPr>
        <w:tc>
          <w:tcPr>
            <w:tcW w:w="5000" w:type="pct"/>
            <w:shd w:val="clear" w:color="auto" w:fill="FFFFFF"/>
          </w:tcPr>
          <w:p w14:paraId="60ACA23D" w14:textId="590E3E35" w:rsidR="007B771C" w:rsidRPr="009C4129" w:rsidRDefault="00D16EAB" w:rsidP="00A42D23">
            <w:pPr>
              <w:spacing w:before="60" w:line="276" w:lineRule="auto"/>
              <w:ind w:left="284" w:hanging="284"/>
              <w:jc w:val="both"/>
              <w:rPr>
                <w:rFonts w:cs="Arial"/>
                <w:szCs w:val="22"/>
              </w:rPr>
            </w:pPr>
            <w:r>
              <w:rPr>
                <w:rFonts w:cs="Arial"/>
                <w:szCs w:val="22"/>
              </w:rPr>
              <w:t>Hinemoa Awatere</w:t>
            </w:r>
          </w:p>
          <w:p w14:paraId="59D8E39D" w14:textId="64BF4264" w:rsidR="007B771C" w:rsidRPr="009C4129" w:rsidRDefault="00D16EAB" w:rsidP="00A42D23">
            <w:pPr>
              <w:spacing w:before="60" w:line="276" w:lineRule="auto"/>
              <w:ind w:left="284" w:hanging="284"/>
              <w:jc w:val="both"/>
              <w:rPr>
                <w:rFonts w:cs="Arial"/>
                <w:szCs w:val="22"/>
              </w:rPr>
            </w:pPr>
            <w:proofErr w:type="spellStart"/>
            <w:r>
              <w:rPr>
                <w:rFonts w:cs="Arial"/>
                <w:szCs w:val="22"/>
              </w:rPr>
              <w:t>Hono</w:t>
            </w:r>
            <w:proofErr w:type="spellEnd"/>
            <w:r>
              <w:rPr>
                <w:rFonts w:cs="Arial"/>
                <w:szCs w:val="22"/>
              </w:rPr>
              <w:t xml:space="preserve"> </w:t>
            </w:r>
            <w:proofErr w:type="spellStart"/>
            <w:r>
              <w:rPr>
                <w:rFonts w:cs="Arial"/>
                <w:szCs w:val="22"/>
              </w:rPr>
              <w:t>Tātaki</w:t>
            </w:r>
            <w:proofErr w:type="spellEnd"/>
            <w:r>
              <w:rPr>
                <w:rFonts w:cs="Arial"/>
                <w:szCs w:val="22"/>
              </w:rPr>
              <w:t xml:space="preserve"> – Resource </w:t>
            </w:r>
            <w:r w:rsidR="002101BE">
              <w:rPr>
                <w:rFonts w:cs="Arial"/>
                <w:szCs w:val="22"/>
              </w:rPr>
              <w:t>Efficiency and I</w:t>
            </w:r>
            <w:r>
              <w:rPr>
                <w:rFonts w:cs="Arial"/>
                <w:szCs w:val="22"/>
              </w:rPr>
              <w:t>nnovation</w:t>
            </w:r>
          </w:p>
          <w:p w14:paraId="70A0D5A0" w14:textId="276F0AEE" w:rsidR="007B771C" w:rsidRPr="009C4129" w:rsidRDefault="00D16EAB" w:rsidP="00A42D23">
            <w:pPr>
              <w:spacing w:before="60" w:line="276" w:lineRule="auto"/>
              <w:ind w:left="284" w:hanging="284"/>
              <w:jc w:val="both"/>
              <w:rPr>
                <w:rFonts w:cs="Arial"/>
                <w:szCs w:val="22"/>
              </w:rPr>
            </w:pPr>
            <w:r>
              <w:rPr>
                <w:rFonts w:cs="Arial"/>
                <w:szCs w:val="22"/>
              </w:rPr>
              <w:t xml:space="preserve">Mana </w:t>
            </w:r>
            <w:proofErr w:type="spellStart"/>
            <w:r>
              <w:rPr>
                <w:rFonts w:cs="Arial"/>
                <w:szCs w:val="22"/>
              </w:rPr>
              <w:t>Honohono</w:t>
            </w:r>
            <w:proofErr w:type="spellEnd"/>
            <w:r>
              <w:rPr>
                <w:rFonts w:cs="Arial"/>
                <w:szCs w:val="22"/>
              </w:rPr>
              <w:t xml:space="preserve"> </w:t>
            </w:r>
            <w:r w:rsidR="002101BE">
              <w:rPr>
                <w:rFonts w:cs="Arial"/>
                <w:szCs w:val="22"/>
              </w:rPr>
              <w:t>–</w:t>
            </w:r>
            <w:r>
              <w:rPr>
                <w:rFonts w:cs="Arial"/>
                <w:szCs w:val="22"/>
              </w:rPr>
              <w:t xml:space="preserve"> </w:t>
            </w:r>
            <w:r w:rsidR="00037128">
              <w:rPr>
                <w:rFonts w:cs="Arial"/>
                <w:szCs w:val="22"/>
              </w:rPr>
              <w:t xml:space="preserve">Investments </w:t>
            </w:r>
            <w:r w:rsidR="002101BE">
              <w:rPr>
                <w:rFonts w:cs="Arial"/>
                <w:szCs w:val="22"/>
              </w:rPr>
              <w:t>and Partnerships</w:t>
            </w:r>
          </w:p>
          <w:p w14:paraId="653041ED" w14:textId="568EC130" w:rsidR="007B771C" w:rsidRPr="009C4129" w:rsidRDefault="00D16EAB" w:rsidP="00A42D23">
            <w:pPr>
              <w:spacing w:before="60" w:line="276" w:lineRule="auto"/>
              <w:ind w:left="284" w:hanging="284"/>
              <w:jc w:val="both"/>
              <w:rPr>
                <w:rFonts w:cs="Arial"/>
                <w:szCs w:val="22"/>
              </w:rPr>
            </w:pPr>
            <w:r>
              <w:rPr>
                <w:rFonts w:cs="Arial"/>
                <w:szCs w:val="22"/>
              </w:rPr>
              <w:t>Ministry for the Environment</w:t>
            </w:r>
          </w:p>
        </w:tc>
      </w:tr>
    </w:tbl>
    <w:p w14:paraId="3CA70CE5" w14:textId="77777777" w:rsidR="007B771C" w:rsidRDefault="007B771C" w:rsidP="007B771C"/>
    <w:p w14:paraId="6FA66F80" w14:textId="77777777" w:rsidR="007B771C" w:rsidRPr="0005691A" w:rsidRDefault="007B771C" w:rsidP="007C039F">
      <w:pPr>
        <w:pStyle w:val="Heading2"/>
      </w:pPr>
      <w:r w:rsidRPr="002D0D7F">
        <w:rPr>
          <w:szCs w:val="22"/>
        </w:rPr>
        <w:br w:type="page"/>
      </w:r>
      <w:bookmarkStart w:id="13" w:name="_Toc528670865"/>
      <w:r w:rsidRPr="0005691A">
        <w:t>Section 2:</w:t>
      </w:r>
      <w:bookmarkEnd w:id="8"/>
      <w:bookmarkEnd w:id="9"/>
      <w:bookmarkEnd w:id="10"/>
      <w:bookmarkEnd w:id="11"/>
      <w:bookmarkEnd w:id="12"/>
      <w:r w:rsidRPr="0005691A">
        <w:t xml:space="preserve"> Problem definition and objectives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771C" w:rsidRPr="009C4129" w14:paraId="15DF987D" w14:textId="77777777" w:rsidTr="00A42D23">
        <w:trPr>
          <w:trHeight w:val="77"/>
        </w:trPr>
        <w:tc>
          <w:tcPr>
            <w:tcW w:w="5000" w:type="pct"/>
            <w:shd w:val="clear" w:color="auto" w:fill="99CDDD"/>
          </w:tcPr>
          <w:p w14:paraId="5F10782F" w14:textId="77777777" w:rsidR="007B771C" w:rsidRPr="009C4129" w:rsidRDefault="007B771C" w:rsidP="007C039F">
            <w:pPr>
              <w:pStyle w:val="Heading3"/>
            </w:pPr>
            <w:bookmarkStart w:id="14" w:name="_Toc526429614"/>
            <w:bookmarkStart w:id="15" w:name="_Toc528052378"/>
            <w:bookmarkStart w:id="16" w:name="_Toc528670866"/>
            <w:r w:rsidRPr="009C4129">
              <w:t>What is the context within which action is proposed?</w:t>
            </w:r>
            <w:bookmarkEnd w:id="14"/>
            <w:bookmarkEnd w:id="15"/>
            <w:bookmarkEnd w:id="16"/>
          </w:p>
        </w:tc>
      </w:tr>
    </w:tbl>
    <w:p w14:paraId="3DE9BF17" w14:textId="75AD78E2" w:rsidR="00B3067A" w:rsidRDefault="00B3067A" w:rsidP="007B771C">
      <w:pPr>
        <w:pStyle w:val="Heading4"/>
      </w:pPr>
      <w:r>
        <w:t>‘Linear’ v</w:t>
      </w:r>
      <w:r w:rsidR="000C7775">
        <w:t>ersu</w:t>
      </w:r>
      <w:r>
        <w:t>s ‘circular’ economy approaches to resource use</w:t>
      </w:r>
    </w:p>
    <w:p w14:paraId="4B549A5D" w14:textId="77777777" w:rsidR="00684CD8" w:rsidRPr="009274CD" w:rsidRDefault="00684CD8" w:rsidP="00684CD8">
      <w:pPr>
        <w:pStyle w:val="BodyText"/>
        <w:rPr>
          <w:rFonts w:cs="Arial"/>
          <w:color w:val="000000"/>
        </w:rPr>
      </w:pPr>
      <w:r w:rsidRPr="009274CD">
        <w:rPr>
          <w:rFonts w:eastAsiaTheme="minorHAnsi" w:cs="Arial"/>
          <w:color w:val="000000"/>
        </w:rPr>
        <w:t>Our current global and New Zealand economic systems are largely ‘linear’ economies (take–make–dispose). Symptoms of market failure for this linear system include: pollution to air, water, and land; climate change; release of persistent toxic materials; unsustainable rates of harvest for food and materials; and loss of species and ecosystems.</w:t>
      </w:r>
    </w:p>
    <w:p w14:paraId="07B2C6CB" w14:textId="0F05E24E" w:rsidR="00684CD8" w:rsidRPr="00B8585A" w:rsidRDefault="00684CD8" w:rsidP="00684CD8">
      <w:pPr>
        <w:pStyle w:val="BodyText"/>
        <w:rPr>
          <w:rFonts w:cs="Arial"/>
        </w:rPr>
      </w:pPr>
      <w:r w:rsidRPr="00B8585A">
        <w:rPr>
          <w:rFonts w:cs="Arial"/>
        </w:rPr>
        <w:t>The capacity of Earth is finite, while the human population and our aspirations for material consumption keep growing. As a result, global consumption of raw materials and natural ecosystem services</w:t>
      </w:r>
      <w:r w:rsidR="00FE4A7F">
        <w:rPr>
          <w:rStyle w:val="FootnoteReference"/>
          <w:rFonts w:cs="Arial"/>
        </w:rPr>
        <w:footnoteReference w:id="5"/>
      </w:r>
      <w:r w:rsidRPr="00B8585A">
        <w:rPr>
          <w:rFonts w:cs="Arial"/>
        </w:rPr>
        <w:t xml:space="preserve"> is increasing rapidly in a degrading environment. Current evidence indicates that we have already stepped over a numbe</w:t>
      </w:r>
      <w:r>
        <w:rPr>
          <w:rFonts w:cs="Arial"/>
        </w:rPr>
        <w:t>r of safe planetary boundaries</w:t>
      </w:r>
      <w:r w:rsidRPr="00B8585A">
        <w:rPr>
          <w:rFonts w:cs="Arial"/>
        </w:rPr>
        <w:t>.</w:t>
      </w:r>
      <w:r>
        <w:rPr>
          <w:rStyle w:val="FootnoteReference"/>
          <w:rFonts w:cs="Arial"/>
        </w:rPr>
        <w:footnoteReference w:id="6"/>
      </w:r>
    </w:p>
    <w:p w14:paraId="70810786" w14:textId="77777777" w:rsidR="00B3067A" w:rsidRPr="00B8585A" w:rsidRDefault="00684CD8" w:rsidP="009274CD">
      <w:pPr>
        <w:pStyle w:val="BodyText"/>
        <w:rPr>
          <w:rFonts w:cs="Arial"/>
        </w:rPr>
      </w:pPr>
      <w:r w:rsidRPr="00B8585A">
        <w:rPr>
          <w:rFonts w:cs="Arial"/>
        </w:rPr>
        <w:t>Countries around the world, including many of New Zealand’s trading partners, are challenging the linear economic model. The ‘circular economy’ provides an alternative model for creating prosperity. It values resources for their intrinsic worth, respects and restores the natural cycles for biological materials (make–consume–enrich), and creates nature-inspired cycles for human-made materials (make–use–return).</w:t>
      </w:r>
      <w:r w:rsidRPr="009274CD">
        <w:rPr>
          <w:rFonts w:cs="Arial"/>
          <w:b/>
          <w:bCs/>
        </w:rPr>
        <w:t xml:space="preserve"> </w:t>
      </w:r>
    </w:p>
    <w:p w14:paraId="210A9F36" w14:textId="77777777" w:rsidR="007B771C" w:rsidRPr="00B422CE" w:rsidRDefault="007B771C" w:rsidP="007B771C">
      <w:pPr>
        <w:pStyle w:val="Heading4"/>
      </w:pPr>
      <w:r w:rsidRPr="00B422CE">
        <w:t xml:space="preserve">Plastic bag </w:t>
      </w:r>
      <w:r>
        <w:t>use in New Zealand</w:t>
      </w:r>
    </w:p>
    <w:p w14:paraId="2F8A9417" w14:textId="3E79DF15" w:rsidR="007B771C" w:rsidRPr="00B1410F" w:rsidRDefault="007B771C" w:rsidP="007B771C">
      <w:r w:rsidRPr="00C53F30">
        <w:t xml:space="preserve">Plastics are widespread throughout the economy – for example, in packaging, consumer goods, construction and transport. </w:t>
      </w:r>
      <w:r>
        <w:t xml:space="preserve">A form of plastic most familiar to the public </w:t>
      </w:r>
      <w:r w:rsidR="005C50B2">
        <w:t xml:space="preserve">is </w:t>
      </w:r>
      <w:r>
        <w:t>s</w:t>
      </w:r>
      <w:r w:rsidRPr="00C53F30">
        <w:t>ingle-use plastic shopping bags</w:t>
      </w:r>
      <w:r w:rsidR="005C50B2">
        <w:t>,</w:t>
      </w:r>
      <w:r w:rsidRPr="00C53F30">
        <w:t xml:space="preserve"> </w:t>
      </w:r>
      <w:r w:rsidR="00037128">
        <w:t>usually</w:t>
      </w:r>
      <w:r w:rsidRPr="00C53F30">
        <w:t xml:space="preserve"> given free of charge to consumers</w:t>
      </w:r>
      <w:r>
        <w:t>.</w:t>
      </w:r>
      <w:r w:rsidRPr="00C53F30">
        <w:t xml:space="preserve"> </w:t>
      </w:r>
      <w:r>
        <w:t>The</w:t>
      </w:r>
      <w:r w:rsidR="005C50B2">
        <w:t>y</w:t>
      </w:r>
      <w:r>
        <w:t xml:space="preserve"> </w:t>
      </w:r>
      <w:r w:rsidRPr="00C53F30">
        <w:t>ar</w:t>
      </w:r>
      <w:r>
        <w:t>e useful for carrying purchases,</w:t>
      </w:r>
      <w:r w:rsidRPr="00C53F30">
        <w:t xml:space="preserve"> because they are resilient to </w:t>
      </w:r>
      <w:r w:rsidR="000B3D95">
        <w:t xml:space="preserve">moisture and </w:t>
      </w:r>
      <w:r w:rsidRPr="00C53F30">
        <w:t xml:space="preserve">relatively heavy loads. Estimates of current </w:t>
      </w:r>
      <w:r>
        <w:t>single-use plastic shopping bag</w:t>
      </w:r>
      <w:r w:rsidR="005C50B2">
        <w:t xml:space="preserve"> consumption</w:t>
      </w:r>
      <w:r>
        <w:t xml:space="preserve"> </w:t>
      </w:r>
      <w:r w:rsidRPr="00C53F30">
        <w:t xml:space="preserve">in New Zealand range from 154 to 323 bags per person per year. This </w:t>
      </w:r>
      <w:r w:rsidR="00FA2E66">
        <w:t>totals</w:t>
      </w:r>
      <w:r w:rsidR="005C50B2">
        <w:t xml:space="preserve"> about</w:t>
      </w:r>
      <w:r w:rsidRPr="00C53F30">
        <w:t xml:space="preserve"> 750 to 1</w:t>
      </w:r>
      <w:r w:rsidR="002D2024">
        <w:t>,</w:t>
      </w:r>
      <w:r w:rsidRPr="00C53F30">
        <w:t>570 million bags per year</w:t>
      </w:r>
      <w:r>
        <w:t xml:space="preserve">. </w:t>
      </w:r>
      <w:r w:rsidR="00863001">
        <w:t xml:space="preserve">The lower estimate of </w:t>
      </w:r>
      <w:r>
        <w:t xml:space="preserve">750 million bags per year </w:t>
      </w:r>
      <w:r w:rsidR="00CC205E">
        <w:t>account</w:t>
      </w:r>
      <w:r w:rsidR="00863001">
        <w:t>s</w:t>
      </w:r>
      <w:r w:rsidR="00CC205E">
        <w:t xml:space="preserve"> for only </w:t>
      </w:r>
      <w:r>
        <w:t>about 0.01 per cent by weight of the total waste in levied landfills</w:t>
      </w:r>
      <w:r w:rsidR="00CC205E">
        <w:t>. However</w:t>
      </w:r>
      <w:r w:rsidR="00037128">
        <w:t xml:space="preserve">, bags which </w:t>
      </w:r>
      <w:r w:rsidR="00CC205E">
        <w:t>are not contained in</w:t>
      </w:r>
      <w:r w:rsidR="00037128">
        <w:t xml:space="preserve"> landfills </w:t>
      </w:r>
      <w:r w:rsidR="00CC205E">
        <w:t xml:space="preserve">(either </w:t>
      </w:r>
      <w:r w:rsidR="00FA2E66">
        <w:t xml:space="preserve">because of </w:t>
      </w:r>
      <w:r w:rsidR="00CC205E">
        <w:t>inappropriate disposal</w:t>
      </w:r>
      <w:r w:rsidR="00912B61">
        <w:t>,</w:t>
      </w:r>
      <w:r w:rsidR="00CC205E">
        <w:t xml:space="preserve"> or leakage from containment) may have a disproportionate impact on </w:t>
      </w:r>
      <w:r w:rsidR="00037128">
        <w:t>freshwater and marine environments</w:t>
      </w:r>
      <w:r w:rsidR="00CC205E">
        <w:t>,</w:t>
      </w:r>
      <w:r w:rsidR="00376AB2">
        <w:t xml:space="preserve"> initially as physical risks to certain species</w:t>
      </w:r>
      <w:r w:rsidR="00FA2E66">
        <w:t>,</w:t>
      </w:r>
      <w:r w:rsidR="00376AB2">
        <w:t xml:space="preserve"> and then i</w:t>
      </w:r>
      <w:r w:rsidR="00037128">
        <w:t xml:space="preserve">n the form of </w:t>
      </w:r>
      <w:proofErr w:type="spellStart"/>
      <w:r w:rsidR="00037128">
        <w:t>microplastics</w:t>
      </w:r>
      <w:proofErr w:type="spellEnd"/>
      <w:r w:rsidR="00DC3278">
        <w:t>.</w:t>
      </w:r>
      <w:r w:rsidR="005F3AE7">
        <w:rPr>
          <w:rStyle w:val="FootnoteReference"/>
        </w:rPr>
        <w:footnoteReference w:id="7"/>
      </w:r>
    </w:p>
    <w:p w14:paraId="725FF60B" w14:textId="77777777" w:rsidR="007B771C" w:rsidRPr="00B422CE" w:rsidRDefault="00EF02FB" w:rsidP="007B771C">
      <w:pPr>
        <w:pStyle w:val="Heading4"/>
      </w:pPr>
      <w:r>
        <w:t>Source of shopping bags used in N</w:t>
      </w:r>
      <w:r w:rsidR="00376AB2">
        <w:t>ew Zealand</w:t>
      </w:r>
    </w:p>
    <w:p w14:paraId="666EECF8" w14:textId="7D6E40F3" w:rsidR="007B771C" w:rsidRPr="00C53F30" w:rsidRDefault="00EF02FB" w:rsidP="007B771C">
      <w:r>
        <w:t>Available information indicates that</w:t>
      </w:r>
      <w:r w:rsidR="0027598C">
        <w:t xml:space="preserve"> </w:t>
      </w:r>
      <w:r>
        <w:t>t</w:t>
      </w:r>
      <w:r w:rsidR="00F92B19">
        <w:t xml:space="preserve">he majority of </w:t>
      </w:r>
      <w:r w:rsidR="007B771C" w:rsidRPr="00C53F30">
        <w:t>single-use plastic shopping bags are imported</w:t>
      </w:r>
      <w:r w:rsidR="00FE4A7F">
        <w:t>.</w:t>
      </w:r>
      <w:r>
        <w:t xml:space="preserve"> </w:t>
      </w:r>
      <w:r w:rsidR="0039501D" w:rsidRPr="00120295">
        <w:t>The value of imported single-use plastic shopping bags made of polyethylene in 2017 was $15 million.</w:t>
      </w:r>
      <w:r w:rsidR="005F3AE7">
        <w:rPr>
          <w:rStyle w:val="FootnoteReference"/>
        </w:rPr>
        <w:footnoteReference w:id="8"/>
      </w:r>
      <w:r w:rsidR="0039501D">
        <w:t xml:space="preserve"> </w:t>
      </w:r>
      <w:r w:rsidR="00F92B19">
        <w:t>S</w:t>
      </w:r>
      <w:r w:rsidR="007B771C" w:rsidRPr="00C53F30">
        <w:t xml:space="preserve">ome paper and heavier-weight multiple-use </w:t>
      </w:r>
      <w:r w:rsidR="00787B87">
        <w:t xml:space="preserve">plastic </w:t>
      </w:r>
      <w:r w:rsidR="007B771C" w:rsidRPr="00C53F30">
        <w:t>shopping bags are manufactured</w:t>
      </w:r>
      <w:r w:rsidR="007B771C">
        <w:t xml:space="preserve"> in New Zealand</w:t>
      </w:r>
      <w:r w:rsidR="00CC205E">
        <w:t>. M</w:t>
      </w:r>
      <w:r w:rsidR="007B771C" w:rsidRPr="00C53F30">
        <w:t>ultiple-use bags of woven material that require some manual construction (</w:t>
      </w:r>
      <w:proofErr w:type="spellStart"/>
      <w:r w:rsidR="007B771C" w:rsidRPr="00C53F30">
        <w:t>eg</w:t>
      </w:r>
      <w:proofErr w:type="spellEnd"/>
      <w:r w:rsidR="007B771C" w:rsidRPr="00C53F30">
        <w:t>, woven polypropylene, jute, cotton) are primarily produced overseas. A</w:t>
      </w:r>
      <w:r w:rsidR="00C62761">
        <w:t xml:space="preserve"> </w:t>
      </w:r>
      <w:r w:rsidR="007B771C" w:rsidRPr="00C53F30">
        <w:t xml:space="preserve">number of volunteer community recycled fabric sewing projects </w:t>
      </w:r>
      <w:r w:rsidR="00C62761">
        <w:t xml:space="preserve">have emerged </w:t>
      </w:r>
      <w:r w:rsidR="007B771C" w:rsidRPr="00C53F30">
        <w:t xml:space="preserve">in New Zealand </w:t>
      </w:r>
      <w:r w:rsidR="00C62761">
        <w:t xml:space="preserve">to </w:t>
      </w:r>
      <w:r w:rsidR="007B771C" w:rsidRPr="00C53F30">
        <w:t>encourage local people to create bags from recycled fabric to use and share for reuse.</w:t>
      </w:r>
    </w:p>
    <w:p w14:paraId="4885D25D" w14:textId="77777777" w:rsidR="007B771C" w:rsidRPr="00B422CE" w:rsidRDefault="007B771C" w:rsidP="00842BA3">
      <w:pPr>
        <w:pStyle w:val="Heading4"/>
        <w:keepNext/>
      </w:pPr>
      <w:r w:rsidRPr="00B422CE">
        <w:t>Availability of alternatives</w:t>
      </w:r>
    </w:p>
    <w:p w14:paraId="50E425AE" w14:textId="0E777545" w:rsidR="007B771C" w:rsidRPr="00C53F30" w:rsidRDefault="007B771C" w:rsidP="007B771C">
      <w:r>
        <w:t>A wide range of alternatives are</w:t>
      </w:r>
      <w:r w:rsidRPr="00C53F30">
        <w:t xml:space="preserve"> now available, often at points of purchase</w:t>
      </w:r>
      <w:r w:rsidR="002C40D7">
        <w:t>,</w:t>
      </w:r>
      <w:r w:rsidRPr="00C53F30">
        <w:t xml:space="preserve"> such as supermarkets. Options include multiple-use bags in heavier-duty plastic (polyethylene, polypropylene</w:t>
      </w:r>
      <w:r w:rsidR="00EF02FB">
        <w:t xml:space="preserve">, </w:t>
      </w:r>
      <w:r w:rsidRPr="00C53F30">
        <w:t>nylon</w:t>
      </w:r>
      <w:r w:rsidR="00EF02FB">
        <w:t xml:space="preserve">, </w:t>
      </w:r>
      <w:proofErr w:type="gramStart"/>
      <w:r w:rsidR="00EF02FB">
        <w:t>polyester</w:t>
      </w:r>
      <w:proofErr w:type="gramEnd"/>
      <w:r w:rsidRPr="00C53F30">
        <w:t xml:space="preserve">), composite bags of hessian with other materials, and bags made of cotton, recycled fabric or jute. Paper shopping bags are available, but not resilient </w:t>
      </w:r>
      <w:r w:rsidR="00822129">
        <w:t>to moisture</w:t>
      </w:r>
      <w:r w:rsidRPr="00C53F30">
        <w:t xml:space="preserve">. Shoppers can also bring their own </w:t>
      </w:r>
      <w:r w:rsidR="00CC205E">
        <w:t>carriers</w:t>
      </w:r>
      <w:r w:rsidRPr="00C53F30">
        <w:t xml:space="preserve">, such as wheeled trolley bags, </w:t>
      </w:r>
      <w:proofErr w:type="spellStart"/>
      <w:r w:rsidR="00C62761">
        <w:t>kete</w:t>
      </w:r>
      <w:proofErr w:type="spellEnd"/>
      <w:r w:rsidR="00C62761">
        <w:t xml:space="preserve">, </w:t>
      </w:r>
      <w:r w:rsidRPr="00C53F30">
        <w:t xml:space="preserve">backpacks and home-made bags. </w:t>
      </w:r>
    </w:p>
    <w:p w14:paraId="5B8673A1" w14:textId="4F9D98A9" w:rsidR="007B771C" w:rsidRPr="00F0204E" w:rsidRDefault="007B771C" w:rsidP="007B771C">
      <w:pPr>
        <w:rPr>
          <w:i/>
        </w:rPr>
      </w:pPr>
      <w:r w:rsidRPr="00C53F30">
        <w:t xml:space="preserve">The price </w:t>
      </w:r>
      <w:r w:rsidR="002C40D7">
        <w:t>of</w:t>
      </w:r>
      <w:r w:rsidRPr="00C53F30">
        <w:t xml:space="preserve"> alternatives is generally in keeping with how long bags are likely to last</w:t>
      </w:r>
      <w:r w:rsidR="00EF02FB">
        <w:t xml:space="preserve">: </w:t>
      </w:r>
      <w:r w:rsidR="00BE4EEA">
        <w:t xml:space="preserve">bags made </w:t>
      </w:r>
      <w:r w:rsidR="00EF02FB">
        <w:t xml:space="preserve">of more substantial materials </w:t>
      </w:r>
      <w:r>
        <w:t>last longer than single-use plastic shopping bags</w:t>
      </w:r>
      <w:r w:rsidR="00EF02FB">
        <w:t xml:space="preserve"> and </w:t>
      </w:r>
      <w:r>
        <w:t>cost m</w:t>
      </w:r>
      <w:r w:rsidRPr="00C53F30">
        <w:t xml:space="preserve">ore.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771C" w:rsidRPr="009C4129" w14:paraId="61AE1E97" w14:textId="77777777" w:rsidTr="00A42D23">
        <w:tc>
          <w:tcPr>
            <w:tcW w:w="9286" w:type="dxa"/>
            <w:shd w:val="clear" w:color="auto" w:fill="99CDDD"/>
          </w:tcPr>
          <w:p w14:paraId="500EC526" w14:textId="77777777" w:rsidR="007B771C" w:rsidRPr="00384E9B" w:rsidRDefault="007B771C" w:rsidP="007C039F">
            <w:pPr>
              <w:pStyle w:val="Heading3"/>
              <w:rPr>
                <w:rFonts w:eastAsia="Calibri"/>
              </w:rPr>
            </w:pPr>
            <w:bookmarkStart w:id="17" w:name="_Toc526429615"/>
            <w:bookmarkStart w:id="18" w:name="_Toc528052379"/>
            <w:bookmarkStart w:id="19" w:name="_Toc528670867"/>
            <w:r w:rsidRPr="00384E9B">
              <w:t>What regulatory system, or systems, are already in place?</w:t>
            </w:r>
            <w:bookmarkEnd w:id="17"/>
            <w:bookmarkEnd w:id="18"/>
            <w:bookmarkEnd w:id="19"/>
          </w:p>
        </w:tc>
      </w:tr>
    </w:tbl>
    <w:p w14:paraId="6FD87440" w14:textId="6170F246" w:rsidR="007B771C" w:rsidRDefault="007B771C" w:rsidP="007B771C">
      <w:pPr>
        <w:pStyle w:val="Heading4"/>
        <w:rPr>
          <w:lang w:val="en-NZ"/>
        </w:rPr>
      </w:pPr>
      <w:r>
        <w:rPr>
          <w:lang w:val="en-NZ"/>
        </w:rPr>
        <w:t xml:space="preserve">The </w:t>
      </w:r>
      <w:r w:rsidR="00822129">
        <w:rPr>
          <w:lang w:val="en-NZ"/>
        </w:rPr>
        <w:t>r</w:t>
      </w:r>
      <w:r>
        <w:rPr>
          <w:lang w:val="en-NZ"/>
        </w:rPr>
        <w:t xml:space="preserve">esource </w:t>
      </w:r>
      <w:r w:rsidR="001712FA">
        <w:rPr>
          <w:lang w:val="en-NZ"/>
        </w:rPr>
        <w:t>e</w:t>
      </w:r>
      <w:r>
        <w:rPr>
          <w:lang w:val="en-NZ"/>
        </w:rPr>
        <w:t>fficiency regulatory system</w:t>
      </w:r>
    </w:p>
    <w:p w14:paraId="5DF09C95" w14:textId="574759EC" w:rsidR="00A309D0" w:rsidRDefault="009E2382">
      <w:pPr>
        <w:rPr>
          <w:lang w:val="en-NZ"/>
        </w:rPr>
      </w:pPr>
      <w:r>
        <w:rPr>
          <w:lang w:val="en-NZ"/>
        </w:rPr>
        <w:t xml:space="preserve">The proposed mandatory phase out of single-use plastic shopping bags would be implemented through </w:t>
      </w:r>
      <w:r w:rsidRPr="004C492A">
        <w:rPr>
          <w:lang w:val="en-NZ"/>
        </w:rPr>
        <w:t xml:space="preserve">Waste Minimisation Act </w:t>
      </w:r>
      <w:r>
        <w:rPr>
          <w:lang w:val="en-NZ"/>
        </w:rPr>
        <w:t>2008 (WMA) regulations. The WMA is t</w:t>
      </w:r>
      <w:r w:rsidR="007B771C" w:rsidRPr="004C492A">
        <w:rPr>
          <w:lang w:val="en-NZ"/>
        </w:rPr>
        <w:t xml:space="preserve">he key statutory instrument </w:t>
      </w:r>
      <w:r>
        <w:rPr>
          <w:lang w:val="en-NZ"/>
        </w:rPr>
        <w:t>in the resource efficiency regulatory system</w:t>
      </w:r>
      <w:r w:rsidR="00A309D0">
        <w:rPr>
          <w:lang w:val="en-NZ"/>
        </w:rPr>
        <w:t xml:space="preserve"> and is implemented by the Ministry for the Environment </w:t>
      </w:r>
      <w:r w:rsidR="001712FA">
        <w:rPr>
          <w:lang w:val="en-NZ"/>
        </w:rPr>
        <w:t>and</w:t>
      </w:r>
      <w:r w:rsidR="00A309D0">
        <w:rPr>
          <w:lang w:val="en-NZ"/>
        </w:rPr>
        <w:t xml:space="preserve"> territorial authorities</w:t>
      </w:r>
      <w:r>
        <w:rPr>
          <w:lang w:val="en-NZ"/>
        </w:rPr>
        <w:t xml:space="preserve">. </w:t>
      </w:r>
    </w:p>
    <w:p w14:paraId="72B3D82B" w14:textId="5EDC5EFF" w:rsidR="007B771C" w:rsidRPr="004C492A" w:rsidRDefault="00A309D0">
      <w:pPr>
        <w:rPr>
          <w:lang w:val="en-NZ"/>
        </w:rPr>
      </w:pPr>
      <w:r>
        <w:rPr>
          <w:lang w:val="en-NZ"/>
        </w:rPr>
        <w:t>The WMA</w:t>
      </w:r>
      <w:r w:rsidR="009E2382">
        <w:rPr>
          <w:lang w:val="en-NZ"/>
        </w:rPr>
        <w:t xml:space="preserve"> </w:t>
      </w:r>
      <w:r w:rsidR="007B771C" w:rsidRPr="004C492A">
        <w:rPr>
          <w:lang w:val="en-NZ"/>
        </w:rPr>
        <w:t xml:space="preserve">encourages waste minimisation and </w:t>
      </w:r>
      <w:r w:rsidR="007B771C">
        <w:rPr>
          <w:lang w:val="en-NZ"/>
        </w:rPr>
        <w:t xml:space="preserve">the </w:t>
      </w:r>
      <w:r w:rsidR="007B771C" w:rsidRPr="004C492A">
        <w:rPr>
          <w:lang w:val="en-NZ"/>
        </w:rPr>
        <w:t>reduction of waste disposal</w:t>
      </w:r>
      <w:r w:rsidR="009E2382">
        <w:rPr>
          <w:lang w:val="en-NZ"/>
        </w:rPr>
        <w:t xml:space="preserve"> </w:t>
      </w:r>
      <w:r w:rsidR="007B771C" w:rsidRPr="004C492A">
        <w:rPr>
          <w:lang w:val="en-NZ"/>
        </w:rPr>
        <w:t xml:space="preserve">by: </w:t>
      </w:r>
    </w:p>
    <w:p w14:paraId="7878D3DE" w14:textId="77777777" w:rsidR="007B771C" w:rsidRPr="004C492A" w:rsidRDefault="007B771C" w:rsidP="00750CB6">
      <w:pPr>
        <w:numPr>
          <w:ilvl w:val="0"/>
          <w:numId w:val="19"/>
        </w:numPr>
        <w:spacing w:after="120"/>
        <w:rPr>
          <w:lang w:val="en-NZ"/>
        </w:rPr>
      </w:pPr>
      <w:r>
        <w:rPr>
          <w:lang w:val="en-NZ"/>
        </w:rPr>
        <w:t>imposing</w:t>
      </w:r>
      <w:r w:rsidRPr="004C492A">
        <w:rPr>
          <w:lang w:val="en-NZ"/>
        </w:rPr>
        <w:t xml:space="preserve"> a levy on all waste sent to landfills that accept household waste </w:t>
      </w:r>
    </w:p>
    <w:p w14:paraId="4E64DB5E" w14:textId="77777777" w:rsidR="007B771C" w:rsidRPr="004C492A" w:rsidRDefault="007B771C" w:rsidP="00750CB6">
      <w:pPr>
        <w:numPr>
          <w:ilvl w:val="0"/>
          <w:numId w:val="19"/>
        </w:numPr>
        <w:spacing w:after="120"/>
        <w:rPr>
          <w:lang w:val="en-NZ"/>
        </w:rPr>
      </w:pPr>
      <w:r>
        <w:rPr>
          <w:lang w:val="en-NZ"/>
        </w:rPr>
        <w:t>distributing</w:t>
      </w:r>
      <w:r w:rsidRPr="004C492A">
        <w:rPr>
          <w:lang w:val="en-NZ"/>
        </w:rPr>
        <w:t xml:space="preserve"> </w:t>
      </w:r>
      <w:r>
        <w:rPr>
          <w:lang w:val="en-NZ"/>
        </w:rPr>
        <w:t xml:space="preserve">the funds received to territorial authorities and the Waste Minimisation Fund to reduce the amount of waste going to landfills  </w:t>
      </w:r>
      <w:r w:rsidRPr="004C492A">
        <w:rPr>
          <w:lang w:val="en-NZ"/>
        </w:rPr>
        <w:t xml:space="preserve"> </w:t>
      </w:r>
    </w:p>
    <w:p w14:paraId="0E407866" w14:textId="77777777" w:rsidR="007B771C" w:rsidRPr="004C492A" w:rsidRDefault="007B771C" w:rsidP="00750CB6">
      <w:pPr>
        <w:numPr>
          <w:ilvl w:val="0"/>
          <w:numId w:val="19"/>
        </w:numPr>
        <w:spacing w:after="120"/>
        <w:rPr>
          <w:lang w:val="en-NZ"/>
        </w:rPr>
      </w:pPr>
      <w:r>
        <w:rPr>
          <w:lang w:val="en-NZ"/>
        </w:rPr>
        <w:t>accrediting</w:t>
      </w:r>
      <w:r w:rsidRPr="004C492A">
        <w:rPr>
          <w:lang w:val="en-NZ"/>
        </w:rPr>
        <w:t xml:space="preserve"> product stewardship schemes</w:t>
      </w:r>
      <w:r>
        <w:rPr>
          <w:lang w:val="en-NZ"/>
        </w:rPr>
        <w:t>, and</w:t>
      </w:r>
      <w:r w:rsidRPr="004C492A">
        <w:rPr>
          <w:lang w:val="en-NZ"/>
        </w:rPr>
        <w:t xml:space="preserve"> </w:t>
      </w:r>
      <w:r>
        <w:rPr>
          <w:lang w:val="en-NZ"/>
        </w:rPr>
        <w:t xml:space="preserve"> </w:t>
      </w:r>
      <w:r w:rsidRPr="004C492A">
        <w:rPr>
          <w:lang w:val="en-NZ"/>
        </w:rPr>
        <w:t xml:space="preserve"> </w:t>
      </w:r>
    </w:p>
    <w:p w14:paraId="5A578CF6" w14:textId="44EE6DDB" w:rsidR="007B771C" w:rsidRPr="004C492A" w:rsidRDefault="007B771C" w:rsidP="00750CB6">
      <w:pPr>
        <w:numPr>
          <w:ilvl w:val="0"/>
          <w:numId w:val="19"/>
        </w:numPr>
        <w:spacing w:after="120"/>
        <w:rPr>
          <w:lang w:val="en-NZ"/>
        </w:rPr>
      </w:pPr>
      <w:proofErr w:type="gramStart"/>
      <w:r>
        <w:rPr>
          <w:lang w:val="en-NZ"/>
        </w:rPr>
        <w:t>making</w:t>
      </w:r>
      <w:proofErr w:type="gramEnd"/>
      <w:r w:rsidRPr="004C492A">
        <w:rPr>
          <w:lang w:val="en-NZ"/>
        </w:rPr>
        <w:t xml:space="preserve"> regulations to control the disposal of products, materials or waste, require take-back services, deposit fees, or labelling of products</w:t>
      </w:r>
      <w:r>
        <w:rPr>
          <w:lang w:val="en-NZ"/>
        </w:rPr>
        <w:t>.</w:t>
      </w:r>
      <w:r w:rsidRPr="004C492A">
        <w:rPr>
          <w:lang w:val="en-NZ"/>
        </w:rPr>
        <w:t xml:space="preserve"> </w:t>
      </w:r>
    </w:p>
    <w:p w14:paraId="6BC7A423" w14:textId="0A53CF8F" w:rsidR="007B771C" w:rsidRDefault="007B771C" w:rsidP="007B771C">
      <w:pPr>
        <w:rPr>
          <w:lang w:val="en-NZ"/>
        </w:rPr>
      </w:pPr>
      <w:r>
        <w:rPr>
          <w:lang w:val="en-NZ"/>
        </w:rPr>
        <w:t xml:space="preserve">Single-use plastic shopping bags </w:t>
      </w:r>
      <w:r w:rsidR="00BC528C">
        <w:rPr>
          <w:lang w:val="en-NZ"/>
        </w:rPr>
        <w:t xml:space="preserve">that enter the litter stream </w:t>
      </w:r>
      <w:r>
        <w:rPr>
          <w:lang w:val="en-NZ"/>
        </w:rPr>
        <w:t>fall under the Litter Act 1979, which gives</w:t>
      </w:r>
      <w:r w:rsidRPr="00694965">
        <w:rPr>
          <w:lang w:val="en-NZ"/>
        </w:rPr>
        <w:t xml:space="preserve"> public and territorial authorities the ability to make by-laws and appoint enforcement officers </w:t>
      </w:r>
      <w:r w:rsidR="003C570C">
        <w:rPr>
          <w:lang w:val="en-NZ"/>
        </w:rPr>
        <w:t>for</w:t>
      </w:r>
      <w:r w:rsidRPr="00694965">
        <w:rPr>
          <w:lang w:val="en-NZ"/>
        </w:rPr>
        <w:t xml:space="preserve"> litter. </w:t>
      </w:r>
    </w:p>
    <w:p w14:paraId="64F0CCB2" w14:textId="77777777" w:rsidR="007B771C" w:rsidRDefault="007B771C" w:rsidP="007B771C">
      <w:pPr>
        <w:pStyle w:val="Heading4"/>
        <w:rPr>
          <w:lang w:val="en-NZ"/>
        </w:rPr>
      </w:pPr>
      <w:r>
        <w:rPr>
          <w:lang w:val="en-NZ"/>
        </w:rPr>
        <w:t xml:space="preserve">Why is Government regulation preferable? </w:t>
      </w:r>
    </w:p>
    <w:p w14:paraId="04E9BDC8" w14:textId="77777777" w:rsidR="007B771C" w:rsidRDefault="007B771C" w:rsidP="007B771C">
      <w:r>
        <w:t xml:space="preserve">New Zealand retailers have undertaken many voluntary initiatives to respond to public concerns about plastic </w:t>
      </w:r>
      <w:r w:rsidR="001A1BDD">
        <w:rPr>
          <w:rFonts w:cs="Arial"/>
          <w:szCs w:val="22"/>
        </w:rPr>
        <w:t>shopping</w:t>
      </w:r>
      <w:r w:rsidR="001A1BDD">
        <w:t xml:space="preserve"> </w:t>
      </w:r>
      <w:r>
        <w:t xml:space="preserve">bags. These initiatives have enjoyed mixed success.  </w:t>
      </w:r>
    </w:p>
    <w:p w14:paraId="16225177" w14:textId="027E8471" w:rsidR="007B771C" w:rsidRPr="00C53F30" w:rsidRDefault="007B771C" w:rsidP="00750CB6">
      <w:pPr>
        <w:pStyle w:val="ListParagraph"/>
        <w:numPr>
          <w:ilvl w:val="0"/>
          <w:numId w:val="40"/>
        </w:numPr>
      </w:pPr>
      <w:r>
        <w:t>O</w:t>
      </w:r>
      <w:r w:rsidRPr="00C53F30">
        <w:t>ver 2004–2009</w:t>
      </w:r>
      <w:r w:rsidR="00B203B9">
        <w:t xml:space="preserve"> under the New Zealand Packaging Accord a</w:t>
      </w:r>
      <w:r w:rsidRPr="00C53F30">
        <w:t xml:space="preserve"> Brand Owners and Retailers Sector Action Plan </w:t>
      </w:r>
      <w:r>
        <w:t xml:space="preserve">was created </w:t>
      </w:r>
      <w:r w:rsidR="001051F5">
        <w:t>to</w:t>
      </w:r>
      <w:r>
        <w:t xml:space="preserve"> </w:t>
      </w:r>
      <w:r w:rsidRPr="00C53F30">
        <w:t>reduc</w:t>
      </w:r>
      <w:r w:rsidR="001051F5">
        <w:t>e</w:t>
      </w:r>
      <w:r w:rsidRPr="00C53F30">
        <w:t xml:space="preserve"> plastic shopping bag use by a minimum of 20 per cent by 2008. </w:t>
      </w:r>
      <w:r w:rsidR="00B203B9">
        <w:t>O</w:t>
      </w:r>
      <w:r w:rsidRPr="00C53F30">
        <w:t>ver 2004</w:t>
      </w:r>
      <w:r w:rsidR="00466D46">
        <w:t>–</w:t>
      </w:r>
      <w:r w:rsidRPr="00C53F30">
        <w:t>2007</w:t>
      </w:r>
      <w:r w:rsidR="001051F5">
        <w:t>,</w:t>
      </w:r>
      <w:r w:rsidRPr="00C53F30">
        <w:t xml:space="preserve"> participating retailers achieved a 9.5 per</w:t>
      </w:r>
      <w:r w:rsidR="008814E3">
        <w:t xml:space="preserve"> </w:t>
      </w:r>
      <w:r w:rsidRPr="00C53F30">
        <w:t>cent reduction</w:t>
      </w:r>
      <w:r>
        <w:t xml:space="preserve"> in single-use plastic shopping bag</w:t>
      </w:r>
      <w:r w:rsidR="001051F5">
        <w:t xml:space="preserve"> use</w:t>
      </w:r>
      <w:r w:rsidRPr="00C53F30">
        <w:t>.</w:t>
      </w:r>
      <w:r w:rsidR="00B203B9">
        <w:rPr>
          <w:rStyle w:val="FootnoteReference"/>
        </w:rPr>
        <w:footnoteReference w:id="9"/>
      </w:r>
    </w:p>
    <w:p w14:paraId="3D9BF15C" w14:textId="407AD97F" w:rsidR="007B771C" w:rsidRPr="00C53F30" w:rsidRDefault="007B771C" w:rsidP="00750CB6">
      <w:pPr>
        <w:pStyle w:val="ListParagraph"/>
        <w:keepNext/>
        <w:numPr>
          <w:ilvl w:val="0"/>
          <w:numId w:val="40"/>
        </w:numPr>
      </w:pPr>
      <w:r w:rsidRPr="00B203B9">
        <w:rPr>
          <w:lang w:val="en-NZ"/>
        </w:rPr>
        <w:t>In 2009, New World attempted to completely end the use of single-use plastic shopping bags in its stores. However, it reintroduce</w:t>
      </w:r>
      <w:r w:rsidR="001B1D93">
        <w:rPr>
          <w:lang w:val="en-NZ"/>
        </w:rPr>
        <w:t>d</w:t>
      </w:r>
      <w:r w:rsidRPr="00B203B9">
        <w:rPr>
          <w:lang w:val="en-NZ"/>
        </w:rPr>
        <w:t xml:space="preserve"> them after experiencing a loss of business to other supermarkets. This </w:t>
      </w:r>
      <w:r>
        <w:t xml:space="preserve">points to the need for Government regulation to overcome </w:t>
      </w:r>
      <w:r w:rsidR="00CC205E">
        <w:t>competitive pressures that make voluntary action more difficult</w:t>
      </w:r>
      <w:r>
        <w:t>.</w:t>
      </w:r>
      <w:r w:rsidR="00CC205E">
        <w:t xml:space="preserve"> The main supermarket chains both submitted in support of mandatory action for this reason.</w:t>
      </w:r>
      <w:r>
        <w:t xml:space="preserve"> </w:t>
      </w:r>
    </w:p>
    <w:p w14:paraId="228739EE" w14:textId="29C77338" w:rsidR="007B771C" w:rsidRPr="006F1B8D" w:rsidRDefault="00C351B1" w:rsidP="00750CB6">
      <w:pPr>
        <w:pStyle w:val="ListParagraph"/>
        <w:numPr>
          <w:ilvl w:val="0"/>
          <w:numId w:val="40"/>
        </w:numPr>
      </w:pPr>
      <w:r>
        <w:t xml:space="preserve">Pak n </w:t>
      </w:r>
      <w:proofErr w:type="gramStart"/>
      <w:r>
        <w:t>Save</w:t>
      </w:r>
      <w:proofErr w:type="gramEnd"/>
      <w:r>
        <w:t>, the Warehouse and Bunnings have all previously put</w:t>
      </w:r>
      <w:r w:rsidR="009B05A6">
        <w:t xml:space="preserve"> in place</w:t>
      </w:r>
      <w:r>
        <w:t xml:space="preserve"> alternatives to</w:t>
      </w:r>
      <w:r w:rsidRPr="00C53F30">
        <w:t xml:space="preserve"> free plastic</w:t>
      </w:r>
      <w:r>
        <w:t xml:space="preserve"> shopping</w:t>
      </w:r>
      <w:r w:rsidRPr="00C53F30">
        <w:t xml:space="preserve"> bags</w:t>
      </w:r>
      <w:r>
        <w:t xml:space="preserve">. </w:t>
      </w:r>
      <w:r w:rsidR="007B771C" w:rsidRPr="00C53F30">
        <w:t>In 2017</w:t>
      </w:r>
      <w:r w:rsidR="005B7F25">
        <w:t>/</w:t>
      </w:r>
      <w:r w:rsidR="007B771C" w:rsidRPr="00C53F30">
        <w:t xml:space="preserve">18, some major retailers announced </w:t>
      </w:r>
      <w:r w:rsidR="007B771C">
        <w:t xml:space="preserve">a </w:t>
      </w:r>
      <w:r w:rsidR="007B771C" w:rsidRPr="00C53F30">
        <w:t>commitment to phase out single-use plastic shopping bags: Countdown, New World and Warehouse Group by the end of 2018 and Z Energy and Mitre 10 by the middle of 2018.</w:t>
      </w:r>
      <w:r w:rsidR="007B771C" w:rsidRPr="00C53F30">
        <w:rPr>
          <w:vertAlign w:val="superscript"/>
        </w:rPr>
        <w:footnoteReference w:id="10"/>
      </w:r>
      <w:r w:rsidR="007B771C" w:rsidRPr="00C53F30">
        <w:t xml:space="preserve"> The Warehouse announced it will replace plastic with ‘compostable’ plastic single-use shopping bags, for which consumers must pay a charge.</w:t>
      </w:r>
      <w:r w:rsidR="007B771C">
        <w:t xml:space="preserve"> The results of these commitments are still pending.</w:t>
      </w:r>
      <w:r w:rsidR="00D05143">
        <w:t xml:space="preserve"> </w:t>
      </w:r>
      <w:r w:rsidR="007B771C" w:rsidRPr="00C53F30">
        <w:t>It is unclear what proportion of the total estimated 750 to 1</w:t>
      </w:r>
      <w:r w:rsidR="00BC528C">
        <w:t>,57</w:t>
      </w:r>
      <w:r w:rsidR="007B771C" w:rsidRPr="00C53F30">
        <w:t>0 million single-use plastic shopping bags per year will be reduced through the present approach</w:t>
      </w:r>
      <w:r w:rsidR="00FE4A7F">
        <w:t>. It is also unclear</w:t>
      </w:r>
      <w:r w:rsidR="007B771C" w:rsidRPr="00C53F30">
        <w:t xml:space="preserve"> whether th</w:t>
      </w:r>
      <w:r w:rsidR="00FE4A7F">
        <w:t>is</w:t>
      </w:r>
      <w:r w:rsidR="007B771C" w:rsidRPr="00C53F30">
        <w:t xml:space="preserve"> </w:t>
      </w:r>
      <w:r w:rsidR="00FE4A7F">
        <w:t>estimate</w:t>
      </w:r>
      <w:r w:rsidR="007B771C" w:rsidRPr="00C53F30">
        <w:t xml:space="preserve"> </w:t>
      </w:r>
      <w:r w:rsidR="00FE4A7F">
        <w:t>includes</w:t>
      </w:r>
      <w:r w:rsidR="007B771C" w:rsidRPr="00C53F30">
        <w:t xml:space="preserve"> </w:t>
      </w:r>
      <w:r w:rsidR="00FE4A7F">
        <w:t xml:space="preserve">single-use plastic bags, which are provided by a wide range of </w:t>
      </w:r>
      <w:r w:rsidR="007B771C" w:rsidRPr="00C53F30">
        <w:t>retailers</w:t>
      </w:r>
      <w:r w:rsidR="00FE4A7F">
        <w:t xml:space="preserve"> (not just supermarkets)</w:t>
      </w:r>
      <w:r w:rsidR="007B771C" w:rsidRPr="00C53F30">
        <w:t>.</w:t>
      </w:r>
    </w:p>
    <w:p w14:paraId="38C61B54" w14:textId="16DF0D01" w:rsidR="007B771C" w:rsidRPr="00B203B9" w:rsidRDefault="007B771C" w:rsidP="00750CB6">
      <w:pPr>
        <w:pStyle w:val="ListParagraph"/>
        <w:numPr>
          <w:ilvl w:val="0"/>
          <w:numId w:val="41"/>
        </w:numPr>
        <w:rPr>
          <w:lang w:val="en-NZ"/>
        </w:rPr>
      </w:pPr>
      <w:r w:rsidRPr="00C53F30">
        <w:t>The Packaging Forum’s Soft Plastics Recycling project targets a full range of post-consumer soft plastics in New Zealand, including single-use plastic shopping bags. In 2015, the scheme received $700,000 from the Ministry for the Environment’s Waste Minimisation Fund funding to expand collection bins</w:t>
      </w:r>
      <w:r w:rsidR="004D357A">
        <w:t>. A</w:t>
      </w:r>
      <w:r w:rsidRPr="00C53F30">
        <w:t xml:space="preserve">n estimated 70 per cent of the population live within 20 kilometres of a collection bin. </w:t>
      </w:r>
      <w:r w:rsidR="00B203B9">
        <w:rPr>
          <w:rFonts w:cs="Arial"/>
        </w:rPr>
        <w:t xml:space="preserve">Initially </w:t>
      </w:r>
      <w:r w:rsidRPr="00676E24">
        <w:rPr>
          <w:rFonts w:cs="Arial"/>
        </w:rPr>
        <w:t xml:space="preserve">the scheme was collecting about 1.7 per cent of the estimated total 6,000 tonnes of plastic bags generated per year from fast-moving consumer goods (including single-use plastic shopping bags </w:t>
      </w:r>
      <w:r w:rsidR="004D357A">
        <w:rPr>
          <w:rFonts w:cs="Arial"/>
        </w:rPr>
        <w:t>as well as</w:t>
      </w:r>
      <w:r w:rsidR="004D357A" w:rsidRPr="00676E24">
        <w:rPr>
          <w:rFonts w:cs="Arial"/>
        </w:rPr>
        <w:t xml:space="preserve"> </w:t>
      </w:r>
      <w:r w:rsidRPr="00676E24">
        <w:rPr>
          <w:rFonts w:cs="Arial"/>
        </w:rPr>
        <w:t>other plastic p</w:t>
      </w:r>
      <w:r w:rsidR="003C5097">
        <w:rPr>
          <w:rFonts w:cs="Arial"/>
        </w:rPr>
        <w:t>ackaging and bags). Its target wa</w:t>
      </w:r>
      <w:r w:rsidRPr="00676E24">
        <w:rPr>
          <w:rFonts w:cs="Arial"/>
        </w:rPr>
        <w:t>s to achieve a 10 per cent recycling rate by 2018, and a 35 per cent recycling rate by 2024</w:t>
      </w:r>
      <w:r w:rsidRPr="00B203B9">
        <w:rPr>
          <w:rFonts w:ascii="Calibri" w:hAnsi="Calibri"/>
        </w:rPr>
        <w:t xml:space="preserve">. </w:t>
      </w:r>
      <w:r w:rsidRPr="00C53F30">
        <w:t>Some of the</w:t>
      </w:r>
      <w:r w:rsidR="00B203B9">
        <w:t xml:space="preserve"> collected</w:t>
      </w:r>
      <w:r w:rsidRPr="00C53F30">
        <w:t xml:space="preserve"> plastics are being recycled in Australia but most </w:t>
      </w:r>
      <w:r w:rsidR="00B203B9">
        <w:t>are</w:t>
      </w:r>
      <w:r w:rsidRPr="00C53F30">
        <w:t xml:space="preserve"> being stored while the scheme is exploring local recycling options. Options may become more limited following China’s ban on imported recyclables</w:t>
      </w:r>
      <w:r w:rsidR="005D7F26" w:rsidRPr="00B203B9">
        <w:rPr>
          <w:lang w:val="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7B771C" w:rsidRPr="009C4129" w14:paraId="3532EF11" w14:textId="77777777" w:rsidTr="00A42D23">
        <w:trPr>
          <w:trHeight w:val="77"/>
        </w:trPr>
        <w:tc>
          <w:tcPr>
            <w:tcW w:w="5000" w:type="pct"/>
            <w:shd w:val="clear" w:color="auto" w:fill="99CDDD"/>
            <w:hideMark/>
          </w:tcPr>
          <w:p w14:paraId="23134460" w14:textId="77777777" w:rsidR="007B771C" w:rsidRPr="009C4129" w:rsidRDefault="007B771C" w:rsidP="007C039F">
            <w:pPr>
              <w:pStyle w:val="Heading3"/>
            </w:pPr>
            <w:bookmarkStart w:id="20" w:name="_Toc526429616"/>
            <w:bookmarkStart w:id="21" w:name="_Toc528052380"/>
            <w:bookmarkStart w:id="22" w:name="_Toc528670868"/>
            <w:r w:rsidRPr="009C4129">
              <w:t>What is the policy problem or opportunity?</w:t>
            </w:r>
            <w:bookmarkEnd w:id="20"/>
            <w:bookmarkEnd w:id="21"/>
            <w:bookmarkEnd w:id="22"/>
            <w:r w:rsidRPr="009C4129">
              <w:t xml:space="preserve"> </w:t>
            </w:r>
          </w:p>
        </w:tc>
      </w:tr>
    </w:tbl>
    <w:p w14:paraId="66F7A8A7" w14:textId="47B18A9F" w:rsidR="00732CC1" w:rsidRDefault="00595D29" w:rsidP="00E4249A">
      <w:pPr>
        <w:spacing w:before="120"/>
      </w:pPr>
      <w:r>
        <w:t>Single-use plastic shopping bags have a negative impact on the environment</w:t>
      </w:r>
      <w:r w:rsidR="005D7F26">
        <w:t xml:space="preserve"> at end</w:t>
      </w:r>
      <w:r w:rsidR="00044A4E">
        <w:t>-</w:t>
      </w:r>
      <w:r w:rsidR="005D7F26">
        <w:t>of</w:t>
      </w:r>
      <w:r w:rsidR="00044A4E">
        <w:t>-</w:t>
      </w:r>
      <w:r w:rsidR="005D7F26">
        <w:t>life</w:t>
      </w:r>
      <w:r w:rsidR="002A5463">
        <w:t>.</w:t>
      </w:r>
      <w:r w:rsidR="00732CC1">
        <w:t xml:space="preserve"> </w:t>
      </w:r>
      <w:r w:rsidR="0002367C">
        <w:t>When in</w:t>
      </w:r>
      <w:r w:rsidR="00903B5D">
        <w:t>appropriately disposed of, these lightweight bags</w:t>
      </w:r>
      <w:r w:rsidR="00732CC1">
        <w:t xml:space="preserve"> can be</w:t>
      </w:r>
      <w:r w:rsidR="00C60B0D" w:rsidRPr="00C60B0D">
        <w:t xml:space="preserve"> </w:t>
      </w:r>
      <w:r w:rsidR="00C60B0D">
        <w:t>easily</w:t>
      </w:r>
      <w:r w:rsidR="00732CC1">
        <w:t xml:space="preserve"> blown into freshwater and marine environments, where they </w:t>
      </w:r>
      <w:r w:rsidR="005176B9">
        <w:t>can be</w:t>
      </w:r>
      <w:r w:rsidR="00732CC1">
        <w:t xml:space="preserve"> a hazard to wildlife</w:t>
      </w:r>
      <w:r w:rsidR="0002367C">
        <w:t xml:space="preserve"> for decades and </w:t>
      </w:r>
      <w:r w:rsidR="00732CC1">
        <w:t xml:space="preserve">become harmful </w:t>
      </w:r>
      <w:proofErr w:type="spellStart"/>
      <w:r w:rsidR="00732CC1">
        <w:t>microplastics</w:t>
      </w:r>
      <w:proofErr w:type="spellEnd"/>
      <w:r w:rsidR="00732CC1">
        <w:t xml:space="preserve"> in the food chain.</w:t>
      </w:r>
    </w:p>
    <w:p w14:paraId="7E0A30FE" w14:textId="36D50514" w:rsidR="00595D29" w:rsidRDefault="00903B5D" w:rsidP="004C5780">
      <w:pPr>
        <w:spacing w:before="120"/>
      </w:pPr>
      <w:r>
        <w:t>The prevalence of</w:t>
      </w:r>
      <w:r w:rsidR="00732CC1">
        <w:t xml:space="preserve"> single-use plastic shopping bags ha</w:t>
      </w:r>
      <w:r>
        <w:t xml:space="preserve">s been encouraged by the </w:t>
      </w:r>
      <w:r w:rsidR="00647B36">
        <w:t xml:space="preserve">common </w:t>
      </w:r>
      <w:r>
        <w:t>retail practice</w:t>
      </w:r>
      <w:r w:rsidR="00C17331">
        <w:t xml:space="preserve"> of</w:t>
      </w:r>
      <w:r w:rsidR="00732CC1">
        <w:t xml:space="preserve"> </w:t>
      </w:r>
      <w:r w:rsidR="002409F2">
        <w:t xml:space="preserve">providing the </w:t>
      </w:r>
      <w:r w:rsidR="00732CC1">
        <w:t xml:space="preserve">bags </w:t>
      </w:r>
      <w:r w:rsidR="004B7D47">
        <w:t>free of charge</w:t>
      </w:r>
      <w:r>
        <w:t>. Consequently</w:t>
      </w:r>
      <w:r w:rsidR="005C5896">
        <w:t>,</w:t>
      </w:r>
      <w:r>
        <w:t xml:space="preserve"> the cost is borne by all shoppers, including those who bring multi-use bags. Convenient and free access to single-use plastic shopping bags</w:t>
      </w:r>
      <w:r w:rsidR="004F61FE">
        <w:t xml:space="preserve"> </w:t>
      </w:r>
      <w:r w:rsidR="00EE3E38">
        <w:t xml:space="preserve">encourages and reinforces </w:t>
      </w:r>
      <w:r w:rsidR="00EE3E38" w:rsidRPr="00E4249A">
        <w:t>linear resource thinking</w:t>
      </w:r>
      <w:r w:rsidR="00EE3E38">
        <w:t xml:space="preserve"> and behaviour</w:t>
      </w:r>
      <w:r w:rsidR="005C5896">
        <w:t>,</w:t>
      </w:r>
      <w:r w:rsidR="00D05143">
        <w:t xml:space="preserve"> </w:t>
      </w:r>
      <w:r w:rsidR="00595D29">
        <w:t xml:space="preserve">and </w:t>
      </w:r>
      <w:r w:rsidR="000A19B8">
        <w:t xml:space="preserve">consequent </w:t>
      </w:r>
      <w:r w:rsidR="00745DE5">
        <w:t xml:space="preserve">inefficient use of natural </w:t>
      </w:r>
      <w:r w:rsidR="00595D29">
        <w:t>resources.</w:t>
      </w:r>
      <w:r w:rsidR="004F61FE">
        <w:rPr>
          <w:rStyle w:val="FootnoteReference"/>
        </w:rPr>
        <w:footnoteReference w:id="11"/>
      </w:r>
      <w:r w:rsidR="00595D29">
        <w:t xml:space="preserve"> </w:t>
      </w:r>
    </w:p>
    <w:p w14:paraId="0D7CEA33" w14:textId="138B6401" w:rsidR="00FE4A7F" w:rsidRPr="009C4129" w:rsidRDefault="00FE4A7F" w:rsidP="007B771C">
      <w:r>
        <w:t>The money New Zealand spends on single-use plastic shopping bags results in only a temporary consumer benefit, and contributes to long-lasting environmental problems. The current ‘throwaway culture’ of the linear economy also occurs at a much larger scale in other New Zealand economic sectors. Single-use plastic shopping bags are an easily addressed exa</w:t>
      </w:r>
      <w:r w:rsidR="002409F2">
        <w:t xml:space="preserve">mple of this broader culture.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771C" w:rsidRPr="009C4129" w14:paraId="4F29DC5F" w14:textId="77777777" w:rsidTr="00A42D23">
        <w:trPr>
          <w:trHeight w:val="77"/>
        </w:trPr>
        <w:tc>
          <w:tcPr>
            <w:tcW w:w="5000" w:type="pct"/>
            <w:shd w:val="clear" w:color="auto" w:fill="99CDDD"/>
          </w:tcPr>
          <w:p w14:paraId="1654D2DB" w14:textId="77777777" w:rsidR="007B771C" w:rsidRPr="009C4129" w:rsidRDefault="007B771C" w:rsidP="007C039F">
            <w:pPr>
              <w:pStyle w:val="Heading3"/>
            </w:pPr>
            <w:bookmarkStart w:id="23" w:name="_Toc526429617"/>
            <w:bookmarkStart w:id="24" w:name="_Toc528052381"/>
            <w:bookmarkStart w:id="25" w:name="_Toc528670869"/>
            <w:r w:rsidRPr="009C4129">
              <w:t>Are there any constraints on the scope for decision making?</w:t>
            </w:r>
            <w:bookmarkEnd w:id="23"/>
            <w:bookmarkEnd w:id="24"/>
            <w:bookmarkEnd w:id="25"/>
            <w:r w:rsidRPr="009C4129">
              <w:t xml:space="preserve"> </w:t>
            </w:r>
          </w:p>
        </w:tc>
      </w:tr>
    </w:tbl>
    <w:p w14:paraId="13F806ED" w14:textId="75A88DC6" w:rsidR="00A309D0" w:rsidRDefault="00E13298" w:rsidP="00A309D0">
      <w:pPr>
        <w:spacing w:before="120"/>
        <w:rPr>
          <w:rFonts w:eastAsia="Calibri" w:cs="Arial"/>
          <w:szCs w:val="22"/>
          <w:lang w:val="en-NZ" w:eastAsia="en-NZ"/>
        </w:rPr>
      </w:pPr>
      <w:r w:rsidRPr="00283030">
        <w:rPr>
          <w:rFonts w:eastAsia="Calibri" w:cs="Arial"/>
          <w:szCs w:val="22"/>
          <w:lang w:val="en-NZ" w:eastAsia="en-NZ"/>
        </w:rPr>
        <w:t xml:space="preserve">The scope </w:t>
      </w:r>
      <w:r w:rsidR="00723A3E">
        <w:rPr>
          <w:rFonts w:eastAsia="Calibri" w:cs="Arial"/>
          <w:szCs w:val="22"/>
          <w:lang w:val="en-NZ" w:eastAsia="en-NZ"/>
        </w:rPr>
        <w:t>of</w:t>
      </w:r>
      <w:r w:rsidR="00723A3E" w:rsidRPr="00283030">
        <w:rPr>
          <w:rFonts w:eastAsia="Calibri" w:cs="Arial"/>
          <w:szCs w:val="22"/>
          <w:lang w:val="en-NZ" w:eastAsia="en-NZ"/>
        </w:rPr>
        <w:t xml:space="preserve"> </w:t>
      </w:r>
      <w:r w:rsidR="00723A3E">
        <w:rPr>
          <w:rFonts w:eastAsia="Calibri" w:cs="Arial"/>
          <w:szCs w:val="22"/>
          <w:lang w:val="en-NZ" w:eastAsia="en-NZ"/>
        </w:rPr>
        <w:t>the</w:t>
      </w:r>
      <w:r w:rsidRPr="00283030">
        <w:rPr>
          <w:rFonts w:eastAsia="Calibri" w:cs="Arial"/>
          <w:szCs w:val="22"/>
          <w:lang w:val="en-NZ" w:eastAsia="en-NZ"/>
        </w:rPr>
        <w:t xml:space="preserve"> RIS was determined by Cabinet, which agreed in principle to a mandatory phase out of single-use plastic shopping bags</w:t>
      </w:r>
      <w:r w:rsidR="00003023">
        <w:rPr>
          <w:rFonts w:eastAsia="Calibri" w:cs="Arial"/>
          <w:szCs w:val="22"/>
          <w:lang w:val="en-NZ" w:eastAsia="en-NZ"/>
        </w:rPr>
        <w:t xml:space="preserve"> subject to the outcome of consultation</w:t>
      </w:r>
      <w:r w:rsidR="003C5097">
        <w:rPr>
          <w:rFonts w:eastAsia="Calibri" w:cs="Arial"/>
          <w:szCs w:val="22"/>
          <w:lang w:val="en-NZ" w:eastAsia="en-NZ"/>
        </w:rPr>
        <w:t xml:space="preserve"> (</w:t>
      </w:r>
      <w:r w:rsidR="0086038E" w:rsidRPr="003C5097">
        <w:rPr>
          <w:rFonts w:eastAsia="Calibri" w:cs="Arial"/>
          <w:bCs/>
          <w:szCs w:val="22"/>
          <w:lang w:val="en-NZ" w:eastAsia="en-NZ"/>
        </w:rPr>
        <w:t>CBC-18-MIN-0076</w:t>
      </w:r>
      <w:r w:rsidR="0086038E" w:rsidRPr="003C5097">
        <w:rPr>
          <w:rFonts w:eastAsia="Calibri" w:cs="Arial"/>
          <w:szCs w:val="22"/>
          <w:lang w:val="en-NZ" w:eastAsia="en-NZ"/>
        </w:rPr>
        <w:t xml:space="preserve"> </w:t>
      </w:r>
      <w:r w:rsidR="003C5097" w:rsidRPr="003C5097">
        <w:rPr>
          <w:rFonts w:eastAsia="Calibri" w:cs="Arial"/>
          <w:szCs w:val="22"/>
          <w:lang w:val="en-NZ" w:eastAsia="en-NZ"/>
        </w:rPr>
        <w:t>refers</w:t>
      </w:r>
      <w:r w:rsidR="003C5097">
        <w:rPr>
          <w:rFonts w:eastAsia="Calibri" w:cs="Arial"/>
          <w:szCs w:val="22"/>
          <w:lang w:val="en-NZ" w:eastAsia="en-NZ"/>
        </w:rPr>
        <w:t>)</w:t>
      </w:r>
      <w:r w:rsidRPr="00283030">
        <w:rPr>
          <w:rFonts w:eastAsia="Calibri" w:cs="Arial"/>
          <w:szCs w:val="22"/>
          <w:lang w:val="en-NZ" w:eastAsia="en-NZ"/>
        </w:rPr>
        <w:t xml:space="preserve">. </w:t>
      </w:r>
      <w:r w:rsidR="00A309D0">
        <w:rPr>
          <w:rFonts w:eastAsia="Calibri" w:cs="Arial"/>
          <w:szCs w:val="22"/>
          <w:lang w:val="en-NZ" w:eastAsia="en-NZ"/>
        </w:rPr>
        <w:t xml:space="preserve">The assessment of regulatory and non-regulatory options which informed this decision was published in the consultation document and is </w:t>
      </w:r>
      <w:r w:rsidR="00831CEE">
        <w:rPr>
          <w:rFonts w:eastAsia="Calibri" w:cs="Arial"/>
          <w:szCs w:val="22"/>
          <w:lang w:val="en-NZ" w:eastAsia="en-NZ"/>
        </w:rPr>
        <w:t>appended to this RIS (</w:t>
      </w:r>
      <w:r w:rsidR="00A309D0">
        <w:rPr>
          <w:rFonts w:eastAsia="Calibri" w:cs="Arial"/>
          <w:szCs w:val="22"/>
          <w:lang w:val="en-NZ" w:eastAsia="en-NZ"/>
        </w:rPr>
        <w:t>Appendix</w:t>
      </w:r>
      <w:r w:rsidR="00831CEE">
        <w:rPr>
          <w:rFonts w:eastAsia="Calibri" w:cs="Arial"/>
          <w:szCs w:val="22"/>
          <w:lang w:val="en-NZ" w:eastAsia="en-NZ"/>
        </w:rPr>
        <w:t>)</w:t>
      </w:r>
      <w:r w:rsidR="00A309D0">
        <w:rPr>
          <w:rFonts w:eastAsia="Calibri" w:cs="Arial"/>
          <w:szCs w:val="22"/>
          <w:lang w:val="en-NZ" w:eastAsia="en-NZ"/>
        </w:rPr>
        <w:t xml:space="preserve">.  </w:t>
      </w:r>
    </w:p>
    <w:p w14:paraId="2D2E607B" w14:textId="75FB32B1" w:rsidR="00E13298" w:rsidRPr="00283030" w:rsidRDefault="00C351B1" w:rsidP="00A309D0">
      <w:pPr>
        <w:spacing w:before="120"/>
        <w:rPr>
          <w:rFonts w:cs="Arial"/>
          <w:szCs w:val="22"/>
        </w:rPr>
      </w:pPr>
      <w:r>
        <w:rPr>
          <w:rFonts w:eastAsia="Calibri" w:cs="Arial"/>
          <w:szCs w:val="22"/>
          <w:lang w:val="en-NZ" w:eastAsia="en-NZ"/>
        </w:rPr>
        <w:t>A clear majority of submissions agreed with</w:t>
      </w:r>
      <w:r w:rsidR="00E524B9">
        <w:rPr>
          <w:rFonts w:eastAsia="Calibri" w:cs="Arial"/>
          <w:szCs w:val="22"/>
          <w:lang w:val="en-NZ" w:eastAsia="en-NZ"/>
        </w:rPr>
        <w:t xml:space="preserve"> the proposed mandatory phase out but varied </w:t>
      </w:r>
      <w:r w:rsidR="00723A3E">
        <w:rPr>
          <w:rFonts w:eastAsia="Calibri" w:cs="Arial"/>
          <w:szCs w:val="22"/>
          <w:lang w:val="en-NZ" w:eastAsia="en-NZ"/>
        </w:rPr>
        <w:t>on</w:t>
      </w:r>
      <w:r w:rsidR="00E524B9">
        <w:rPr>
          <w:rFonts w:eastAsia="Calibri" w:cs="Arial"/>
          <w:szCs w:val="22"/>
          <w:lang w:val="en-NZ" w:eastAsia="en-NZ"/>
        </w:rPr>
        <w:t xml:space="preserve"> bag thickness, </w:t>
      </w:r>
      <w:r w:rsidR="003852FC">
        <w:rPr>
          <w:rFonts w:eastAsia="Calibri" w:cs="Arial"/>
          <w:szCs w:val="22"/>
          <w:lang w:val="en-NZ" w:eastAsia="en-NZ"/>
        </w:rPr>
        <w:t>coverage</w:t>
      </w:r>
      <w:r w:rsidR="00653F40">
        <w:rPr>
          <w:rFonts w:eastAsia="Calibri" w:cs="Arial"/>
          <w:szCs w:val="22"/>
          <w:lang w:val="en-NZ" w:eastAsia="en-NZ"/>
        </w:rPr>
        <w:t>,</w:t>
      </w:r>
      <w:r w:rsidR="003852FC">
        <w:rPr>
          <w:rFonts w:eastAsia="Calibri" w:cs="Arial"/>
          <w:szCs w:val="22"/>
          <w:lang w:val="en-NZ" w:eastAsia="en-NZ"/>
        </w:rPr>
        <w:t xml:space="preserve"> and </w:t>
      </w:r>
      <w:r w:rsidR="00E524B9">
        <w:rPr>
          <w:rFonts w:eastAsia="Calibri" w:cs="Arial"/>
          <w:szCs w:val="22"/>
          <w:lang w:val="en-NZ" w:eastAsia="en-NZ"/>
        </w:rPr>
        <w:t>timeframe.</w:t>
      </w:r>
      <w:r>
        <w:rPr>
          <w:rFonts w:eastAsia="Calibri" w:cs="Arial"/>
          <w:szCs w:val="22"/>
          <w:lang w:val="en-NZ" w:eastAsia="en-NZ"/>
        </w:rPr>
        <w:t xml:space="preserve"> </w:t>
      </w:r>
      <w:r w:rsidR="00E13298" w:rsidRPr="00283030">
        <w:rPr>
          <w:rFonts w:eastAsia="Calibri" w:cs="Arial"/>
          <w:szCs w:val="22"/>
          <w:lang w:val="en-NZ" w:eastAsia="en-NZ"/>
        </w:rPr>
        <w:t>The scope of decision</w:t>
      </w:r>
      <w:r w:rsidR="00723A3E">
        <w:rPr>
          <w:rFonts w:eastAsia="Calibri" w:cs="Arial"/>
          <w:szCs w:val="22"/>
          <w:lang w:val="en-NZ" w:eastAsia="en-NZ"/>
        </w:rPr>
        <w:t xml:space="preserve"> </w:t>
      </w:r>
      <w:r w:rsidR="00E13298" w:rsidRPr="00283030">
        <w:rPr>
          <w:rFonts w:eastAsia="Calibri" w:cs="Arial"/>
          <w:szCs w:val="22"/>
          <w:lang w:val="en-NZ" w:eastAsia="en-NZ"/>
        </w:rPr>
        <w:t>making for this RIS</w:t>
      </w:r>
      <w:r w:rsidR="00723A3E">
        <w:rPr>
          <w:rFonts w:eastAsia="Calibri" w:cs="Arial"/>
          <w:szCs w:val="22"/>
          <w:lang w:val="en-NZ" w:eastAsia="en-NZ"/>
        </w:rPr>
        <w:t>,</w:t>
      </w:r>
      <w:r w:rsidR="00003023">
        <w:rPr>
          <w:rFonts w:eastAsia="Calibri" w:cs="Arial"/>
          <w:szCs w:val="22"/>
          <w:lang w:val="en-NZ" w:eastAsia="en-NZ"/>
        </w:rPr>
        <w:t xml:space="preserve"> therefore</w:t>
      </w:r>
      <w:r w:rsidR="00723A3E">
        <w:rPr>
          <w:rFonts w:eastAsia="Calibri" w:cs="Arial"/>
          <w:szCs w:val="22"/>
          <w:lang w:val="en-NZ" w:eastAsia="en-NZ"/>
        </w:rPr>
        <w:t>,</w:t>
      </w:r>
      <w:r w:rsidR="00E13298" w:rsidRPr="00283030">
        <w:rPr>
          <w:rFonts w:eastAsia="Calibri" w:cs="Arial"/>
          <w:szCs w:val="22"/>
          <w:lang w:val="en-NZ" w:eastAsia="en-NZ"/>
        </w:rPr>
        <w:t xml:space="preserve"> </w:t>
      </w:r>
      <w:r w:rsidR="00653F40">
        <w:rPr>
          <w:rFonts w:eastAsia="Calibri" w:cs="Arial"/>
          <w:szCs w:val="22"/>
          <w:lang w:val="en-NZ" w:eastAsia="en-NZ"/>
        </w:rPr>
        <w:t xml:space="preserve">is </w:t>
      </w:r>
      <w:r w:rsidR="00A309D0">
        <w:rPr>
          <w:rFonts w:eastAsia="Calibri" w:cs="Arial"/>
          <w:szCs w:val="22"/>
          <w:lang w:val="en-NZ" w:eastAsia="en-NZ"/>
        </w:rPr>
        <w:t xml:space="preserve">practical implementation options of the proposed regulatory measure. </w:t>
      </w:r>
      <w:r w:rsidR="00E13298" w:rsidRPr="00283030">
        <w:rPr>
          <w:rFonts w:eastAsia="Calibri" w:cs="Arial"/>
          <w:szCs w:val="22"/>
          <w:lang w:val="en-NZ" w:eastAsia="en-NZ"/>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771C" w:rsidRPr="009C4129" w14:paraId="6D38B3B9" w14:textId="77777777" w:rsidTr="00A42D23">
        <w:trPr>
          <w:trHeight w:val="77"/>
        </w:trPr>
        <w:tc>
          <w:tcPr>
            <w:tcW w:w="5000" w:type="pct"/>
            <w:shd w:val="clear" w:color="auto" w:fill="99CDDD"/>
          </w:tcPr>
          <w:p w14:paraId="673812DE" w14:textId="77777777" w:rsidR="007B771C" w:rsidRPr="009C4129" w:rsidRDefault="007B771C" w:rsidP="007C039F">
            <w:pPr>
              <w:pStyle w:val="Heading3"/>
            </w:pPr>
            <w:bookmarkStart w:id="26" w:name="_Toc526429618"/>
            <w:bookmarkStart w:id="27" w:name="_Toc528052382"/>
            <w:bookmarkStart w:id="28" w:name="_Toc528670870"/>
            <w:r w:rsidRPr="009C4129">
              <w:t>What do stakeholders think?</w:t>
            </w:r>
            <w:bookmarkEnd w:id="26"/>
            <w:bookmarkEnd w:id="27"/>
            <w:bookmarkEnd w:id="28"/>
          </w:p>
        </w:tc>
      </w:tr>
    </w:tbl>
    <w:p w14:paraId="3353C1AF" w14:textId="37CC7C48" w:rsidR="007B771C" w:rsidRPr="00C53F30" w:rsidRDefault="007B771C" w:rsidP="004C5780">
      <w:pPr>
        <w:spacing w:before="120"/>
      </w:pPr>
      <w:r w:rsidRPr="00C53F30">
        <w:t xml:space="preserve">Plastic waste as a whole, and plastic bags in particular, have captured </w:t>
      </w:r>
      <w:r w:rsidR="00723A3E">
        <w:t>media and public</w:t>
      </w:r>
      <w:r w:rsidR="00723A3E" w:rsidRPr="00C53F30">
        <w:t xml:space="preserve"> </w:t>
      </w:r>
      <w:r w:rsidRPr="00C53F30">
        <w:t>attention in</w:t>
      </w:r>
      <w:r w:rsidR="00723A3E">
        <w:t xml:space="preserve"> recent years in</w:t>
      </w:r>
      <w:r w:rsidRPr="00C53F30">
        <w:t xml:space="preserve"> New Zealand</w:t>
      </w:r>
      <w:r w:rsidR="00653F40">
        <w:t>.</w:t>
      </w:r>
    </w:p>
    <w:p w14:paraId="2F3A2B9F" w14:textId="21D780D6" w:rsidR="00F93DB1" w:rsidRDefault="00D1515A" w:rsidP="00DC18C6">
      <w:pPr>
        <w:spacing w:after="120" w:line="240" w:lineRule="auto"/>
        <w:rPr>
          <w:rFonts w:cs="Arial"/>
          <w:iCs/>
          <w:color w:val="000000" w:themeColor="text1"/>
        </w:rPr>
      </w:pPr>
      <w:r>
        <w:rPr>
          <w:rFonts w:cs="Arial"/>
          <w:color w:val="000000" w:themeColor="text1"/>
        </w:rPr>
        <w:t>P</w:t>
      </w:r>
      <w:r w:rsidR="00F93DB1">
        <w:rPr>
          <w:rFonts w:cs="Arial"/>
          <w:color w:val="000000" w:themeColor="text1"/>
        </w:rPr>
        <w:t xml:space="preserve">ublic </w:t>
      </w:r>
      <w:r w:rsidR="00F93DB1" w:rsidRPr="00434538">
        <w:rPr>
          <w:rFonts w:cs="Arial"/>
          <w:color w:val="000000" w:themeColor="text1"/>
        </w:rPr>
        <w:t xml:space="preserve">consultation </w:t>
      </w:r>
      <w:r w:rsidR="00F93DB1">
        <w:rPr>
          <w:rFonts w:cs="Arial"/>
          <w:color w:val="000000" w:themeColor="text1"/>
        </w:rPr>
        <w:t xml:space="preserve">on a proposed mandatory phase out of single-use shopping bags </w:t>
      </w:r>
      <w:r w:rsidR="00F93DB1" w:rsidRPr="00434538">
        <w:rPr>
          <w:rFonts w:cs="Arial"/>
          <w:color w:val="000000" w:themeColor="text1"/>
        </w:rPr>
        <w:t xml:space="preserve">ran from 10 August to 14 September 2018. </w:t>
      </w:r>
      <w:r w:rsidR="00801D1C">
        <w:rPr>
          <w:rFonts w:cs="Arial"/>
          <w:color w:val="000000" w:themeColor="text1"/>
        </w:rPr>
        <w:t xml:space="preserve">A total of </w:t>
      </w:r>
      <w:r w:rsidR="00C820BC">
        <w:rPr>
          <w:rFonts w:cs="Arial"/>
          <w:iCs/>
          <w:color w:val="000000" w:themeColor="text1"/>
        </w:rPr>
        <w:t>9,349</w:t>
      </w:r>
      <w:r w:rsidR="00801D1C" w:rsidRPr="00434538">
        <w:rPr>
          <w:rFonts w:cs="Arial"/>
          <w:iCs/>
          <w:color w:val="000000" w:themeColor="text1"/>
        </w:rPr>
        <w:t xml:space="preserve"> responses</w:t>
      </w:r>
      <w:r w:rsidR="00801D1C" w:rsidRPr="00434538" w:rsidDel="00801D1C">
        <w:rPr>
          <w:rFonts w:cs="Arial"/>
          <w:color w:val="000000" w:themeColor="text1"/>
        </w:rPr>
        <w:t xml:space="preserve"> </w:t>
      </w:r>
      <w:r w:rsidR="00801D1C">
        <w:rPr>
          <w:rFonts w:cs="Arial"/>
          <w:color w:val="000000" w:themeColor="text1"/>
        </w:rPr>
        <w:t xml:space="preserve">were received: </w:t>
      </w:r>
      <w:r w:rsidR="00F41981">
        <w:rPr>
          <w:rFonts w:cs="Arial"/>
          <w:iCs/>
          <w:color w:val="000000" w:themeColor="text1"/>
        </w:rPr>
        <w:t>6,1</w:t>
      </w:r>
      <w:r w:rsidR="00C820BC">
        <w:rPr>
          <w:rFonts w:cs="Arial"/>
          <w:iCs/>
          <w:color w:val="000000" w:themeColor="text1"/>
        </w:rPr>
        <w:t>24</w:t>
      </w:r>
      <w:r w:rsidR="00F93DB1" w:rsidRPr="00F93DB1">
        <w:rPr>
          <w:rFonts w:cs="Arial"/>
          <w:iCs/>
          <w:color w:val="000000" w:themeColor="text1"/>
        </w:rPr>
        <w:t xml:space="preserve"> submissions and 3,225 responses to a short web-based survey</w:t>
      </w:r>
      <w:r w:rsidR="00801D1C">
        <w:rPr>
          <w:rFonts w:cs="Arial"/>
          <w:iCs/>
          <w:color w:val="000000" w:themeColor="text1"/>
        </w:rPr>
        <w:t>.</w:t>
      </w:r>
    </w:p>
    <w:p w14:paraId="65A82C74" w14:textId="710853B0" w:rsidR="00F93DB1" w:rsidRDefault="00F93DB1" w:rsidP="00DC18C6">
      <w:pPr>
        <w:spacing w:after="0" w:line="240" w:lineRule="auto"/>
        <w:rPr>
          <w:rFonts w:cs="Arial"/>
        </w:rPr>
      </w:pPr>
      <w:r w:rsidRPr="00434538">
        <w:rPr>
          <w:rFonts w:cs="Arial"/>
        </w:rPr>
        <w:t>An overwhelming majority of responses (92</w:t>
      </w:r>
      <w:r w:rsidR="00653F40">
        <w:rPr>
          <w:rFonts w:cs="Arial"/>
        </w:rPr>
        <w:t xml:space="preserve"> per cent</w:t>
      </w:r>
      <w:r w:rsidR="00653F40" w:rsidRPr="00434538">
        <w:rPr>
          <w:rFonts w:cs="Arial"/>
        </w:rPr>
        <w:t xml:space="preserve">) </w:t>
      </w:r>
      <w:r w:rsidRPr="00434538">
        <w:rPr>
          <w:rFonts w:cs="Arial"/>
        </w:rPr>
        <w:t xml:space="preserve">agreed with </w:t>
      </w:r>
      <w:r>
        <w:rPr>
          <w:rFonts w:cs="Arial"/>
        </w:rPr>
        <w:t xml:space="preserve">the </w:t>
      </w:r>
      <w:r w:rsidRPr="00434538">
        <w:rPr>
          <w:rFonts w:cs="Arial"/>
        </w:rPr>
        <w:t>mandatory phase</w:t>
      </w:r>
      <w:r w:rsidR="00081F76">
        <w:rPr>
          <w:rFonts w:cs="Arial"/>
        </w:rPr>
        <w:t>-</w:t>
      </w:r>
      <w:r w:rsidRPr="00434538">
        <w:rPr>
          <w:rFonts w:cs="Arial"/>
        </w:rPr>
        <w:t>out proposal. Majority support was evident in all types of submitters, from individuals (96</w:t>
      </w:r>
      <w:r w:rsidR="00653F40">
        <w:rPr>
          <w:rFonts w:cs="Arial"/>
        </w:rPr>
        <w:t xml:space="preserve"> per cent</w:t>
      </w:r>
      <w:r w:rsidR="00653F40" w:rsidRPr="00434538">
        <w:rPr>
          <w:rFonts w:cs="Arial"/>
        </w:rPr>
        <w:t xml:space="preserve">), </w:t>
      </w:r>
      <w:r w:rsidR="002409F2">
        <w:rPr>
          <w:rFonts w:cs="Arial"/>
        </w:rPr>
        <w:t>non-governmental organisations (</w:t>
      </w:r>
      <w:r w:rsidRPr="00434538">
        <w:rPr>
          <w:rFonts w:cs="Arial"/>
        </w:rPr>
        <w:t>NGOs</w:t>
      </w:r>
      <w:r w:rsidR="002409F2">
        <w:rPr>
          <w:rFonts w:cs="Arial"/>
        </w:rPr>
        <w:t>)</w:t>
      </w:r>
      <w:r w:rsidR="00C820BC">
        <w:rPr>
          <w:rFonts w:cs="Arial"/>
        </w:rPr>
        <w:t xml:space="preserve"> (84</w:t>
      </w:r>
      <w:r w:rsidR="00653F40">
        <w:rPr>
          <w:rFonts w:cs="Arial"/>
        </w:rPr>
        <w:t xml:space="preserve"> per cent</w:t>
      </w:r>
      <w:r w:rsidR="00653F40" w:rsidRPr="00434538">
        <w:rPr>
          <w:rFonts w:cs="Arial"/>
        </w:rPr>
        <w:t xml:space="preserve">), </w:t>
      </w:r>
      <w:r w:rsidR="00C820BC">
        <w:rPr>
          <w:rFonts w:cs="Arial"/>
        </w:rPr>
        <w:t>local government (</w:t>
      </w:r>
      <w:r w:rsidR="00F16E57">
        <w:rPr>
          <w:rFonts w:cs="Arial"/>
        </w:rPr>
        <w:t>76</w:t>
      </w:r>
      <w:r w:rsidR="00653F40">
        <w:rPr>
          <w:rFonts w:cs="Arial"/>
        </w:rPr>
        <w:t xml:space="preserve"> per cent</w:t>
      </w:r>
      <w:r w:rsidRPr="00434538">
        <w:rPr>
          <w:rFonts w:cs="Arial"/>
        </w:rPr>
        <w:t xml:space="preserve">), and </w:t>
      </w:r>
      <w:r w:rsidR="004B2FB4">
        <w:rPr>
          <w:rFonts w:cs="Arial"/>
        </w:rPr>
        <w:t>business</w:t>
      </w:r>
      <w:r w:rsidR="002409F2">
        <w:rPr>
          <w:rFonts w:cs="Arial"/>
        </w:rPr>
        <w:t>es</w:t>
      </w:r>
      <w:r w:rsidR="00C820BC">
        <w:rPr>
          <w:rFonts w:cs="Arial"/>
        </w:rPr>
        <w:t xml:space="preserve"> (62</w:t>
      </w:r>
      <w:r w:rsidR="00653F40">
        <w:rPr>
          <w:rFonts w:cs="Arial"/>
        </w:rPr>
        <w:t xml:space="preserve"> per cent)</w:t>
      </w:r>
      <w:r w:rsidR="005176B9">
        <w:rPr>
          <w:rFonts w:cs="Arial"/>
        </w:rPr>
        <w:t xml:space="preserve"> (</w:t>
      </w:r>
      <w:r w:rsidR="00081F76">
        <w:rPr>
          <w:rFonts w:cs="Arial"/>
        </w:rPr>
        <w:t xml:space="preserve">see </w:t>
      </w:r>
      <w:r w:rsidR="005176B9">
        <w:rPr>
          <w:rFonts w:cs="Arial"/>
        </w:rPr>
        <w:t>figure 1)</w:t>
      </w:r>
      <w:r w:rsidR="00653F40" w:rsidRPr="00434538">
        <w:rPr>
          <w:rFonts w:cs="Arial"/>
        </w:rPr>
        <w:t>.</w:t>
      </w:r>
    </w:p>
    <w:p w14:paraId="4E2815C2" w14:textId="77777777" w:rsidR="00F16E57" w:rsidRDefault="00F16E57" w:rsidP="00DC18C6">
      <w:pPr>
        <w:spacing w:after="0" w:line="240" w:lineRule="auto"/>
        <w:rPr>
          <w:rFonts w:cs="Arial"/>
        </w:rPr>
      </w:pPr>
    </w:p>
    <w:p w14:paraId="692DC0BF" w14:textId="7F6F7676" w:rsidR="005176B9" w:rsidRDefault="005176B9" w:rsidP="00DC18C6">
      <w:pPr>
        <w:spacing w:after="0" w:line="240" w:lineRule="auto"/>
        <w:rPr>
          <w:rFonts w:cs="Arial"/>
        </w:rPr>
      </w:pPr>
    </w:p>
    <w:p w14:paraId="794A036F" w14:textId="5F70BEBD" w:rsidR="00F16E57" w:rsidRPr="0091520D" w:rsidRDefault="00F16E57" w:rsidP="00F16E57">
      <w:pPr>
        <w:pStyle w:val="Tableheading"/>
      </w:pPr>
      <w:bookmarkStart w:id="29" w:name="_Toc527382696"/>
      <w:bookmarkStart w:id="30" w:name="_Toc528238733"/>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w:t>
      </w:r>
      <w:r>
        <w:tab/>
        <w:t>Responses to the proposed mandatory phase out of the sale or distribution of single-use plastic shopping bags in New Zealand by submitter type</w:t>
      </w:r>
      <w:bookmarkEnd w:id="29"/>
      <w:bookmarkEnd w:id="30"/>
    </w:p>
    <w:p w14:paraId="2772ADEA" w14:textId="77777777" w:rsidR="00F16E57" w:rsidRPr="004E2B63" w:rsidRDefault="00F16E57" w:rsidP="00F16E57">
      <w:pPr>
        <w:spacing w:after="0"/>
      </w:pPr>
      <w:r>
        <w:rPr>
          <w:noProof/>
        </w:rPr>
        <w:drawing>
          <wp:inline distT="0" distB="0" distL="0" distR="0" wp14:anchorId="7586B5C2" wp14:editId="4BF7C5D1">
            <wp:extent cx="5102677" cy="3600000"/>
            <wp:effectExtent l="0" t="0" r="317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2086FF" w14:textId="694D2068" w:rsidR="005176B9" w:rsidRDefault="005176B9" w:rsidP="00DC18C6">
      <w:pPr>
        <w:spacing w:after="0" w:line="240" w:lineRule="auto"/>
        <w:rPr>
          <w:rFonts w:cs="Arial"/>
        </w:rPr>
      </w:pPr>
    </w:p>
    <w:p w14:paraId="0B83D826" w14:textId="77777777" w:rsidR="001B79EE" w:rsidRDefault="00BC78A6" w:rsidP="001B79EE">
      <w:pPr>
        <w:pStyle w:val="Heading4"/>
        <w:rPr>
          <w:lang w:val="en-NZ"/>
        </w:rPr>
      </w:pPr>
      <w:r w:rsidRPr="002D343D">
        <w:rPr>
          <w:lang w:val="en-NZ"/>
        </w:rPr>
        <w:t>Support for the proposal to phase out single-use plastic shopping bags</w:t>
      </w:r>
    </w:p>
    <w:p w14:paraId="446CF0B2" w14:textId="7C094AB4" w:rsidR="007B771C" w:rsidRDefault="00653F40" w:rsidP="00970852">
      <w:pPr>
        <w:spacing w:after="120" w:line="240" w:lineRule="auto"/>
        <w:rPr>
          <w:rFonts w:cs="Arial"/>
        </w:rPr>
      </w:pPr>
      <w:r>
        <w:rPr>
          <w:rFonts w:cs="Arial"/>
        </w:rPr>
        <w:t xml:space="preserve">Common messages emerging from the consultation included the need to act quickly to phase out plastic bags, and for the proposed phase out to have a wide scope. For example, many individual submitters (including those using a Greenpeace form submission) considered all </w:t>
      </w:r>
      <w:r w:rsidR="00CD77ED">
        <w:rPr>
          <w:rFonts w:cs="Arial"/>
        </w:rPr>
        <w:t>‘</w:t>
      </w:r>
      <w:r>
        <w:rPr>
          <w:rFonts w:cs="Arial"/>
        </w:rPr>
        <w:t>single-use</w:t>
      </w:r>
      <w:r w:rsidR="00CD77ED">
        <w:rPr>
          <w:rFonts w:cs="Arial"/>
        </w:rPr>
        <w:t>’</w:t>
      </w:r>
      <w:r>
        <w:rPr>
          <w:rFonts w:cs="Arial"/>
        </w:rPr>
        <w:t xml:space="preserve"> plastic shopping bags should be covered, rather than just those below a specified thickness. </w:t>
      </w:r>
    </w:p>
    <w:p w14:paraId="6FCEC610" w14:textId="7CCAE739" w:rsidR="005176B9" w:rsidRPr="00981E83" w:rsidRDefault="005176B9" w:rsidP="005176B9">
      <w:pPr>
        <w:pStyle w:val="BodyText"/>
      </w:pPr>
      <w:r w:rsidRPr="00981E83">
        <w:t>Local government submitters generally reiterate</w:t>
      </w:r>
      <w:r w:rsidR="00BC78A6">
        <w:t>d</w:t>
      </w:r>
      <w:r w:rsidRPr="00981E83">
        <w:t xml:space="preserve"> the problems that single-use plastic shopping bags cause in the litter stream, and that they may contaminate recycling. Some local government </w:t>
      </w:r>
      <w:proofErr w:type="gramStart"/>
      <w:r w:rsidRPr="00981E83">
        <w:t>submitters</w:t>
      </w:r>
      <w:proofErr w:type="gramEnd"/>
      <w:r w:rsidRPr="00981E83">
        <w:t xml:space="preserve"> note there may be limited local alternatives (such as soft plastics recycling)</w:t>
      </w:r>
      <w:r w:rsidR="00DE682F">
        <w:t xml:space="preserve"> in their region</w:t>
      </w:r>
      <w:r w:rsidRPr="00981E83">
        <w:t>.</w:t>
      </w:r>
    </w:p>
    <w:p w14:paraId="60CA57CE" w14:textId="4FB18540" w:rsidR="005176B9" w:rsidRDefault="00BC78A6" w:rsidP="005176B9">
      <w:pPr>
        <w:pStyle w:val="BodyText"/>
      </w:pPr>
      <w:r>
        <w:rPr>
          <w:rStyle w:val="BodyTextChar"/>
        </w:rPr>
        <w:t xml:space="preserve">NGOs generally supported the proposal </w:t>
      </w:r>
      <w:r w:rsidR="005176B9" w:rsidRPr="00981E83">
        <w:rPr>
          <w:rStyle w:val="BodyTextChar"/>
        </w:rPr>
        <w:t xml:space="preserve">for </w:t>
      </w:r>
      <w:r>
        <w:rPr>
          <w:rStyle w:val="BodyTextChar"/>
        </w:rPr>
        <w:t xml:space="preserve">environmental reasons </w:t>
      </w:r>
      <w:r w:rsidR="005176B9" w:rsidRPr="00981E83">
        <w:rPr>
          <w:rStyle w:val="BodyTextChar"/>
        </w:rPr>
        <w:t>(noting that although plastic shopping bags are only one of many types of plastics entering the</w:t>
      </w:r>
      <w:r w:rsidR="005176B9">
        <w:t xml:space="preserve"> environment, they are a great starting point as an everyday item). </w:t>
      </w:r>
    </w:p>
    <w:p w14:paraId="0ED1469A" w14:textId="6C16DDB9" w:rsidR="005176B9" w:rsidRDefault="005176B9" w:rsidP="005176B9">
      <w:pPr>
        <w:spacing w:after="120" w:line="240" w:lineRule="auto"/>
      </w:pPr>
      <w:r>
        <w:t>A number of submitters note they support the proposal as part of a first step towards wider action on plastic packaging.</w:t>
      </w:r>
    </w:p>
    <w:p w14:paraId="58E649DA" w14:textId="43D44623" w:rsidR="00BC78A6" w:rsidRPr="00981E83" w:rsidRDefault="00BC78A6" w:rsidP="00BC78A6">
      <w:pPr>
        <w:pStyle w:val="BodyText"/>
      </w:pPr>
      <w:r w:rsidRPr="00981E83">
        <w:t>Business submitters who support</w:t>
      </w:r>
      <w:r w:rsidR="00DE682F">
        <w:t>ed</w:t>
      </w:r>
      <w:r w:rsidRPr="00981E83">
        <w:t xml:space="preserve"> the proposals also outline environmental reasons. For example, Kmart submit</w:t>
      </w:r>
      <w:r w:rsidR="00DE682F">
        <w:t>ted</w:t>
      </w:r>
      <w:r w:rsidRPr="00981E83">
        <w:t xml:space="preserve"> </w:t>
      </w:r>
      <w:r w:rsidR="00DE682F">
        <w:t xml:space="preserve">that </w:t>
      </w:r>
      <w:r w:rsidRPr="00981E83">
        <w:t>banning single-use plastic shopping bags will reduce litter and plastic pollution, resulting in reduced impacts on wildlife and the environment.</w:t>
      </w:r>
    </w:p>
    <w:p w14:paraId="4F42952A" w14:textId="7AFFCCBF" w:rsidR="00BC78A6" w:rsidRDefault="00BC78A6" w:rsidP="00BC78A6">
      <w:pPr>
        <w:spacing w:after="120" w:line="240" w:lineRule="auto"/>
      </w:pPr>
      <w:r>
        <w:t xml:space="preserve">Other reasons given include </w:t>
      </w:r>
      <w:r w:rsidR="00A8680A">
        <w:t xml:space="preserve">that </w:t>
      </w:r>
      <w:r>
        <w:t xml:space="preserve">single-use plastic shopping bags </w:t>
      </w:r>
      <w:r w:rsidR="00DE682F">
        <w:t>a</w:t>
      </w:r>
      <w:r w:rsidR="00A8680A">
        <w:t xml:space="preserve">re </w:t>
      </w:r>
      <w:r>
        <w:t>a waste of resources; and because plastic takes a long time to degrade.</w:t>
      </w:r>
    </w:p>
    <w:p w14:paraId="18757125" w14:textId="48B39407" w:rsidR="00DE682F" w:rsidRDefault="00DE682F" w:rsidP="00BC78A6">
      <w:pPr>
        <w:spacing w:after="120" w:line="240" w:lineRule="auto"/>
      </w:pPr>
      <w:r>
        <w:t>A small number of submitters supported a move away from single-use plastic shopping bags, but preferred other means such as a levy rather than a ban. These submitters pointed to the revenue-raising potential of a levy, or felt it provided more consumer choice.</w:t>
      </w:r>
    </w:p>
    <w:p w14:paraId="2C42A3CA" w14:textId="77777777" w:rsidR="00DB419A" w:rsidRDefault="00DB419A" w:rsidP="00BC78A6">
      <w:pPr>
        <w:spacing w:after="120" w:line="240" w:lineRule="auto"/>
        <w:rPr>
          <w:rFonts w:cs="Arial"/>
        </w:rPr>
      </w:pPr>
    </w:p>
    <w:p w14:paraId="55C0FEBC" w14:textId="5FCD32C5" w:rsidR="00BC78A6" w:rsidRPr="002D343D" w:rsidRDefault="00BC78A6" w:rsidP="002D343D">
      <w:pPr>
        <w:pStyle w:val="Heading4"/>
        <w:rPr>
          <w:lang w:val="en-NZ"/>
        </w:rPr>
      </w:pPr>
      <w:r w:rsidRPr="002D343D">
        <w:rPr>
          <w:lang w:val="en-NZ"/>
        </w:rPr>
        <w:t>Arguments against the proposal to phase out single-use plastic shopping bags</w:t>
      </w:r>
    </w:p>
    <w:p w14:paraId="582A3AD2" w14:textId="321DB5D4" w:rsidR="00BC78A6" w:rsidRPr="00981E83" w:rsidRDefault="00D17142" w:rsidP="002D343D">
      <w:pPr>
        <w:pStyle w:val="BodyText"/>
      </w:pPr>
      <w:r>
        <w:t>One hundred and eighty-six</w:t>
      </w:r>
      <w:r w:rsidRPr="00981E83">
        <w:t xml:space="preserve"> </w:t>
      </w:r>
      <w:r w:rsidR="00BC78A6" w:rsidRPr="00981E83">
        <w:t>long-form submitters and a further 318 who answered the short online survey (5 per cent altogether) disagree</w:t>
      </w:r>
      <w:r w:rsidR="00BC78A6">
        <w:t>d</w:t>
      </w:r>
      <w:r w:rsidR="00BC78A6" w:rsidRPr="00981E83">
        <w:t xml:space="preserve"> with the </w:t>
      </w:r>
      <w:r w:rsidR="00BC78A6">
        <w:t>proposed phase out</w:t>
      </w:r>
      <w:r w:rsidR="00BC78A6" w:rsidRPr="00981E83">
        <w:t xml:space="preserve">. </w:t>
      </w:r>
    </w:p>
    <w:p w14:paraId="39D85D18" w14:textId="3C88EEC9" w:rsidR="00BC78A6" w:rsidRDefault="00BC78A6" w:rsidP="002D343D">
      <w:pPr>
        <w:pStyle w:val="BodyText"/>
      </w:pPr>
      <w:r w:rsidRPr="001F6B9B">
        <w:t xml:space="preserve">A common theme in these submissions was that New Zealand’s </w:t>
      </w:r>
      <w:r>
        <w:t>single-use plastic shopping</w:t>
      </w:r>
      <w:r w:rsidRPr="001F6B9B">
        <w:t xml:space="preserve"> </w:t>
      </w:r>
      <w:r>
        <w:t>bags are only</w:t>
      </w:r>
      <w:r w:rsidRPr="001F6B9B">
        <w:t xml:space="preserve"> a small contribution to pollution</w:t>
      </w:r>
      <w:r>
        <w:t>. Some submitters felt there was insufficient evidence of problems caused by single-use plastic shopping bags in New Zealand.</w:t>
      </w:r>
    </w:p>
    <w:p w14:paraId="719AE97B" w14:textId="53859F26" w:rsidR="00BC78A6" w:rsidRDefault="00BC78A6" w:rsidP="00BC78A6">
      <w:pPr>
        <w:spacing w:after="120"/>
      </w:pPr>
      <w:r>
        <w:t>Various</w:t>
      </w:r>
      <w:r w:rsidRPr="00326438">
        <w:t xml:space="preserve"> </w:t>
      </w:r>
      <w:r>
        <w:t>submitters</w:t>
      </w:r>
      <w:r w:rsidRPr="00326438">
        <w:t xml:space="preserve"> who disagree</w:t>
      </w:r>
      <w:r w:rsidR="00A8680A">
        <w:t>d</w:t>
      </w:r>
      <w:r w:rsidRPr="00326438">
        <w:t xml:space="preserve"> with </w:t>
      </w:r>
      <w:r>
        <w:t>the proposal state</w:t>
      </w:r>
      <w:r w:rsidR="00DE682F">
        <w:t>d</w:t>
      </w:r>
      <w:r>
        <w:t xml:space="preserve"> that ‘single-use’</w:t>
      </w:r>
      <w:r w:rsidRPr="00326438">
        <w:t xml:space="preserve"> is a misnomer. Submitters commonly said that </w:t>
      </w:r>
      <w:r>
        <w:t>single-use plastic shopping bags</w:t>
      </w:r>
      <w:r w:rsidRPr="00326438">
        <w:t xml:space="preserve"> are reused as bin liners, </w:t>
      </w:r>
      <w:r>
        <w:t xml:space="preserve">for pet waste, and other purposes. </w:t>
      </w:r>
      <w:r w:rsidR="00A8680A">
        <w:t>I</w:t>
      </w:r>
      <w:r>
        <w:t>f replaced with thicker plastic bags</w:t>
      </w:r>
      <w:r w:rsidR="00A8680A">
        <w:t>,</w:t>
      </w:r>
      <w:r>
        <w:t xml:space="preserve"> then the outcome could be more plastic going to landfill. Similarly, some submitters were concerned that if alternatives to single-</w:t>
      </w:r>
      <w:r w:rsidRPr="00F25196">
        <w:t xml:space="preserve">use plastic bags are not reused a sufficient number of times, they will have a greater environmental impact than single-use plastic bags. </w:t>
      </w:r>
    </w:p>
    <w:p w14:paraId="1482C18B" w14:textId="0B807628" w:rsidR="00BC78A6" w:rsidRDefault="00BC78A6" w:rsidP="00BC78A6">
      <w:pPr>
        <w:pStyle w:val="BodyText"/>
      </w:pPr>
      <w:r>
        <w:t xml:space="preserve">Those not in support considered further efforts could be put into litter and waste management instead. </w:t>
      </w:r>
    </w:p>
    <w:p w14:paraId="5A41A1B0" w14:textId="78ED53B4" w:rsidR="002D343D" w:rsidRPr="002D343D" w:rsidRDefault="002D343D" w:rsidP="002D343D">
      <w:pPr>
        <w:pStyle w:val="Heading4"/>
        <w:rPr>
          <w:lang w:val="en-NZ"/>
        </w:rPr>
      </w:pPr>
      <w:r w:rsidRPr="002D343D">
        <w:rPr>
          <w:lang w:val="en-NZ"/>
        </w:rPr>
        <w:t>Comment</w:t>
      </w:r>
    </w:p>
    <w:p w14:paraId="69B55ADE" w14:textId="22356DA8" w:rsidR="002D343D" w:rsidRDefault="002D343D" w:rsidP="002D343D">
      <w:pPr>
        <w:pStyle w:val="BodyText"/>
      </w:pPr>
      <w:r>
        <w:t>Although some retailers have already taken voluntary actions to reduce single-use plastic shopping bags</w:t>
      </w:r>
      <w:r w:rsidR="002A4B26">
        <w:t xml:space="preserve"> use</w:t>
      </w:r>
      <w:r>
        <w:t xml:space="preserve">, overseas and local evidence </w:t>
      </w:r>
      <w:r w:rsidR="000E15BC">
        <w:t>shows that</w:t>
      </w:r>
      <w:r>
        <w:t xml:space="preserve"> voluntary actions </w:t>
      </w:r>
      <w:r w:rsidR="000E15BC">
        <w:t xml:space="preserve">are </w:t>
      </w:r>
      <w:r>
        <w:t xml:space="preserve">vulnerable to being reversed </w:t>
      </w:r>
      <w:r w:rsidR="000E15BC">
        <w:t xml:space="preserve">due to </w:t>
      </w:r>
      <w:r>
        <w:t>commercial pressures. Overseas evidence also points to levies achieving lower overall reductions in single-use plastic shopping bag usage, compared to bans. Large retailers submitted in favour of a ban rather than a levy, as did local government and NGOs.</w:t>
      </w:r>
    </w:p>
    <w:p w14:paraId="511E98B1" w14:textId="38FE7FF3" w:rsidR="00BC78A6" w:rsidRDefault="002D343D" w:rsidP="00BC78A6">
      <w:pPr>
        <w:pStyle w:val="BodyText"/>
      </w:pPr>
      <w:r>
        <w:t xml:space="preserve">The proposed phase-out of single-use plastic shopping bags will occur alongside other steps to improve New Zealand’s waste and litter management systems. Associate Minister for the Environment Sage recently announced her work programme, which includes comprehensive changes to the waste disposal levy (to create greater economic incentives to reduce waste), exploration of mandatory product stewardship for specific product groups (to require businesses to take responsibility for their products at end-of-life), as well as improvements to waste data and the way in which funds are invested to achieve waste minimisation.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771C" w:rsidRPr="009C4129" w14:paraId="0A43E521" w14:textId="77777777" w:rsidTr="00A42D23">
        <w:trPr>
          <w:trHeight w:val="77"/>
        </w:trPr>
        <w:tc>
          <w:tcPr>
            <w:tcW w:w="5000" w:type="pct"/>
            <w:shd w:val="clear" w:color="auto" w:fill="99CDDD"/>
          </w:tcPr>
          <w:p w14:paraId="225AA3A0" w14:textId="77777777" w:rsidR="007B771C" w:rsidRPr="009C4129" w:rsidRDefault="007B771C" w:rsidP="007C039F">
            <w:pPr>
              <w:pStyle w:val="Heading3"/>
            </w:pPr>
            <w:bookmarkStart w:id="31" w:name="_Toc526429619"/>
            <w:bookmarkStart w:id="32" w:name="_Toc528052383"/>
            <w:bookmarkStart w:id="33" w:name="_Toc528670871"/>
            <w:r>
              <w:t>Objectives</w:t>
            </w:r>
            <w:bookmarkEnd w:id="31"/>
            <w:bookmarkEnd w:id="32"/>
            <w:bookmarkEnd w:id="33"/>
          </w:p>
        </w:tc>
      </w:tr>
    </w:tbl>
    <w:p w14:paraId="69B9D8B6" w14:textId="77777777" w:rsidR="007B771C" w:rsidRPr="003B24AD" w:rsidRDefault="007B771C" w:rsidP="004C5780">
      <w:pPr>
        <w:spacing w:before="120"/>
        <w:rPr>
          <w:i/>
        </w:rPr>
      </w:pPr>
      <w:r>
        <w:rPr>
          <w:i/>
        </w:rPr>
        <w:t xml:space="preserve">Overall objective: </w:t>
      </w:r>
      <w:r w:rsidR="006E41A2">
        <w:rPr>
          <w:i/>
        </w:rPr>
        <w:t>Practical step</w:t>
      </w:r>
      <w:r>
        <w:rPr>
          <w:i/>
        </w:rPr>
        <w:t xml:space="preserve"> toward a circular economy</w:t>
      </w:r>
    </w:p>
    <w:p w14:paraId="19BBA106" w14:textId="52B630C7" w:rsidR="00003023" w:rsidRDefault="006E41A2" w:rsidP="00003023">
      <w:r>
        <w:t>T</w:t>
      </w:r>
      <w:r w:rsidRPr="00C53F30">
        <w:t xml:space="preserve">he primary objective </w:t>
      </w:r>
      <w:r>
        <w:t>is</w:t>
      </w:r>
      <w:r w:rsidRPr="00C53F30">
        <w:t xml:space="preserve"> to </w:t>
      </w:r>
      <w:r>
        <w:t>address</w:t>
      </w:r>
      <w:r w:rsidR="00D46B5E">
        <w:t>,</w:t>
      </w:r>
      <w:r>
        <w:t xml:space="preserve"> </w:t>
      </w:r>
      <w:r w:rsidR="009E7D10">
        <w:t>in a practical way</w:t>
      </w:r>
      <w:r w:rsidR="00D46B5E">
        <w:t>,</w:t>
      </w:r>
      <w:r>
        <w:t xml:space="preserve"> widespread reliance on </w:t>
      </w:r>
      <w:r w:rsidR="009E7D10">
        <w:t xml:space="preserve">a </w:t>
      </w:r>
      <w:r>
        <w:t xml:space="preserve">single-use </w:t>
      </w:r>
      <w:r w:rsidR="009E7D10">
        <w:t xml:space="preserve">everyday item that can be easily replaced by accessible and more sustainable alternatives. This will serve to build experience in, and public support for, practical measures to reduce our reliance on linear approaches that provide temporary benefits and lasting costs, and design waste and pollution out of the system while maintaining prosperity. </w:t>
      </w:r>
    </w:p>
    <w:p w14:paraId="2FC4BC5E" w14:textId="77777777" w:rsidR="007B771C" w:rsidRPr="00E82F34" w:rsidRDefault="007B771C" w:rsidP="000202F9">
      <w:pPr>
        <w:keepNext/>
        <w:rPr>
          <w:i/>
        </w:rPr>
      </w:pPr>
      <w:r w:rsidRPr="00E82F34">
        <w:rPr>
          <w:i/>
        </w:rPr>
        <w:t>International trade obligations</w:t>
      </w:r>
    </w:p>
    <w:p w14:paraId="297B2E81" w14:textId="77777777" w:rsidR="006F0F4F" w:rsidRPr="005601A9" w:rsidRDefault="007B771C" w:rsidP="005601A9">
      <w:r w:rsidRPr="00C53F30">
        <w:t>The policy approaches under consideration will be developed to be consistent with New Zealand’s international legal obligations.</w:t>
      </w:r>
      <w:r w:rsidRPr="00C53F30">
        <w:rPr>
          <w:vertAlign w:val="superscript"/>
        </w:rPr>
        <w:footnoteReference w:id="12"/>
      </w:r>
      <w:r w:rsidRPr="00C53F30">
        <w:t xml:space="preserve"> </w:t>
      </w:r>
    </w:p>
    <w:p w14:paraId="75B3C1DC" w14:textId="3B028251" w:rsidR="007B771C" w:rsidRPr="00537EFE" w:rsidRDefault="007B771C" w:rsidP="007C039F">
      <w:pPr>
        <w:pStyle w:val="Heading2"/>
      </w:pPr>
      <w:bookmarkStart w:id="34" w:name="_Toc528670872"/>
      <w:r w:rsidRPr="0005691A">
        <w:t>Section 3: Options identification</w:t>
      </w:r>
      <w:bookmarkEnd w:id="34"/>
    </w:p>
    <w:p w14:paraId="0C20FB34" w14:textId="77777777" w:rsidR="006F0F4F" w:rsidRPr="00502E20" w:rsidRDefault="006F0F4F" w:rsidP="006F0F4F">
      <w:pPr>
        <w:rPr>
          <w:b/>
          <w:color w:val="0082AB"/>
          <w:spacing w:val="20"/>
          <w:w w:val="90"/>
          <w:sz w:val="24"/>
          <w:szCs w:val="22"/>
        </w:rPr>
      </w:pPr>
      <w:bookmarkStart w:id="35" w:name="_Thickness_of_bag"/>
      <w:bookmarkEnd w:id="35"/>
      <w:r w:rsidRPr="00502E20">
        <w:rPr>
          <w:b/>
          <w:color w:val="0082AB"/>
          <w:spacing w:val="20"/>
          <w:w w:val="90"/>
          <w:sz w:val="24"/>
          <w:szCs w:val="22"/>
        </w:rPr>
        <w:t>Criteria</w:t>
      </w:r>
    </w:p>
    <w:p w14:paraId="3C83D2D1" w14:textId="205398E5" w:rsidR="000202F9" w:rsidRDefault="00943C01" w:rsidP="000202F9">
      <w:r>
        <w:t>T</w:t>
      </w:r>
      <w:r w:rsidR="005601A9">
        <w:t xml:space="preserve">he </w:t>
      </w:r>
      <w:r w:rsidR="006F0F4F" w:rsidRPr="00C53F30">
        <w:t xml:space="preserve">criteria </w:t>
      </w:r>
      <w:r w:rsidR="006F0F4F">
        <w:t xml:space="preserve">used </w:t>
      </w:r>
      <w:r w:rsidR="006F0F4F" w:rsidRPr="00C53F30">
        <w:t xml:space="preserve">to compare </w:t>
      </w:r>
      <w:r w:rsidR="00EE3E38">
        <w:t xml:space="preserve">regulatory and non-regulatory </w:t>
      </w:r>
      <w:r w:rsidR="006F0F4F" w:rsidRPr="00C53F30">
        <w:t>phase-out</w:t>
      </w:r>
      <w:r w:rsidR="006F0F4F">
        <w:t xml:space="preserve"> mechanisms prior to </w:t>
      </w:r>
      <w:r w:rsidR="005601A9">
        <w:t xml:space="preserve">Cabinet decision in principle and public consultation are set out in </w:t>
      </w:r>
      <w:r w:rsidR="000C04F4">
        <w:t>the a</w:t>
      </w:r>
      <w:r w:rsidR="005601A9">
        <w:t>ppendix</w:t>
      </w:r>
      <w:r w:rsidR="006F0F4F">
        <w:t xml:space="preserve">. </w:t>
      </w:r>
      <w:r w:rsidR="000202F9">
        <w:t>The options considered included:</w:t>
      </w:r>
    </w:p>
    <w:p w14:paraId="283B6AC1" w14:textId="59D912F5" w:rsidR="000202F9" w:rsidRDefault="002718C0" w:rsidP="000202F9">
      <w:pPr>
        <w:pStyle w:val="ListParagraph"/>
        <w:numPr>
          <w:ilvl w:val="0"/>
          <w:numId w:val="41"/>
        </w:numPr>
      </w:pPr>
      <w:r>
        <w:t>m</w:t>
      </w:r>
      <w:r w:rsidR="000202F9">
        <w:t xml:space="preserve">andatory phase out of sale or distribution </w:t>
      </w:r>
    </w:p>
    <w:p w14:paraId="045E92FC" w14:textId="453CF13A" w:rsidR="000202F9" w:rsidRDefault="002718C0" w:rsidP="000202F9">
      <w:pPr>
        <w:pStyle w:val="ListParagraph"/>
        <w:numPr>
          <w:ilvl w:val="0"/>
          <w:numId w:val="41"/>
        </w:numPr>
      </w:pPr>
      <w:r>
        <w:t>l</w:t>
      </w:r>
      <w:r w:rsidR="000202F9">
        <w:t xml:space="preserve">evy, tax or minimum charge, </w:t>
      </w:r>
      <w:r w:rsidR="003852D3">
        <w:t>such as</w:t>
      </w:r>
      <w:r w:rsidR="000202F9">
        <w:t>:</w:t>
      </w:r>
    </w:p>
    <w:p w14:paraId="3142E9D7" w14:textId="0641AE44" w:rsidR="000202F9" w:rsidRDefault="002718C0" w:rsidP="000202F9">
      <w:pPr>
        <w:pStyle w:val="ListParagraph"/>
        <w:numPr>
          <w:ilvl w:val="1"/>
          <w:numId w:val="41"/>
        </w:numPr>
      </w:pPr>
      <w:r>
        <w:t>l</w:t>
      </w:r>
      <w:r w:rsidR="000202F9">
        <w:t xml:space="preserve">evy at point of sale, collected by central government </w:t>
      </w:r>
    </w:p>
    <w:p w14:paraId="6F119A9E" w14:textId="5CE47184" w:rsidR="000202F9" w:rsidRDefault="002718C0" w:rsidP="000202F9">
      <w:pPr>
        <w:pStyle w:val="ListParagraph"/>
        <w:numPr>
          <w:ilvl w:val="1"/>
          <w:numId w:val="41"/>
        </w:numPr>
      </w:pPr>
      <w:r>
        <w:t>m</w:t>
      </w:r>
      <w:r w:rsidR="000202F9">
        <w:t>andated minimum charge at point of sale, retained by retailer</w:t>
      </w:r>
    </w:p>
    <w:p w14:paraId="1165A479" w14:textId="338D353B" w:rsidR="000202F9" w:rsidRDefault="002718C0" w:rsidP="000202F9">
      <w:pPr>
        <w:pStyle w:val="ListParagraph"/>
        <w:numPr>
          <w:ilvl w:val="1"/>
          <w:numId w:val="41"/>
        </w:numPr>
      </w:pPr>
      <w:r>
        <w:t>l</w:t>
      </w:r>
      <w:r w:rsidR="000202F9">
        <w:t xml:space="preserve">evy or minimum charge at point of sale, set by local authorities </w:t>
      </w:r>
    </w:p>
    <w:p w14:paraId="03638037" w14:textId="4B3FDECA" w:rsidR="000202F9" w:rsidRDefault="002718C0" w:rsidP="000202F9">
      <w:pPr>
        <w:pStyle w:val="ListParagraph"/>
        <w:numPr>
          <w:ilvl w:val="1"/>
          <w:numId w:val="41"/>
        </w:numPr>
      </w:pPr>
      <w:r>
        <w:t>t</w:t>
      </w:r>
      <w:r w:rsidR="000202F9">
        <w:t>ax at point of entry into market (pre-consumer)</w:t>
      </w:r>
    </w:p>
    <w:p w14:paraId="1B3A71AF" w14:textId="1B11C124" w:rsidR="000202F9" w:rsidRDefault="002718C0" w:rsidP="000202F9">
      <w:pPr>
        <w:pStyle w:val="ListParagraph"/>
        <w:numPr>
          <w:ilvl w:val="0"/>
          <w:numId w:val="41"/>
        </w:numPr>
      </w:pPr>
      <w:r>
        <w:t>d</w:t>
      </w:r>
      <w:r w:rsidR="000202F9">
        <w:t>eposit-refund system</w:t>
      </w:r>
    </w:p>
    <w:p w14:paraId="2C2806CA" w14:textId="774DCE3D" w:rsidR="000202F9" w:rsidRDefault="002718C0" w:rsidP="000202F9">
      <w:pPr>
        <w:pStyle w:val="ListParagraph"/>
        <w:numPr>
          <w:ilvl w:val="0"/>
          <w:numId w:val="41"/>
        </w:numPr>
      </w:pPr>
      <w:r>
        <w:t>f</w:t>
      </w:r>
      <w:r w:rsidR="000202F9">
        <w:t>ormal agreement between industry and Government</w:t>
      </w:r>
    </w:p>
    <w:p w14:paraId="16994069" w14:textId="75E3A160" w:rsidR="000202F9" w:rsidRDefault="002718C0" w:rsidP="000202F9">
      <w:pPr>
        <w:pStyle w:val="ListParagraph"/>
        <w:numPr>
          <w:ilvl w:val="0"/>
          <w:numId w:val="41"/>
        </w:numPr>
      </w:pPr>
      <w:r>
        <w:t>m</w:t>
      </w:r>
      <w:r w:rsidR="000202F9">
        <w:t>andatory product stewardship</w:t>
      </w:r>
    </w:p>
    <w:p w14:paraId="0EEC7A90" w14:textId="1D349855" w:rsidR="000202F9" w:rsidRPr="00C53F30" w:rsidRDefault="002718C0" w:rsidP="000202F9">
      <w:pPr>
        <w:pStyle w:val="ListParagraph"/>
        <w:numPr>
          <w:ilvl w:val="0"/>
          <w:numId w:val="41"/>
        </w:numPr>
      </w:pPr>
      <w:proofErr w:type="gramStart"/>
      <w:r>
        <w:t>a</w:t>
      </w:r>
      <w:r w:rsidR="000202F9">
        <w:t>d</w:t>
      </w:r>
      <w:proofErr w:type="gramEnd"/>
      <w:r w:rsidR="000202F9">
        <w:t xml:space="preserve"> hoc voluntary action (status quo)</w:t>
      </w:r>
      <w:r w:rsidR="00436F83">
        <w:t>.</w:t>
      </w:r>
    </w:p>
    <w:p w14:paraId="201E84B4" w14:textId="6BD7D811" w:rsidR="005601A9" w:rsidRDefault="00D07AC3" w:rsidP="005601A9">
      <w:r>
        <w:t xml:space="preserve">The </w:t>
      </w:r>
      <w:r w:rsidR="002409F2">
        <w:t xml:space="preserve">first two </w:t>
      </w:r>
      <w:r>
        <w:t xml:space="preserve">criteria </w:t>
      </w:r>
      <w:r w:rsidR="002409F2">
        <w:t xml:space="preserve">have been </w:t>
      </w:r>
      <w:r>
        <w:t xml:space="preserve">used to assess implementation details </w:t>
      </w:r>
      <w:r w:rsidR="005601A9">
        <w:t xml:space="preserve">of the </w:t>
      </w:r>
      <w:r w:rsidR="002409F2">
        <w:t>proposed phase out</w:t>
      </w:r>
      <w:r w:rsidR="005601A9">
        <w:t xml:space="preserve"> </w:t>
      </w:r>
      <w:r w:rsidR="00656CD9">
        <w:t>(</w:t>
      </w:r>
      <w:r>
        <w:t>with</w:t>
      </w:r>
      <w:r w:rsidR="003839FC">
        <w:t>out</w:t>
      </w:r>
      <w:r>
        <w:t xml:space="preserve"> weighting</w:t>
      </w:r>
      <w:r w:rsidR="0075319A">
        <w:t>)</w:t>
      </w:r>
      <w:r w:rsidR="005601A9">
        <w:t>:</w:t>
      </w:r>
    </w:p>
    <w:p w14:paraId="4DD5A8F5" w14:textId="77777777" w:rsidR="005601A9" w:rsidRPr="005601A9" w:rsidRDefault="005601A9" w:rsidP="005601A9">
      <w:pPr>
        <w:pStyle w:val="Bullet"/>
        <w:rPr>
          <w:rFonts w:ascii="Arial" w:hAnsi="Arial" w:cs="Arial"/>
          <w:b/>
          <w:bCs/>
        </w:rPr>
      </w:pPr>
      <w:r w:rsidRPr="005601A9">
        <w:rPr>
          <w:rFonts w:ascii="Arial" w:hAnsi="Arial" w:cs="Arial"/>
        </w:rPr>
        <w:t xml:space="preserve">substantially advance the phase out of a single-use plastic product that contributes to litter, and the risks associated with marine plastics, while over the longer term take a circular economy approach to design waste out of the system </w:t>
      </w:r>
      <w:r w:rsidRPr="005601A9">
        <w:rPr>
          <w:rFonts w:ascii="Arial" w:hAnsi="Arial" w:cs="Arial"/>
          <w:i/>
        </w:rPr>
        <w:t xml:space="preserve">(primary purpose of intervention) </w:t>
      </w:r>
    </w:p>
    <w:p w14:paraId="18BFA85B" w14:textId="3C11FFAC" w:rsidR="005601A9" w:rsidRPr="000202F9" w:rsidRDefault="005601A9" w:rsidP="005601A9">
      <w:pPr>
        <w:pStyle w:val="Bullet"/>
        <w:rPr>
          <w:rFonts w:ascii="Arial" w:hAnsi="Arial" w:cs="Arial"/>
          <w:b/>
          <w:bCs/>
        </w:rPr>
      </w:pPr>
      <w:proofErr w:type="gramStart"/>
      <w:r w:rsidRPr="005601A9">
        <w:rPr>
          <w:rFonts w:ascii="Arial" w:hAnsi="Arial" w:cs="Arial"/>
        </w:rPr>
        <w:t>be</w:t>
      </w:r>
      <w:proofErr w:type="gramEnd"/>
      <w:r w:rsidRPr="005601A9">
        <w:rPr>
          <w:rFonts w:ascii="Arial" w:hAnsi="Arial" w:cs="Arial"/>
        </w:rPr>
        <w:t xml:space="preserve"> implemented without placing undue costs on the community, business, or public funds </w:t>
      </w:r>
      <w:r w:rsidRPr="005601A9">
        <w:rPr>
          <w:rFonts w:ascii="Arial" w:hAnsi="Arial" w:cs="Arial"/>
          <w:i/>
        </w:rPr>
        <w:t>(key regulatory principle)</w:t>
      </w:r>
      <w:r w:rsidR="00293D67">
        <w:rPr>
          <w:rFonts w:ascii="Arial" w:hAnsi="Arial" w:cs="Arial"/>
          <w:i/>
        </w:rPr>
        <w:t>.</w:t>
      </w:r>
    </w:p>
    <w:p w14:paraId="198A3BFC" w14:textId="523C18F2" w:rsidR="000202F9" w:rsidRPr="003E2357" w:rsidRDefault="003E2357" w:rsidP="003E2357">
      <w:r w:rsidRPr="003E2357">
        <w:t xml:space="preserve">The options considered </w:t>
      </w:r>
      <w:r>
        <w:t xml:space="preserve">for coverage of a mandatory phase out of single-use plastic shopping bags </w:t>
      </w:r>
      <w:r w:rsidRPr="003E2357">
        <w:t>are summarised in table 1.</w:t>
      </w:r>
    </w:p>
    <w:p w14:paraId="52E04930" w14:textId="46EB24ED" w:rsidR="00A92B0C" w:rsidRPr="00120295" w:rsidRDefault="00A92B0C" w:rsidP="00A92B0C">
      <w:pPr>
        <w:pStyle w:val="Tableheading"/>
      </w:pPr>
      <w:r w:rsidRPr="00120295">
        <w:t xml:space="preserve">Table </w:t>
      </w:r>
      <w:r>
        <w:t>1</w:t>
      </w:r>
      <w:r w:rsidRPr="00120295">
        <w:t>:</w:t>
      </w:r>
      <w:r w:rsidRPr="00120295">
        <w:tab/>
      </w:r>
      <w:r>
        <w:t>Options considered for phase out of single-use plastic shopping bags</w:t>
      </w:r>
    </w:p>
    <w:tbl>
      <w:tblPr>
        <w:tblW w:w="9214" w:type="dxa"/>
        <w:tblBorders>
          <w:top w:val="single" w:sz="4" w:space="0" w:color="5B9BD5"/>
          <w:bottom w:val="single" w:sz="4" w:space="0" w:color="5B9BD5"/>
          <w:insideH w:val="single" w:sz="4" w:space="0" w:color="5B9BD5"/>
          <w:insideV w:val="single" w:sz="4" w:space="0" w:color="5B9BD5"/>
        </w:tblBorders>
        <w:tblCellMar>
          <w:left w:w="85" w:type="dxa"/>
          <w:right w:w="85" w:type="dxa"/>
        </w:tblCellMar>
        <w:tblLook w:val="04A0" w:firstRow="1" w:lastRow="0" w:firstColumn="1" w:lastColumn="0" w:noHBand="0" w:noVBand="1"/>
      </w:tblPr>
      <w:tblGrid>
        <w:gridCol w:w="2503"/>
        <w:gridCol w:w="6711"/>
      </w:tblGrid>
      <w:tr w:rsidR="00A92B0C" w:rsidRPr="00120295" w14:paraId="177C9043" w14:textId="77777777" w:rsidTr="006F7648">
        <w:trPr>
          <w:tblHeader/>
        </w:trPr>
        <w:tc>
          <w:tcPr>
            <w:tcW w:w="2503" w:type="dxa"/>
            <w:shd w:val="clear" w:color="auto" w:fill="1C556C"/>
            <w:tcMar>
              <w:left w:w="85" w:type="dxa"/>
            </w:tcMar>
            <w:vAlign w:val="bottom"/>
          </w:tcPr>
          <w:p w14:paraId="016491B4" w14:textId="00735567" w:rsidR="00A92B0C" w:rsidRPr="00554312" w:rsidRDefault="00A92B0C" w:rsidP="006F7648">
            <w:pPr>
              <w:pStyle w:val="TableTextbold"/>
              <w:spacing w:before="50" w:after="50"/>
              <w:jc w:val="both"/>
              <w:rPr>
                <w:color w:val="FFFFFF"/>
              </w:rPr>
            </w:pPr>
            <w:r>
              <w:rPr>
                <w:color w:val="FFFFFF"/>
              </w:rPr>
              <w:t xml:space="preserve">Coverage </w:t>
            </w:r>
          </w:p>
        </w:tc>
        <w:tc>
          <w:tcPr>
            <w:tcW w:w="6711" w:type="dxa"/>
            <w:shd w:val="clear" w:color="auto" w:fill="1C556C"/>
            <w:vAlign w:val="bottom"/>
          </w:tcPr>
          <w:p w14:paraId="0D83E1DD" w14:textId="57F40838" w:rsidR="00A92B0C" w:rsidRPr="00554312" w:rsidRDefault="00A92B0C" w:rsidP="007F1C25">
            <w:pPr>
              <w:pStyle w:val="TableTextbold"/>
              <w:spacing w:before="50" w:after="50"/>
              <w:rPr>
                <w:color w:val="FFFFFF"/>
                <w:szCs w:val="18"/>
              </w:rPr>
            </w:pPr>
            <w:r>
              <w:t>Options considered</w:t>
            </w:r>
          </w:p>
        </w:tc>
      </w:tr>
      <w:tr w:rsidR="00A92B0C" w:rsidRPr="00120295" w14:paraId="30F5529B" w14:textId="77777777" w:rsidTr="006F7648">
        <w:tc>
          <w:tcPr>
            <w:tcW w:w="2503" w:type="dxa"/>
            <w:vMerge w:val="restart"/>
            <w:shd w:val="clear" w:color="auto" w:fill="auto"/>
            <w:tcMar>
              <w:left w:w="85" w:type="dxa"/>
            </w:tcMar>
          </w:tcPr>
          <w:p w14:paraId="20B71DED" w14:textId="75B39B87" w:rsidR="00A92B0C" w:rsidRPr="00120295" w:rsidRDefault="00A92B0C" w:rsidP="006F7648">
            <w:pPr>
              <w:pStyle w:val="TableText0"/>
              <w:spacing w:after="50"/>
              <w:jc w:val="both"/>
            </w:pPr>
            <w:r w:rsidRPr="00A92B0C">
              <w:rPr>
                <w:lang w:val="en-GB"/>
              </w:rPr>
              <w:t>Thickness of bags to be phased out</w:t>
            </w:r>
          </w:p>
        </w:tc>
        <w:tc>
          <w:tcPr>
            <w:tcW w:w="6711" w:type="dxa"/>
            <w:shd w:val="clear" w:color="auto" w:fill="auto"/>
          </w:tcPr>
          <w:p w14:paraId="57E96C87" w14:textId="5D943C83" w:rsidR="00A92B0C" w:rsidRPr="00A92B0C" w:rsidRDefault="00A92B0C" w:rsidP="00A92B0C">
            <w:pPr>
              <w:pStyle w:val="TableTextbold"/>
              <w:spacing w:before="50" w:after="50"/>
              <w:jc w:val="both"/>
              <w:rPr>
                <w:b w:val="0"/>
              </w:rPr>
            </w:pPr>
            <w:r w:rsidRPr="00A92B0C">
              <w:t xml:space="preserve">Option 1 </w:t>
            </w:r>
            <w:r w:rsidRPr="00A92B0C">
              <w:rPr>
                <w:b w:val="0"/>
              </w:rPr>
              <w:t>– Less than 50 microns</w:t>
            </w:r>
          </w:p>
        </w:tc>
      </w:tr>
      <w:tr w:rsidR="00A92B0C" w:rsidRPr="00120295" w14:paraId="43FB34F8" w14:textId="77777777" w:rsidTr="006F7648">
        <w:tc>
          <w:tcPr>
            <w:tcW w:w="2503" w:type="dxa"/>
            <w:vMerge/>
            <w:shd w:val="clear" w:color="auto" w:fill="auto"/>
            <w:tcMar>
              <w:left w:w="85" w:type="dxa"/>
            </w:tcMar>
          </w:tcPr>
          <w:p w14:paraId="521E4D9D" w14:textId="77777777" w:rsidR="00A92B0C" w:rsidRDefault="00A92B0C" w:rsidP="006F7648">
            <w:pPr>
              <w:pStyle w:val="TableText0"/>
              <w:spacing w:after="50"/>
              <w:jc w:val="both"/>
            </w:pPr>
          </w:p>
        </w:tc>
        <w:tc>
          <w:tcPr>
            <w:tcW w:w="6711" w:type="dxa"/>
            <w:shd w:val="clear" w:color="auto" w:fill="auto"/>
          </w:tcPr>
          <w:p w14:paraId="5C264A3F" w14:textId="6978B34F" w:rsidR="00A92B0C" w:rsidRPr="00120295" w:rsidRDefault="00A92B0C" w:rsidP="00A92B0C">
            <w:pPr>
              <w:pStyle w:val="TableText0"/>
              <w:spacing w:before="50" w:after="50"/>
              <w:jc w:val="both"/>
            </w:pPr>
            <w:r w:rsidRPr="00A92B0C">
              <w:rPr>
                <w:b/>
              </w:rPr>
              <w:t>Option 2</w:t>
            </w:r>
            <w:r>
              <w:t xml:space="preserve"> – Less than 70 microns</w:t>
            </w:r>
          </w:p>
        </w:tc>
      </w:tr>
      <w:tr w:rsidR="00A92B0C" w:rsidRPr="00120295" w14:paraId="1C285D76" w14:textId="77777777" w:rsidTr="006F7648">
        <w:tc>
          <w:tcPr>
            <w:tcW w:w="2503" w:type="dxa"/>
            <w:vMerge w:val="restart"/>
            <w:shd w:val="clear" w:color="auto" w:fill="auto"/>
            <w:tcMar>
              <w:left w:w="85" w:type="dxa"/>
            </w:tcMar>
          </w:tcPr>
          <w:p w14:paraId="295DFEC4" w14:textId="7729F1D4" w:rsidR="00A92B0C" w:rsidRDefault="00A92B0C" w:rsidP="006F7648">
            <w:pPr>
              <w:pStyle w:val="TableText0"/>
              <w:spacing w:after="50"/>
              <w:jc w:val="both"/>
            </w:pPr>
            <w:r>
              <w:t>Retailers to be covered</w:t>
            </w:r>
          </w:p>
        </w:tc>
        <w:tc>
          <w:tcPr>
            <w:tcW w:w="6711" w:type="dxa"/>
            <w:shd w:val="clear" w:color="auto" w:fill="auto"/>
          </w:tcPr>
          <w:p w14:paraId="16036AE4" w14:textId="5FCF1388" w:rsidR="00A92B0C" w:rsidRDefault="00A92B0C" w:rsidP="006F7648">
            <w:pPr>
              <w:pStyle w:val="TableText0"/>
              <w:spacing w:before="50" w:after="50"/>
              <w:jc w:val="both"/>
            </w:pPr>
            <w:r w:rsidRPr="00A92B0C">
              <w:rPr>
                <w:b/>
              </w:rPr>
              <w:t>Option 1</w:t>
            </w:r>
            <w:r>
              <w:t xml:space="preserve"> – All retailers</w:t>
            </w:r>
          </w:p>
        </w:tc>
      </w:tr>
      <w:tr w:rsidR="00A92B0C" w:rsidRPr="00120295" w14:paraId="4C3C5DCC" w14:textId="77777777" w:rsidTr="006F7648">
        <w:tc>
          <w:tcPr>
            <w:tcW w:w="2503" w:type="dxa"/>
            <w:vMerge/>
            <w:shd w:val="clear" w:color="auto" w:fill="auto"/>
            <w:tcMar>
              <w:left w:w="85" w:type="dxa"/>
            </w:tcMar>
          </w:tcPr>
          <w:p w14:paraId="05B043C4" w14:textId="77777777" w:rsidR="00A92B0C" w:rsidRDefault="00A92B0C" w:rsidP="006F7648">
            <w:pPr>
              <w:pStyle w:val="TableText0"/>
              <w:spacing w:after="50"/>
              <w:jc w:val="both"/>
            </w:pPr>
          </w:p>
        </w:tc>
        <w:tc>
          <w:tcPr>
            <w:tcW w:w="6711" w:type="dxa"/>
            <w:shd w:val="clear" w:color="auto" w:fill="auto"/>
          </w:tcPr>
          <w:p w14:paraId="56245E24" w14:textId="1443145E" w:rsidR="00A92B0C" w:rsidRDefault="00A92B0C" w:rsidP="00A92B0C">
            <w:pPr>
              <w:pStyle w:val="TableText0"/>
              <w:spacing w:before="50" w:after="50"/>
              <w:jc w:val="both"/>
            </w:pPr>
            <w:r>
              <w:rPr>
                <w:rFonts w:cs="Arial"/>
                <w:b/>
                <w:color w:val="000000"/>
                <w:sz w:val="20"/>
                <w:szCs w:val="24"/>
              </w:rPr>
              <w:t xml:space="preserve">Option 2 </w:t>
            </w:r>
            <w:r>
              <w:t xml:space="preserve">– </w:t>
            </w:r>
            <w:r w:rsidRPr="007F1C25">
              <w:t>Retailers employing 6 or more people only</w:t>
            </w:r>
          </w:p>
        </w:tc>
      </w:tr>
      <w:tr w:rsidR="00A92B0C" w:rsidRPr="00120295" w14:paraId="49028467" w14:textId="77777777" w:rsidTr="006F7648">
        <w:tc>
          <w:tcPr>
            <w:tcW w:w="2503" w:type="dxa"/>
            <w:vMerge w:val="restart"/>
            <w:shd w:val="clear" w:color="auto" w:fill="auto"/>
            <w:tcMar>
              <w:left w:w="85" w:type="dxa"/>
            </w:tcMar>
          </w:tcPr>
          <w:p w14:paraId="43F4B1D9" w14:textId="3E32A60E" w:rsidR="00A92B0C" w:rsidRDefault="00A92B0C" w:rsidP="006F7648">
            <w:pPr>
              <w:pStyle w:val="TableText0"/>
              <w:spacing w:after="50"/>
              <w:jc w:val="both"/>
            </w:pPr>
            <w:r>
              <w:t>Commencement date</w:t>
            </w:r>
          </w:p>
        </w:tc>
        <w:tc>
          <w:tcPr>
            <w:tcW w:w="6711" w:type="dxa"/>
            <w:shd w:val="clear" w:color="auto" w:fill="auto"/>
          </w:tcPr>
          <w:p w14:paraId="1D57B68A" w14:textId="2A35230D" w:rsidR="00A92B0C" w:rsidRDefault="00A92B0C" w:rsidP="003E2357">
            <w:pPr>
              <w:pStyle w:val="TableText0"/>
              <w:spacing w:before="50" w:after="50"/>
              <w:jc w:val="both"/>
            </w:pPr>
            <w:r w:rsidRPr="00A92B0C">
              <w:rPr>
                <w:b/>
              </w:rPr>
              <w:t>Option 1</w:t>
            </w:r>
            <w:r w:rsidRPr="00A92B0C">
              <w:t xml:space="preserve"> </w:t>
            </w:r>
            <w:r w:rsidR="003E2357">
              <w:t>–</w:t>
            </w:r>
            <w:r w:rsidRPr="00A92B0C">
              <w:t xml:space="preserve"> </w:t>
            </w:r>
            <w:r w:rsidR="003E2357">
              <w:t>S</w:t>
            </w:r>
            <w:r w:rsidRPr="00A92B0C">
              <w:t>ix months</w:t>
            </w:r>
            <w:r w:rsidR="003E2357">
              <w:t xml:space="preserve"> from Gazettal</w:t>
            </w:r>
          </w:p>
        </w:tc>
      </w:tr>
      <w:tr w:rsidR="00A92B0C" w:rsidRPr="00120295" w14:paraId="2EFE5353" w14:textId="77777777" w:rsidTr="006F7648">
        <w:tc>
          <w:tcPr>
            <w:tcW w:w="2503" w:type="dxa"/>
            <w:vMerge/>
            <w:shd w:val="clear" w:color="auto" w:fill="auto"/>
            <w:tcMar>
              <w:left w:w="85" w:type="dxa"/>
            </w:tcMar>
          </w:tcPr>
          <w:p w14:paraId="58346C67" w14:textId="77777777" w:rsidR="00A92B0C" w:rsidRDefault="00A92B0C" w:rsidP="006F7648">
            <w:pPr>
              <w:pStyle w:val="TableText0"/>
              <w:spacing w:after="50"/>
              <w:jc w:val="both"/>
            </w:pPr>
          </w:p>
        </w:tc>
        <w:tc>
          <w:tcPr>
            <w:tcW w:w="6711" w:type="dxa"/>
            <w:shd w:val="clear" w:color="auto" w:fill="auto"/>
          </w:tcPr>
          <w:p w14:paraId="6E2F7DE9" w14:textId="35CF2F75" w:rsidR="00A92B0C" w:rsidRDefault="00A92B0C" w:rsidP="003E2357">
            <w:pPr>
              <w:pStyle w:val="TableText0"/>
              <w:spacing w:before="50" w:after="50"/>
              <w:jc w:val="both"/>
            </w:pPr>
            <w:r w:rsidRPr="00A92B0C">
              <w:rPr>
                <w:b/>
              </w:rPr>
              <w:t>Option 2</w:t>
            </w:r>
            <w:r w:rsidRPr="00A92B0C">
              <w:t xml:space="preserve"> </w:t>
            </w:r>
            <w:r w:rsidR="003E2357">
              <w:t>–</w:t>
            </w:r>
            <w:r w:rsidRPr="00A92B0C">
              <w:t xml:space="preserve"> </w:t>
            </w:r>
            <w:r w:rsidR="003E2357">
              <w:t>N</w:t>
            </w:r>
            <w:r w:rsidRPr="00A92B0C">
              <w:t>ine months</w:t>
            </w:r>
            <w:r w:rsidR="003E2357">
              <w:t xml:space="preserve"> from Gazettal</w:t>
            </w:r>
          </w:p>
        </w:tc>
      </w:tr>
      <w:tr w:rsidR="00A92B0C" w:rsidRPr="00120295" w14:paraId="68CA408E" w14:textId="77777777" w:rsidTr="006F7648">
        <w:tc>
          <w:tcPr>
            <w:tcW w:w="2503" w:type="dxa"/>
            <w:vMerge/>
            <w:shd w:val="clear" w:color="auto" w:fill="auto"/>
            <w:tcMar>
              <w:left w:w="85" w:type="dxa"/>
            </w:tcMar>
          </w:tcPr>
          <w:p w14:paraId="484386DF" w14:textId="77777777" w:rsidR="00A92B0C" w:rsidRDefault="00A92B0C" w:rsidP="006F7648">
            <w:pPr>
              <w:pStyle w:val="TableText0"/>
              <w:spacing w:after="50"/>
              <w:jc w:val="both"/>
            </w:pPr>
          </w:p>
        </w:tc>
        <w:tc>
          <w:tcPr>
            <w:tcW w:w="6711" w:type="dxa"/>
            <w:shd w:val="clear" w:color="auto" w:fill="auto"/>
          </w:tcPr>
          <w:p w14:paraId="6199EA9C" w14:textId="4A592CD2" w:rsidR="00A92B0C" w:rsidRPr="003E2357" w:rsidRDefault="00A92B0C" w:rsidP="003E2357">
            <w:pPr>
              <w:pStyle w:val="TableText0"/>
              <w:spacing w:before="50" w:after="50"/>
              <w:jc w:val="both"/>
              <w:rPr>
                <w:b/>
              </w:rPr>
            </w:pPr>
            <w:r w:rsidRPr="00A92B0C">
              <w:rPr>
                <w:b/>
              </w:rPr>
              <w:t>Option 3</w:t>
            </w:r>
            <w:r w:rsidRPr="00A92B0C">
              <w:t xml:space="preserve"> </w:t>
            </w:r>
            <w:r w:rsidR="003E2357">
              <w:t>– Twelve months from Gazettal</w:t>
            </w:r>
          </w:p>
        </w:tc>
      </w:tr>
    </w:tbl>
    <w:p w14:paraId="36C5A861" w14:textId="77777777" w:rsidR="00A92B0C" w:rsidRDefault="00A92B0C" w:rsidP="000202F9">
      <w:pPr>
        <w:pStyle w:val="Bullet"/>
        <w:numPr>
          <w:ilvl w:val="0"/>
          <w:numId w:val="0"/>
        </w:numPr>
        <w:ind w:left="397" w:hanging="397"/>
        <w:rPr>
          <w:rFonts w:ascii="Arial" w:hAnsi="Arial" w:cs="Arial"/>
          <w:i/>
        </w:rPr>
      </w:pPr>
    </w:p>
    <w:p w14:paraId="2432A5D6" w14:textId="77777777" w:rsidR="006F0F4F" w:rsidRPr="00220824" w:rsidRDefault="006F0F4F" w:rsidP="007C039F">
      <w:pPr>
        <w:pStyle w:val="Heading2"/>
      </w:pPr>
      <w:bookmarkStart w:id="36" w:name="_Toc528670873"/>
      <w:r w:rsidRPr="00220824">
        <w:t>Section</w:t>
      </w:r>
      <w:r w:rsidR="00293D67">
        <w:t xml:space="preserve"> </w:t>
      </w:r>
      <w:r w:rsidRPr="00220824">
        <w:t xml:space="preserve">4: </w:t>
      </w:r>
      <w:r w:rsidR="008B58B7">
        <w:t xml:space="preserve">Coverage </w:t>
      </w:r>
      <w:r w:rsidRPr="00220824">
        <w:t>and timeframe identification</w:t>
      </w:r>
      <w:bookmarkEnd w:id="36"/>
    </w:p>
    <w:p w14:paraId="4610D1CB" w14:textId="77777777" w:rsidR="007B771C" w:rsidRDefault="007B771C" w:rsidP="007C039F">
      <w:pPr>
        <w:pStyle w:val="Heading3"/>
      </w:pPr>
      <w:bookmarkStart w:id="37" w:name="_Toc526429623"/>
      <w:bookmarkStart w:id="38" w:name="_Toc528052386"/>
      <w:bookmarkStart w:id="39" w:name="_Toc528670874"/>
      <w:r>
        <w:t>Thickness of bags to be phased out</w:t>
      </w:r>
      <w:bookmarkEnd w:id="37"/>
      <w:bookmarkEnd w:id="38"/>
      <w:bookmarkEnd w:id="39"/>
    </w:p>
    <w:p w14:paraId="0E4D246D" w14:textId="77777777" w:rsidR="007B771C" w:rsidRPr="00120295" w:rsidRDefault="007B771C" w:rsidP="007B771C">
      <w:pPr>
        <w:pStyle w:val="BodyText"/>
      </w:pPr>
      <w:r w:rsidRPr="00120295">
        <w:t xml:space="preserve">The term </w:t>
      </w:r>
      <w:r w:rsidRPr="00120295">
        <w:rPr>
          <w:b/>
        </w:rPr>
        <w:t>‘single-use plastic shopping bags’</w:t>
      </w:r>
      <w:r w:rsidRPr="00120295">
        <w:t xml:space="preserve">, </w:t>
      </w:r>
      <w:r>
        <w:t xml:space="preserve">used in the consultation document was defined as: </w:t>
      </w:r>
    </w:p>
    <w:p w14:paraId="407B2E9B" w14:textId="77777777" w:rsidR="007B771C" w:rsidRPr="00120295" w:rsidRDefault="007B771C" w:rsidP="007B771C">
      <w:pPr>
        <w:pStyle w:val="Quote"/>
        <w:spacing w:before="0"/>
      </w:pPr>
      <w:r w:rsidRPr="00120295">
        <w:t>A new plastic bag (including one made of degradable plastic) which has handles and is below a maximum level of thickness. The terms ‘plastic’ and ‘degradable’ (including ‘biodegradable’, ‘compostable’ and ‘</w:t>
      </w:r>
      <w:proofErr w:type="spellStart"/>
      <w:r w:rsidRPr="00120295">
        <w:t>oxo</w:t>
      </w:r>
      <w:proofErr w:type="spellEnd"/>
      <w:r w:rsidRPr="00120295">
        <w:t>-degradable’) would be defined in regulations with reference to international standards.</w:t>
      </w:r>
    </w:p>
    <w:p w14:paraId="50B7D550" w14:textId="77777777" w:rsidR="00347304" w:rsidRDefault="007B771C" w:rsidP="007B771C">
      <w:pPr>
        <w:pStyle w:val="BodyText"/>
      </w:pPr>
      <w:r w:rsidRPr="00120295">
        <w:t>Th</w:t>
      </w:r>
      <w:r>
        <w:t>is definition le</w:t>
      </w:r>
      <w:r w:rsidR="00AF5237">
        <w:t>ft open for feedback</w:t>
      </w:r>
      <w:r>
        <w:t xml:space="preserve"> the maximum level of thickness to be covered by the mandatory phase out.  </w:t>
      </w:r>
    </w:p>
    <w:p w14:paraId="377F3235" w14:textId="4ED3649C" w:rsidR="007B771C" w:rsidRDefault="00347304" w:rsidP="007B771C">
      <w:pPr>
        <w:pStyle w:val="BodyText"/>
      </w:pPr>
      <w:r>
        <w:t xml:space="preserve">The consultation document asked </w:t>
      </w:r>
      <w:r w:rsidR="004527D8">
        <w:t xml:space="preserve">whether respondents preferred a phase out for bags under </w:t>
      </w:r>
      <w:r>
        <w:t xml:space="preserve">50 or </w:t>
      </w:r>
      <w:r w:rsidR="004527D8">
        <w:t xml:space="preserve">under </w:t>
      </w:r>
      <w:r>
        <w:t>70 microns</w:t>
      </w:r>
      <w:r w:rsidR="004527D8">
        <w:t xml:space="preserve"> in thickness</w:t>
      </w:r>
      <w:r>
        <w:t>. Included in t</w:t>
      </w:r>
      <w:r w:rsidR="008B58B7">
        <w:t xml:space="preserve">he consultation document </w:t>
      </w:r>
      <w:r>
        <w:t xml:space="preserve">was </w:t>
      </w:r>
      <w:r w:rsidR="007B771C">
        <w:t xml:space="preserve">a description of different types </w:t>
      </w:r>
      <w:r w:rsidR="0086038E">
        <w:t xml:space="preserve">of </w:t>
      </w:r>
      <w:r w:rsidR="007B771C">
        <w:t xml:space="preserve">plastic </w:t>
      </w:r>
      <w:r w:rsidR="00247185">
        <w:t xml:space="preserve">shopping </w:t>
      </w:r>
      <w:r w:rsidR="007B771C">
        <w:t>bag</w:t>
      </w:r>
      <w:r w:rsidR="006216F3">
        <w:t>s</w:t>
      </w:r>
      <w:r w:rsidR="00B01A8E">
        <w:t>’</w:t>
      </w:r>
      <w:r w:rsidR="006216F3">
        <w:t xml:space="preserve"> </w:t>
      </w:r>
      <w:r w:rsidR="008B58B7">
        <w:t>thickness</w:t>
      </w:r>
      <w:r w:rsidR="00B01A8E">
        <w:t>es</w:t>
      </w:r>
      <w:r w:rsidR="008B58B7">
        <w:t xml:space="preserve">, to </w:t>
      </w:r>
      <w:r w:rsidR="006216F3">
        <w:t xml:space="preserve">show </w:t>
      </w:r>
      <w:r w:rsidR="008B58B7">
        <w:t>what different options</w:t>
      </w:r>
      <w:r>
        <w:t xml:space="preserve"> </w:t>
      </w:r>
      <w:r w:rsidR="00AB57FC">
        <w:t xml:space="preserve">would cover </w:t>
      </w:r>
      <w:r>
        <w:t>(</w:t>
      </w:r>
      <w:r w:rsidR="00AB57FC">
        <w:t>see t</w:t>
      </w:r>
      <w:r>
        <w:t xml:space="preserve">able </w:t>
      </w:r>
      <w:r w:rsidR="00A92B0C">
        <w:t>2</w:t>
      </w:r>
      <w:r>
        <w:t>).</w:t>
      </w:r>
    </w:p>
    <w:p w14:paraId="25B5F46C" w14:textId="6E78CE1E" w:rsidR="007B771C" w:rsidRPr="00120295" w:rsidRDefault="007B771C" w:rsidP="007B771C">
      <w:pPr>
        <w:pStyle w:val="Tableheading"/>
      </w:pPr>
      <w:bookmarkStart w:id="40" w:name="_Toc454963812"/>
      <w:bookmarkStart w:id="41" w:name="_Toc521052411"/>
      <w:r w:rsidRPr="00120295">
        <w:t xml:space="preserve">Table </w:t>
      </w:r>
      <w:r w:rsidR="00A92B0C">
        <w:t>2</w:t>
      </w:r>
      <w:r w:rsidRPr="00120295">
        <w:t>:</w:t>
      </w:r>
      <w:r w:rsidRPr="00120295">
        <w:tab/>
      </w:r>
      <w:bookmarkEnd w:id="40"/>
      <w:r w:rsidRPr="00120295">
        <w:t>Examples of shopping bags: single and multiple use, by thickness and material</w:t>
      </w:r>
      <w:bookmarkEnd w:id="41"/>
    </w:p>
    <w:tbl>
      <w:tblPr>
        <w:tblW w:w="9214" w:type="dxa"/>
        <w:tblBorders>
          <w:top w:val="single" w:sz="4" w:space="0" w:color="5B9BD5"/>
          <w:bottom w:val="single" w:sz="4" w:space="0" w:color="5B9BD5"/>
          <w:insideH w:val="single" w:sz="4" w:space="0" w:color="5B9BD5"/>
          <w:insideV w:val="single" w:sz="4" w:space="0" w:color="5B9BD5"/>
        </w:tblBorders>
        <w:tblCellMar>
          <w:left w:w="85" w:type="dxa"/>
          <w:right w:w="85" w:type="dxa"/>
        </w:tblCellMar>
        <w:tblLook w:val="04A0" w:firstRow="1" w:lastRow="0" w:firstColumn="1" w:lastColumn="0" w:noHBand="0" w:noVBand="1"/>
      </w:tblPr>
      <w:tblGrid>
        <w:gridCol w:w="2503"/>
        <w:gridCol w:w="1207"/>
        <w:gridCol w:w="1701"/>
        <w:gridCol w:w="1134"/>
        <w:gridCol w:w="2669"/>
      </w:tblGrid>
      <w:tr w:rsidR="007B771C" w:rsidRPr="00120295" w14:paraId="5378B633" w14:textId="77777777" w:rsidTr="00307E51">
        <w:trPr>
          <w:tblHeader/>
        </w:trPr>
        <w:tc>
          <w:tcPr>
            <w:tcW w:w="2503" w:type="dxa"/>
            <w:shd w:val="clear" w:color="auto" w:fill="1C556C"/>
            <w:tcMar>
              <w:left w:w="85" w:type="dxa"/>
            </w:tcMar>
            <w:vAlign w:val="bottom"/>
          </w:tcPr>
          <w:p w14:paraId="506E8C8E" w14:textId="77777777" w:rsidR="007B771C" w:rsidRPr="00554312" w:rsidRDefault="007B771C" w:rsidP="00A42D23">
            <w:pPr>
              <w:pStyle w:val="TableTextbold"/>
              <w:spacing w:before="50" w:after="50"/>
              <w:jc w:val="both"/>
              <w:rPr>
                <w:color w:val="FFFFFF"/>
              </w:rPr>
            </w:pPr>
          </w:p>
        </w:tc>
        <w:tc>
          <w:tcPr>
            <w:tcW w:w="1207" w:type="dxa"/>
            <w:shd w:val="clear" w:color="auto" w:fill="1C556C"/>
            <w:vAlign w:val="bottom"/>
          </w:tcPr>
          <w:p w14:paraId="3C12FBB4" w14:textId="77777777" w:rsidR="007B771C" w:rsidRPr="00554312" w:rsidRDefault="007B771C" w:rsidP="00293D67">
            <w:pPr>
              <w:pStyle w:val="TableTextbold"/>
              <w:spacing w:before="50" w:after="50"/>
              <w:rPr>
                <w:color w:val="FFFFFF"/>
                <w:szCs w:val="18"/>
              </w:rPr>
            </w:pPr>
            <w:r w:rsidRPr="00554312">
              <w:rPr>
                <w:color w:val="FFFFFF"/>
                <w:szCs w:val="18"/>
              </w:rPr>
              <w:t>Thickness in microns</w:t>
            </w:r>
          </w:p>
        </w:tc>
        <w:tc>
          <w:tcPr>
            <w:tcW w:w="1701" w:type="dxa"/>
            <w:shd w:val="clear" w:color="auto" w:fill="1C556C"/>
            <w:vAlign w:val="bottom"/>
          </w:tcPr>
          <w:p w14:paraId="3F4EF33F" w14:textId="77777777" w:rsidR="007B771C" w:rsidRPr="00554312" w:rsidRDefault="007B771C" w:rsidP="00A42D23">
            <w:pPr>
              <w:pStyle w:val="TableTextbold"/>
              <w:spacing w:before="50" w:after="50"/>
              <w:jc w:val="both"/>
              <w:rPr>
                <w:color w:val="FFFFFF"/>
                <w:szCs w:val="18"/>
              </w:rPr>
            </w:pPr>
            <w:r w:rsidRPr="00554312">
              <w:rPr>
                <w:color w:val="FFFFFF"/>
                <w:szCs w:val="18"/>
              </w:rPr>
              <w:t>Bag type</w:t>
            </w:r>
          </w:p>
        </w:tc>
        <w:tc>
          <w:tcPr>
            <w:tcW w:w="1134" w:type="dxa"/>
            <w:shd w:val="clear" w:color="auto" w:fill="1C556C"/>
            <w:vAlign w:val="bottom"/>
          </w:tcPr>
          <w:p w14:paraId="52D67CF8" w14:textId="77777777" w:rsidR="007B771C" w:rsidRPr="00554312" w:rsidRDefault="007B771C" w:rsidP="00A42D23">
            <w:pPr>
              <w:pStyle w:val="TableTextbold"/>
              <w:spacing w:before="50" w:after="50"/>
              <w:jc w:val="both"/>
              <w:rPr>
                <w:color w:val="FFFFFF"/>
                <w:szCs w:val="18"/>
              </w:rPr>
            </w:pPr>
            <w:r w:rsidRPr="00554312">
              <w:rPr>
                <w:color w:val="FFFFFF"/>
                <w:szCs w:val="18"/>
              </w:rPr>
              <w:t>Design usage</w:t>
            </w:r>
          </w:p>
        </w:tc>
        <w:tc>
          <w:tcPr>
            <w:tcW w:w="2669" w:type="dxa"/>
            <w:shd w:val="clear" w:color="auto" w:fill="1C556C"/>
            <w:vAlign w:val="bottom"/>
          </w:tcPr>
          <w:p w14:paraId="09852212" w14:textId="77777777" w:rsidR="007B771C" w:rsidRPr="00554312" w:rsidRDefault="007B771C" w:rsidP="00A42D23">
            <w:pPr>
              <w:pStyle w:val="TableTextbold"/>
              <w:spacing w:before="50" w:after="50"/>
              <w:jc w:val="both"/>
              <w:rPr>
                <w:color w:val="FFFFFF"/>
                <w:szCs w:val="18"/>
              </w:rPr>
            </w:pPr>
            <w:r w:rsidRPr="00554312">
              <w:rPr>
                <w:color w:val="FFFFFF"/>
                <w:szCs w:val="18"/>
              </w:rPr>
              <w:t>Material</w:t>
            </w:r>
          </w:p>
        </w:tc>
      </w:tr>
      <w:tr w:rsidR="007B771C" w:rsidRPr="00120295" w14:paraId="365FFD03" w14:textId="77777777" w:rsidTr="00307E51">
        <w:tc>
          <w:tcPr>
            <w:tcW w:w="2503" w:type="dxa"/>
            <w:shd w:val="clear" w:color="auto" w:fill="auto"/>
            <w:tcMar>
              <w:left w:w="85" w:type="dxa"/>
            </w:tcMar>
          </w:tcPr>
          <w:p w14:paraId="58F29C11" w14:textId="77777777" w:rsidR="007B771C" w:rsidRPr="00120295" w:rsidRDefault="00891A7D" w:rsidP="00A42D23">
            <w:pPr>
              <w:pStyle w:val="TableText0"/>
              <w:spacing w:after="50"/>
              <w:jc w:val="both"/>
            </w:pPr>
            <w:r>
              <w:rPr>
                <w:noProof/>
              </w:rPr>
              <w:drawing>
                <wp:inline distT="0" distB="0" distL="0" distR="0" wp14:anchorId="6C382A63" wp14:editId="41BEFCE5">
                  <wp:extent cx="1447800" cy="9715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a:ln>
                            <a:noFill/>
                          </a:ln>
                        </pic:spPr>
                      </pic:pic>
                    </a:graphicData>
                  </a:graphic>
                </wp:inline>
              </w:drawing>
            </w:r>
          </w:p>
        </w:tc>
        <w:tc>
          <w:tcPr>
            <w:tcW w:w="1207" w:type="dxa"/>
            <w:shd w:val="clear" w:color="auto" w:fill="auto"/>
          </w:tcPr>
          <w:p w14:paraId="6E5A1456" w14:textId="77777777" w:rsidR="007B771C" w:rsidRPr="00120295" w:rsidRDefault="007B771C" w:rsidP="00A42D23">
            <w:pPr>
              <w:pStyle w:val="TableTextbold"/>
              <w:spacing w:before="50" w:after="50"/>
              <w:jc w:val="both"/>
            </w:pPr>
            <w:r w:rsidRPr="00120295">
              <w:t>Less than 35</w:t>
            </w:r>
          </w:p>
        </w:tc>
        <w:tc>
          <w:tcPr>
            <w:tcW w:w="1701" w:type="dxa"/>
            <w:shd w:val="clear" w:color="auto" w:fill="auto"/>
          </w:tcPr>
          <w:p w14:paraId="10CB111E" w14:textId="77777777" w:rsidR="007B771C" w:rsidRPr="00120295" w:rsidRDefault="007B771C" w:rsidP="00A42D23">
            <w:pPr>
              <w:pStyle w:val="TableText0"/>
              <w:spacing w:before="50" w:after="50"/>
              <w:jc w:val="both"/>
            </w:pPr>
            <w:r w:rsidRPr="00120295">
              <w:t xml:space="preserve">Singlet-style checkout bags </w:t>
            </w:r>
          </w:p>
        </w:tc>
        <w:tc>
          <w:tcPr>
            <w:tcW w:w="1134" w:type="dxa"/>
            <w:shd w:val="clear" w:color="auto" w:fill="auto"/>
          </w:tcPr>
          <w:p w14:paraId="595C78B3" w14:textId="77777777" w:rsidR="007B771C" w:rsidRPr="00120295" w:rsidRDefault="007B771C" w:rsidP="00A42D23">
            <w:pPr>
              <w:pStyle w:val="TableText0"/>
              <w:spacing w:before="50" w:after="50"/>
              <w:jc w:val="both"/>
            </w:pPr>
            <w:r w:rsidRPr="00120295">
              <w:t>Single-use</w:t>
            </w:r>
          </w:p>
        </w:tc>
        <w:tc>
          <w:tcPr>
            <w:tcW w:w="2669" w:type="dxa"/>
            <w:shd w:val="clear" w:color="auto" w:fill="auto"/>
          </w:tcPr>
          <w:p w14:paraId="4B8F4BD6" w14:textId="77777777" w:rsidR="007B771C" w:rsidRPr="00120295" w:rsidRDefault="007B771C" w:rsidP="00A42D23">
            <w:pPr>
              <w:pStyle w:val="TableText0"/>
              <w:spacing w:before="50" w:after="50"/>
              <w:jc w:val="both"/>
            </w:pPr>
            <w:r w:rsidRPr="00120295">
              <w:t>HDPE (high density polyethylene)</w:t>
            </w:r>
          </w:p>
          <w:p w14:paraId="535D1E4B" w14:textId="77777777" w:rsidR="007B771C" w:rsidRPr="00120295" w:rsidRDefault="007B771C" w:rsidP="00A42D23">
            <w:pPr>
              <w:pStyle w:val="TableText0"/>
              <w:spacing w:before="50" w:after="50"/>
              <w:jc w:val="both"/>
            </w:pPr>
            <w:r w:rsidRPr="00120295">
              <w:t>Can include ‘compostable’ and ‘degradable’</w:t>
            </w:r>
          </w:p>
        </w:tc>
      </w:tr>
      <w:tr w:rsidR="007B771C" w:rsidRPr="00120295" w14:paraId="3691D980" w14:textId="77777777" w:rsidTr="00307E51">
        <w:tc>
          <w:tcPr>
            <w:tcW w:w="2503" w:type="dxa"/>
            <w:shd w:val="clear" w:color="auto" w:fill="auto"/>
            <w:tcMar>
              <w:left w:w="85" w:type="dxa"/>
            </w:tcMar>
          </w:tcPr>
          <w:p w14:paraId="1B7A26CC" w14:textId="77777777" w:rsidR="007B771C" w:rsidRPr="00120295" w:rsidRDefault="00891A7D" w:rsidP="00A42D23">
            <w:pPr>
              <w:pStyle w:val="TableText0"/>
              <w:spacing w:after="50"/>
              <w:jc w:val="both"/>
            </w:pPr>
            <w:r>
              <w:rPr>
                <w:noProof/>
              </w:rPr>
              <w:drawing>
                <wp:inline distT="0" distB="0" distL="0" distR="0" wp14:anchorId="56F8AA71" wp14:editId="1CAF954F">
                  <wp:extent cx="1447800" cy="9715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a:ln>
                            <a:noFill/>
                          </a:ln>
                        </pic:spPr>
                      </pic:pic>
                    </a:graphicData>
                  </a:graphic>
                </wp:inline>
              </w:drawing>
            </w:r>
          </w:p>
        </w:tc>
        <w:tc>
          <w:tcPr>
            <w:tcW w:w="1207" w:type="dxa"/>
            <w:shd w:val="clear" w:color="auto" w:fill="auto"/>
          </w:tcPr>
          <w:p w14:paraId="382F1742" w14:textId="77777777" w:rsidR="007B771C" w:rsidRPr="00120295" w:rsidRDefault="007B771C" w:rsidP="00750CB6">
            <w:pPr>
              <w:pStyle w:val="TableTextbold"/>
              <w:spacing w:before="50" w:after="50"/>
            </w:pPr>
            <w:r w:rsidRPr="00120295">
              <w:t>35 or more, and less than 50</w:t>
            </w:r>
          </w:p>
        </w:tc>
        <w:tc>
          <w:tcPr>
            <w:tcW w:w="1701" w:type="dxa"/>
            <w:shd w:val="clear" w:color="auto" w:fill="auto"/>
          </w:tcPr>
          <w:p w14:paraId="019C0CD5" w14:textId="77777777" w:rsidR="007B771C" w:rsidRPr="00120295" w:rsidRDefault="007B771C" w:rsidP="00750CB6">
            <w:pPr>
              <w:pStyle w:val="TableText0"/>
              <w:spacing w:before="50" w:after="50"/>
            </w:pPr>
            <w:r w:rsidRPr="00120295">
              <w:t xml:space="preserve">Heavier weight singlet bags, and light-weight boutique-style shopping bags </w:t>
            </w:r>
          </w:p>
        </w:tc>
        <w:tc>
          <w:tcPr>
            <w:tcW w:w="1134" w:type="dxa"/>
            <w:shd w:val="clear" w:color="auto" w:fill="auto"/>
          </w:tcPr>
          <w:p w14:paraId="5AA4F04A" w14:textId="77777777" w:rsidR="007B771C" w:rsidRPr="00120295" w:rsidRDefault="007B771C" w:rsidP="00A42D23">
            <w:pPr>
              <w:pStyle w:val="TableText0"/>
              <w:spacing w:before="50" w:after="50"/>
              <w:jc w:val="both"/>
            </w:pPr>
            <w:r w:rsidRPr="00120295">
              <w:t>Single- or multi-use</w:t>
            </w:r>
          </w:p>
        </w:tc>
        <w:tc>
          <w:tcPr>
            <w:tcW w:w="2669" w:type="dxa"/>
            <w:shd w:val="clear" w:color="auto" w:fill="auto"/>
          </w:tcPr>
          <w:p w14:paraId="04A32778" w14:textId="77777777" w:rsidR="007B771C" w:rsidRPr="00120295" w:rsidRDefault="007B771C" w:rsidP="00A42D23">
            <w:pPr>
              <w:pStyle w:val="TableText0"/>
              <w:spacing w:before="50" w:after="50"/>
              <w:jc w:val="both"/>
            </w:pPr>
            <w:r w:rsidRPr="00120295">
              <w:t>LDPE (low density polyethylene)</w:t>
            </w:r>
          </w:p>
          <w:p w14:paraId="022DEAB5" w14:textId="77777777" w:rsidR="007B771C" w:rsidRPr="00120295" w:rsidRDefault="007B771C" w:rsidP="00A42D23">
            <w:pPr>
              <w:pStyle w:val="TableText0"/>
              <w:spacing w:before="50" w:after="50"/>
              <w:jc w:val="both"/>
            </w:pPr>
            <w:r w:rsidRPr="00120295">
              <w:t>Can include ‘compostable’ and ‘degradable’</w:t>
            </w:r>
          </w:p>
        </w:tc>
      </w:tr>
      <w:tr w:rsidR="007B771C" w:rsidRPr="00120295" w14:paraId="10BACADF" w14:textId="77777777" w:rsidTr="00307E51">
        <w:tc>
          <w:tcPr>
            <w:tcW w:w="2503" w:type="dxa"/>
            <w:shd w:val="clear" w:color="auto" w:fill="auto"/>
            <w:tcMar>
              <w:left w:w="85" w:type="dxa"/>
            </w:tcMar>
          </w:tcPr>
          <w:p w14:paraId="1451E2BD" w14:textId="77777777" w:rsidR="007B771C" w:rsidRPr="00120295" w:rsidRDefault="00891A7D" w:rsidP="00A42D23">
            <w:pPr>
              <w:pStyle w:val="TableText0"/>
              <w:spacing w:after="50"/>
              <w:jc w:val="both"/>
            </w:pPr>
            <w:r>
              <w:rPr>
                <w:noProof/>
              </w:rPr>
              <w:drawing>
                <wp:inline distT="0" distB="0" distL="0" distR="0" wp14:anchorId="16FFAC87" wp14:editId="698A6CB0">
                  <wp:extent cx="1447800" cy="9715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a:ln>
                            <a:noFill/>
                          </a:ln>
                        </pic:spPr>
                      </pic:pic>
                    </a:graphicData>
                  </a:graphic>
                </wp:inline>
              </w:drawing>
            </w:r>
          </w:p>
        </w:tc>
        <w:tc>
          <w:tcPr>
            <w:tcW w:w="1207" w:type="dxa"/>
            <w:shd w:val="clear" w:color="auto" w:fill="auto"/>
          </w:tcPr>
          <w:p w14:paraId="247431F9" w14:textId="77777777" w:rsidR="007B771C" w:rsidRPr="00120295" w:rsidRDefault="007B771C" w:rsidP="00750CB6">
            <w:pPr>
              <w:pStyle w:val="TableTextbold"/>
              <w:spacing w:before="50" w:after="50"/>
            </w:pPr>
            <w:r w:rsidRPr="00120295">
              <w:t xml:space="preserve">50 or more and less than 70 </w:t>
            </w:r>
          </w:p>
        </w:tc>
        <w:tc>
          <w:tcPr>
            <w:tcW w:w="1701" w:type="dxa"/>
            <w:shd w:val="clear" w:color="auto" w:fill="auto"/>
          </w:tcPr>
          <w:p w14:paraId="18ADD19C" w14:textId="77777777" w:rsidR="007B771C" w:rsidRPr="00120295" w:rsidRDefault="007B771C" w:rsidP="00750CB6">
            <w:pPr>
              <w:pStyle w:val="TableText0"/>
              <w:spacing w:before="50" w:after="50"/>
            </w:pPr>
            <w:r w:rsidRPr="00120295">
              <w:t>Boutique-style shopping bags</w:t>
            </w:r>
          </w:p>
          <w:p w14:paraId="5F4F1155" w14:textId="77777777" w:rsidR="007B771C" w:rsidRPr="00120295" w:rsidRDefault="007B771C" w:rsidP="00750CB6">
            <w:pPr>
              <w:pStyle w:val="TableText0"/>
              <w:spacing w:before="50" w:after="50"/>
            </w:pPr>
            <w:r w:rsidRPr="00120295">
              <w:t>Includes ‘emergency’ LDPE multi-use bags, and some nylon multi-use bags</w:t>
            </w:r>
          </w:p>
        </w:tc>
        <w:tc>
          <w:tcPr>
            <w:tcW w:w="1134" w:type="dxa"/>
            <w:shd w:val="clear" w:color="auto" w:fill="auto"/>
          </w:tcPr>
          <w:p w14:paraId="7758C48A" w14:textId="77777777" w:rsidR="007B771C" w:rsidRPr="00120295" w:rsidRDefault="007B771C" w:rsidP="00A42D23">
            <w:pPr>
              <w:pStyle w:val="TableText0"/>
              <w:spacing w:before="50" w:after="50"/>
              <w:jc w:val="both"/>
            </w:pPr>
            <w:r w:rsidRPr="00120295">
              <w:t>Single- or multi-use</w:t>
            </w:r>
          </w:p>
        </w:tc>
        <w:tc>
          <w:tcPr>
            <w:tcW w:w="2669" w:type="dxa"/>
            <w:shd w:val="clear" w:color="auto" w:fill="auto"/>
          </w:tcPr>
          <w:p w14:paraId="2378DA18" w14:textId="77777777" w:rsidR="007B771C" w:rsidRPr="00120295" w:rsidRDefault="007B771C" w:rsidP="00A42D23">
            <w:pPr>
              <w:pStyle w:val="TableText0"/>
              <w:spacing w:before="50" w:after="50"/>
              <w:jc w:val="both"/>
            </w:pPr>
            <w:r w:rsidRPr="00120295">
              <w:t>LDPE (low density polyethylene)</w:t>
            </w:r>
          </w:p>
          <w:p w14:paraId="6E539D36" w14:textId="77777777" w:rsidR="007B771C" w:rsidRPr="00120295" w:rsidRDefault="007B771C" w:rsidP="00A42D23">
            <w:pPr>
              <w:pStyle w:val="TableText0"/>
              <w:spacing w:before="50" w:after="50"/>
              <w:jc w:val="both"/>
            </w:pPr>
            <w:r w:rsidRPr="00554312">
              <w:rPr>
                <w:szCs w:val="18"/>
              </w:rPr>
              <w:t xml:space="preserve">Can include ‘compostable’ and ‘degradable’, </w:t>
            </w:r>
          </w:p>
          <w:p w14:paraId="18C3204C" w14:textId="77777777" w:rsidR="007B771C" w:rsidRPr="00120295" w:rsidRDefault="007B771C" w:rsidP="00A42D23">
            <w:pPr>
              <w:pStyle w:val="TableText0"/>
              <w:spacing w:before="50" w:after="50"/>
              <w:jc w:val="both"/>
            </w:pPr>
            <w:r>
              <w:t>S</w:t>
            </w:r>
            <w:r w:rsidRPr="00120295">
              <w:t>ome lightweight nylon fabrics</w:t>
            </w:r>
          </w:p>
        </w:tc>
      </w:tr>
      <w:tr w:rsidR="007B771C" w:rsidRPr="00120295" w14:paraId="51060EA1" w14:textId="77777777" w:rsidTr="00307E51">
        <w:tc>
          <w:tcPr>
            <w:tcW w:w="2503" w:type="dxa"/>
            <w:shd w:val="clear" w:color="auto" w:fill="auto"/>
            <w:tcMar>
              <w:left w:w="85" w:type="dxa"/>
            </w:tcMar>
          </w:tcPr>
          <w:p w14:paraId="69057685" w14:textId="77777777" w:rsidR="007B771C" w:rsidRPr="00120295" w:rsidRDefault="00891A7D" w:rsidP="00A42D23">
            <w:pPr>
              <w:spacing w:before="60" w:after="50"/>
              <w:jc w:val="both"/>
            </w:pPr>
            <w:r>
              <w:rPr>
                <w:noProof/>
                <w:lang w:val="en-NZ" w:eastAsia="en-NZ"/>
              </w:rPr>
              <w:drawing>
                <wp:inline distT="0" distB="0" distL="0" distR="0" wp14:anchorId="7E789E3C" wp14:editId="745B5F20">
                  <wp:extent cx="1447800" cy="971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a:ln>
                            <a:noFill/>
                          </a:ln>
                        </pic:spPr>
                      </pic:pic>
                    </a:graphicData>
                  </a:graphic>
                </wp:inline>
              </w:drawing>
            </w:r>
          </w:p>
        </w:tc>
        <w:tc>
          <w:tcPr>
            <w:tcW w:w="1207" w:type="dxa"/>
            <w:shd w:val="clear" w:color="auto" w:fill="auto"/>
          </w:tcPr>
          <w:p w14:paraId="11A0BE49" w14:textId="77777777" w:rsidR="007B771C" w:rsidRPr="00120295" w:rsidRDefault="007B771C" w:rsidP="00A42D23">
            <w:pPr>
              <w:pStyle w:val="TableTextbold"/>
              <w:spacing w:before="50" w:after="50"/>
              <w:jc w:val="both"/>
            </w:pPr>
            <w:r w:rsidRPr="00120295">
              <w:t xml:space="preserve">70 or more </w:t>
            </w:r>
          </w:p>
        </w:tc>
        <w:tc>
          <w:tcPr>
            <w:tcW w:w="1701" w:type="dxa"/>
            <w:shd w:val="clear" w:color="auto" w:fill="auto"/>
          </w:tcPr>
          <w:p w14:paraId="5EB0B48F" w14:textId="77777777" w:rsidR="007B771C" w:rsidRPr="00120295" w:rsidRDefault="007B771C" w:rsidP="00750CB6">
            <w:pPr>
              <w:pStyle w:val="TableText0"/>
              <w:spacing w:before="50" w:after="50"/>
            </w:pPr>
            <w:r>
              <w:t>Heavier weight reus</w:t>
            </w:r>
            <w:r w:rsidRPr="00120295">
              <w:t xml:space="preserve">able bags of </w:t>
            </w:r>
            <w:r>
              <w:t>a range of fabrics and composites</w:t>
            </w:r>
          </w:p>
          <w:p w14:paraId="3C0BBB13" w14:textId="77777777" w:rsidR="007B771C" w:rsidRPr="00120295" w:rsidRDefault="007B771C" w:rsidP="00750CB6">
            <w:pPr>
              <w:pStyle w:val="TableText0"/>
              <w:spacing w:before="50" w:after="50"/>
            </w:pPr>
            <w:r w:rsidRPr="00120295">
              <w:t xml:space="preserve">These types of bags are </w:t>
            </w:r>
            <w:r>
              <w:t xml:space="preserve">typically </w:t>
            </w:r>
            <w:r w:rsidRPr="00120295">
              <w:t>measured by weight (gsm – grams per square metre) not thickness</w:t>
            </w:r>
          </w:p>
        </w:tc>
        <w:tc>
          <w:tcPr>
            <w:tcW w:w="1134" w:type="dxa"/>
            <w:shd w:val="clear" w:color="auto" w:fill="auto"/>
          </w:tcPr>
          <w:p w14:paraId="29149BAD" w14:textId="77777777" w:rsidR="007B771C" w:rsidRPr="00120295" w:rsidRDefault="007B771C" w:rsidP="00A42D23">
            <w:pPr>
              <w:pStyle w:val="TableText0"/>
              <w:spacing w:before="50" w:after="50"/>
              <w:jc w:val="both"/>
            </w:pPr>
            <w:r w:rsidRPr="00120295">
              <w:t>Multi-use</w:t>
            </w:r>
          </w:p>
        </w:tc>
        <w:tc>
          <w:tcPr>
            <w:tcW w:w="2669" w:type="dxa"/>
            <w:shd w:val="clear" w:color="auto" w:fill="auto"/>
          </w:tcPr>
          <w:p w14:paraId="16A4F22C" w14:textId="77777777" w:rsidR="007B771C" w:rsidRPr="00120295" w:rsidRDefault="007B771C" w:rsidP="00A42D23">
            <w:pPr>
              <w:pStyle w:val="TableText0"/>
              <w:spacing w:before="50" w:after="50"/>
              <w:jc w:val="both"/>
            </w:pPr>
            <w:r w:rsidRPr="00120295">
              <w:t>Non-woven polypropylene, plain or coated</w:t>
            </w:r>
          </w:p>
          <w:p w14:paraId="50EB4FE9" w14:textId="77777777" w:rsidR="007B771C" w:rsidRPr="00120295" w:rsidRDefault="007B771C" w:rsidP="00A42D23">
            <w:pPr>
              <w:pStyle w:val="TableText0"/>
              <w:spacing w:before="50" w:after="50"/>
              <w:jc w:val="both"/>
            </w:pPr>
            <w:r w:rsidRPr="00120295">
              <w:t xml:space="preserve">Hessian with plasticised lining and padded cotton handles </w:t>
            </w:r>
          </w:p>
          <w:p w14:paraId="6E6573E2" w14:textId="77777777" w:rsidR="007B771C" w:rsidRPr="00120295" w:rsidRDefault="007B771C" w:rsidP="00A42D23">
            <w:pPr>
              <w:pStyle w:val="TableText0"/>
              <w:spacing w:before="50" w:after="50"/>
              <w:jc w:val="both"/>
            </w:pPr>
            <w:r w:rsidRPr="00120295">
              <w:t xml:space="preserve">Canvas, hessian, recycled fabric, </w:t>
            </w:r>
            <w:r>
              <w:t>w</w:t>
            </w:r>
            <w:r w:rsidRPr="00120295">
              <w:t>oven polypropylene</w:t>
            </w:r>
          </w:p>
          <w:p w14:paraId="451BA7ED" w14:textId="77777777" w:rsidR="007B771C" w:rsidRPr="00554312" w:rsidRDefault="007B771C" w:rsidP="00A42D23">
            <w:pPr>
              <w:pStyle w:val="TableText0"/>
              <w:spacing w:before="50" w:after="50"/>
              <w:jc w:val="both"/>
              <w:rPr>
                <w:szCs w:val="18"/>
              </w:rPr>
            </w:pPr>
            <w:r w:rsidRPr="00120295">
              <w:t>Lightweight nylon fabric</w:t>
            </w:r>
          </w:p>
        </w:tc>
      </w:tr>
    </w:tbl>
    <w:p w14:paraId="706C2707" w14:textId="74B71516" w:rsidR="007B771C" w:rsidRDefault="007B771C" w:rsidP="007B771C">
      <w:pPr>
        <w:pStyle w:val="Note"/>
      </w:pPr>
      <w:r>
        <w:t xml:space="preserve">Note: </w:t>
      </w:r>
      <w:r w:rsidRPr="00120295">
        <w:t>1 microns is 0.0</w:t>
      </w:r>
      <w:r w:rsidR="00AF5237">
        <w:t>1</w:t>
      </w:r>
      <w:r w:rsidRPr="00120295">
        <w:t xml:space="preserve"> millimetre (</w:t>
      </w:r>
      <w:proofErr w:type="spellStart"/>
      <w:r w:rsidRPr="00120295">
        <w:t>eg</w:t>
      </w:r>
      <w:proofErr w:type="spellEnd"/>
      <w:r w:rsidRPr="00120295">
        <w:t xml:space="preserve">, 1,000 microns = 1 mm). </w:t>
      </w:r>
      <w:r>
        <w:t xml:space="preserve">                                       Photo credit: Miranda Grimmer</w:t>
      </w:r>
    </w:p>
    <w:p w14:paraId="37AA88A4" w14:textId="23C18ABF" w:rsidR="00E46D0A" w:rsidRDefault="00DA73C4" w:rsidP="00E46D0A">
      <w:pPr>
        <w:pStyle w:val="BodyText"/>
      </w:pPr>
      <w:r>
        <w:t>J</w:t>
      </w:r>
      <w:r w:rsidR="00E46D0A">
        <w:t xml:space="preserve">urisdictions overseas </w:t>
      </w:r>
      <w:r>
        <w:t xml:space="preserve">that </w:t>
      </w:r>
      <w:r w:rsidR="00E46D0A">
        <w:t>have phased out different thicknesses of single-use plastic shopping bag</w:t>
      </w:r>
      <w:r>
        <w:t xml:space="preserve"> </w:t>
      </w:r>
      <w:r w:rsidR="00F15B5C">
        <w:t>include</w:t>
      </w:r>
      <w:r w:rsidR="00E46D0A">
        <w:t xml:space="preserve">: </w:t>
      </w:r>
    </w:p>
    <w:p w14:paraId="2448DEDC" w14:textId="77777777" w:rsidR="00E46D0A" w:rsidRDefault="00E46D0A" w:rsidP="00E46D0A">
      <w:pPr>
        <w:pStyle w:val="BodyText"/>
        <w:numPr>
          <w:ilvl w:val="0"/>
          <w:numId w:val="26"/>
        </w:numPr>
      </w:pPr>
      <w:r>
        <w:t>South Australia, Tasmania, Northern Territory, ACT, Queensland and Western Australia and some USA states and cities ban bags below 35 microns in thickness</w:t>
      </w:r>
    </w:p>
    <w:p w14:paraId="1A9A6B40" w14:textId="77777777" w:rsidR="00E46D0A" w:rsidRPr="00120295" w:rsidRDefault="00E46D0A" w:rsidP="00E46D0A">
      <w:pPr>
        <w:pStyle w:val="BodyText"/>
        <w:numPr>
          <w:ilvl w:val="0"/>
          <w:numId w:val="26"/>
        </w:numPr>
      </w:pPr>
      <w:r w:rsidRPr="00120295">
        <w:t xml:space="preserve">The European Union </w:t>
      </w:r>
      <w:r>
        <w:t>and Montreal (Canada) regulate bags</w:t>
      </w:r>
      <w:r w:rsidRPr="00120295">
        <w:t xml:space="preserve"> below 50 microns </w:t>
      </w:r>
      <w:r>
        <w:t>in thickness</w:t>
      </w:r>
    </w:p>
    <w:p w14:paraId="31113B1C" w14:textId="77777777" w:rsidR="00E46D0A" w:rsidRDefault="00E46D0A" w:rsidP="00E46D0A">
      <w:pPr>
        <w:pStyle w:val="BodyText"/>
        <w:numPr>
          <w:ilvl w:val="0"/>
          <w:numId w:val="26"/>
        </w:numPr>
      </w:pPr>
      <w:r w:rsidRPr="00120295">
        <w:t>England has included shopping bags under 70 microns thick in its mandated minimum charge.</w:t>
      </w:r>
      <w:r w:rsidRPr="00120295">
        <w:rPr>
          <w:vertAlign w:val="superscript"/>
        </w:rPr>
        <w:footnoteReference w:id="13"/>
      </w:r>
      <w:r w:rsidRPr="00120295">
        <w:t xml:space="preserve"> </w:t>
      </w:r>
    </w:p>
    <w:p w14:paraId="7D15783C" w14:textId="77777777" w:rsidR="00E46D0A" w:rsidRDefault="00E46D0A" w:rsidP="00E46D0A">
      <w:pPr>
        <w:pStyle w:val="BodyText"/>
        <w:spacing w:before="100" w:after="100"/>
      </w:pPr>
      <w:r>
        <w:t xml:space="preserve">The proposal for 50 or 70 microns, as opposed to 35 microns as used in many jurisdictions, was based on the desire to avoid unintended consequences which have been experienced elsewhere. For example in Tasmania, </w:t>
      </w:r>
      <w:r w:rsidRPr="00120295">
        <w:t>Queensland</w:t>
      </w:r>
      <w:r>
        <w:t>,</w:t>
      </w:r>
      <w:r w:rsidRPr="00120295">
        <w:t xml:space="preserve"> and Western Australia</w:t>
      </w:r>
      <w:r>
        <w:t>,</w:t>
      </w:r>
      <w:r w:rsidRPr="00120295">
        <w:t xml:space="preserve"> there have been concerns about retailers being sold ‘barely compliant’ bags just over 35 microns in thickness</w:t>
      </w:r>
      <w:r>
        <w:t>.</w:t>
      </w:r>
      <w:r w:rsidRPr="00120295">
        <w:rPr>
          <w:rStyle w:val="FootnoteReference"/>
        </w:rPr>
        <w:footnoteReference w:id="14"/>
      </w:r>
      <w:r>
        <w:t xml:space="preserve"> There have also been concerns about heavier weight single-use plastic shopping bags becoming more prevalent in litter in some states with bans (</w:t>
      </w:r>
      <w:proofErr w:type="spellStart"/>
      <w:r>
        <w:t>eg</w:t>
      </w:r>
      <w:proofErr w:type="spellEnd"/>
      <w:r>
        <w:t>, Northern Territory and South Australia)</w:t>
      </w:r>
      <w:r w:rsidRPr="00D22CCF">
        <w:t xml:space="preserve"> </w:t>
      </w:r>
      <w:r>
        <w:t>compared to states without bans, potentially increasing the volume of plastic in the litter stream.</w:t>
      </w:r>
    </w:p>
    <w:p w14:paraId="484891A0" w14:textId="77777777" w:rsidR="004527D8" w:rsidRPr="003E2357" w:rsidRDefault="004527D8" w:rsidP="003E2357">
      <w:pPr>
        <w:pStyle w:val="Heading4"/>
      </w:pPr>
      <w:r w:rsidRPr="003E2357">
        <w:t>Analysis</w:t>
      </w:r>
    </w:p>
    <w:p w14:paraId="78BE02BD" w14:textId="7DF024AC" w:rsidR="00090C43" w:rsidRPr="003E2357" w:rsidRDefault="00090C43" w:rsidP="003E2357">
      <w:pPr>
        <w:rPr>
          <w:i/>
          <w:u w:val="single"/>
        </w:rPr>
      </w:pPr>
      <w:r w:rsidRPr="003E2357">
        <w:rPr>
          <w:i/>
          <w:u w:val="single"/>
        </w:rPr>
        <w:t xml:space="preserve">Option 1 </w:t>
      </w:r>
      <w:r w:rsidR="003E2357" w:rsidRPr="003E2357">
        <w:rPr>
          <w:i/>
          <w:u w:val="single"/>
        </w:rPr>
        <w:t>–</w:t>
      </w:r>
      <w:r w:rsidRPr="003E2357">
        <w:rPr>
          <w:i/>
          <w:u w:val="single"/>
        </w:rPr>
        <w:t xml:space="preserve"> </w:t>
      </w:r>
      <w:r w:rsidR="003E2357" w:rsidRPr="003E2357">
        <w:rPr>
          <w:i/>
          <w:u w:val="single"/>
        </w:rPr>
        <w:t>Bags less than 50 microns</w:t>
      </w:r>
    </w:p>
    <w:p w14:paraId="1EB33802" w14:textId="012D7552" w:rsidR="00A46545" w:rsidRDefault="00E46D0A" w:rsidP="00A46545">
      <w:pPr>
        <w:spacing w:after="120" w:line="280" w:lineRule="exact"/>
        <w:rPr>
          <w:rFonts w:cs="Arial"/>
        </w:rPr>
      </w:pPr>
      <w:r>
        <w:t>Phasing out bags below 50 microns (but continuing to allow use of thicker bags, including in the 50-70 micron range) would provide consumers and retailers with more options</w:t>
      </w:r>
      <w:r w:rsidR="00B975FE">
        <w:t xml:space="preserve"> for bags to use</w:t>
      </w:r>
      <w:r>
        <w:t>.</w:t>
      </w:r>
      <w:r w:rsidR="00A46545">
        <w:t xml:space="preserve"> </w:t>
      </w:r>
      <w:r w:rsidR="00A46545">
        <w:rPr>
          <w:rFonts w:cs="Arial"/>
        </w:rPr>
        <w:t>The Waste Advisory Board preferred 50 microns, as did a number of large retailers (</w:t>
      </w:r>
      <w:proofErr w:type="spellStart"/>
      <w:r w:rsidR="00A46545">
        <w:rPr>
          <w:rFonts w:cs="Arial"/>
        </w:rPr>
        <w:t>eg</w:t>
      </w:r>
      <w:proofErr w:type="spellEnd"/>
      <w:r w:rsidR="00A46545">
        <w:rPr>
          <w:rFonts w:cs="Arial"/>
        </w:rPr>
        <w:t xml:space="preserve">, </w:t>
      </w:r>
      <w:r w:rsidR="00A46545" w:rsidRPr="003A06C3">
        <w:rPr>
          <w:rFonts w:cs="Arial"/>
        </w:rPr>
        <w:t xml:space="preserve">Foodstuffs </w:t>
      </w:r>
      <w:r w:rsidR="00A46545">
        <w:rPr>
          <w:rFonts w:cs="Arial"/>
        </w:rPr>
        <w:t xml:space="preserve">and Kmart). </w:t>
      </w:r>
    </w:p>
    <w:p w14:paraId="34F2C342" w14:textId="5155139F" w:rsidR="00E46D0A" w:rsidRDefault="00A46545" w:rsidP="003E2357">
      <w:pPr>
        <w:pStyle w:val="BodyText"/>
        <w:spacing w:before="100" w:after="100"/>
      </w:pPr>
      <w:r>
        <w:t>A</w:t>
      </w:r>
      <w:r w:rsidR="00E46D0A">
        <w:t xml:space="preserve"> number of large retailers (</w:t>
      </w:r>
      <w:proofErr w:type="spellStart"/>
      <w:r w:rsidR="00E46D0A">
        <w:t>eg</w:t>
      </w:r>
      <w:proofErr w:type="spellEnd"/>
      <w:r w:rsidR="00E46D0A">
        <w:t xml:space="preserve">, Foodstuffs, Kmart) note that while they will encourage customers to bring their own reusable bags, in their view customers will still need an ‘entry level’ multi-use but lightweight bag that is economic to purchase. Countdown provides an ‘emergency bag’ that is 55 microns, and costs 15 cents. The bag has been tested at around 20 uses. Foodstuffs is considering a similar bag (at 65 microns). </w:t>
      </w:r>
    </w:p>
    <w:p w14:paraId="2A8C2B4D" w14:textId="59518D00" w:rsidR="0009103D" w:rsidRDefault="0009103D" w:rsidP="003E2357">
      <w:pPr>
        <w:pStyle w:val="BodyText"/>
        <w:spacing w:before="100" w:after="100"/>
      </w:pPr>
      <w:r>
        <w:t xml:space="preserve">If bags less than 50 microns are phased out, some light-weight boutique-style bags would be covered, but heavier boutique-style bags would not be. This means few retailers overall would likely have to change their existing practices. While this would reduce costs for individual operators, it may cause consumer confusion and lower overall support for the phase out (as bags would still be available from some retailers but not from others). There is also potential for retailers who currently offer a lighter-weight bag to switch to offering heavier weight boutique-style bags, thus increasing the amount of plastic in circulation. </w:t>
      </w:r>
    </w:p>
    <w:p w14:paraId="04F52950" w14:textId="1D930B6A" w:rsidR="00B975FE" w:rsidRDefault="0009103D" w:rsidP="00307E51">
      <w:pPr>
        <w:spacing w:after="120" w:line="280" w:lineRule="exact"/>
        <w:rPr>
          <w:bCs/>
        </w:rPr>
      </w:pPr>
      <w:r>
        <w:rPr>
          <w:bCs/>
        </w:rPr>
        <w:t xml:space="preserve">A key factor in comparing impacts of the thickness options is the likely consumer behaviour </w:t>
      </w:r>
      <w:r w:rsidR="005E4B38">
        <w:rPr>
          <w:bCs/>
        </w:rPr>
        <w:t xml:space="preserve">for using </w:t>
      </w:r>
      <w:r>
        <w:rPr>
          <w:bCs/>
        </w:rPr>
        <w:t xml:space="preserve">medium-weight plastic shopping bags 50 to 70 microns – that is, whether consumers would treat them as reusable bags, or as single-use bags. If consumers treat them as single-use bags, the unintended consequence will be that more resources are used </w:t>
      </w:r>
      <w:r w:rsidR="005E4B38">
        <w:rPr>
          <w:bCs/>
        </w:rPr>
        <w:t xml:space="preserve">to create </w:t>
      </w:r>
      <w:r>
        <w:rPr>
          <w:bCs/>
        </w:rPr>
        <w:t xml:space="preserve">the bags, and more plastic is disposed of to landfill or litter stream (or recycled through the soft plastic recycling scheme for those that bring them back for that purpose). </w:t>
      </w:r>
    </w:p>
    <w:p w14:paraId="1B5565E2" w14:textId="4181963D" w:rsidR="007B771C" w:rsidRPr="00C37735" w:rsidRDefault="00E46D0A" w:rsidP="007B771C">
      <w:pPr>
        <w:spacing w:after="120" w:line="280" w:lineRule="exact"/>
      </w:pPr>
      <w:r>
        <w:t xml:space="preserve">This was one reason that many submitters favoured </w:t>
      </w:r>
      <w:r w:rsidR="0009103D">
        <w:t>phasing out bags below 70 microns.</w:t>
      </w:r>
      <w:r w:rsidR="00B975FE">
        <w:t xml:space="preserve"> Some direct evidence of bags in the 50-70 micron range being used in a similar way to thinner single-use plastic shopping bags is available both in New Zealand and overseas. For example, as noted above</w:t>
      </w:r>
      <w:r w:rsidR="00A46545">
        <w:t xml:space="preserve"> heavier weight single-use plastic shopping bags have become more prevalent in litter in some Australian states with bans. In New Zealand, the Packaging Forum, which runs a soft plastics recycling scheme, submitted that it has already seen an increase in ‘emergency bags’ being returned to the recycling scheme.</w:t>
      </w:r>
      <w:r w:rsidR="00A46545">
        <w:rPr>
          <w:rStyle w:val="FootnoteReference"/>
        </w:rPr>
        <w:footnoteReference w:id="15"/>
      </w:r>
    </w:p>
    <w:p w14:paraId="4A1A33C7" w14:textId="357706D3" w:rsidR="003E2357" w:rsidRPr="003E2357" w:rsidRDefault="003E2357" w:rsidP="003E2357">
      <w:pPr>
        <w:rPr>
          <w:i/>
          <w:u w:val="single"/>
        </w:rPr>
      </w:pPr>
      <w:r w:rsidRPr="003E2357">
        <w:rPr>
          <w:i/>
          <w:u w:val="single"/>
        </w:rPr>
        <w:t xml:space="preserve">Option </w:t>
      </w:r>
      <w:r>
        <w:rPr>
          <w:i/>
          <w:u w:val="single"/>
        </w:rPr>
        <w:t>2</w:t>
      </w:r>
      <w:r w:rsidRPr="003E2357">
        <w:rPr>
          <w:i/>
          <w:u w:val="single"/>
        </w:rPr>
        <w:t xml:space="preserve"> – Bags less than </w:t>
      </w:r>
      <w:r>
        <w:rPr>
          <w:i/>
          <w:u w:val="single"/>
        </w:rPr>
        <w:t>7</w:t>
      </w:r>
      <w:r w:rsidRPr="003E2357">
        <w:rPr>
          <w:i/>
          <w:u w:val="single"/>
        </w:rPr>
        <w:t>0 microns</w:t>
      </w:r>
    </w:p>
    <w:p w14:paraId="4C201E1A" w14:textId="4888EE77" w:rsidR="002A66E4" w:rsidRDefault="002A66E4" w:rsidP="002A66E4">
      <w:pPr>
        <w:spacing w:after="120" w:line="280" w:lineRule="exact"/>
        <w:rPr>
          <w:rFonts w:cs="Arial"/>
        </w:rPr>
      </w:pPr>
      <w:r>
        <w:rPr>
          <w:rFonts w:cs="Arial"/>
        </w:rPr>
        <w:t>The majority of submitters wanted all ‘single-</w:t>
      </w:r>
      <w:r w:rsidRPr="00F6495C">
        <w:rPr>
          <w:rFonts w:cs="Arial"/>
        </w:rPr>
        <w:t>use</w:t>
      </w:r>
      <w:r>
        <w:rPr>
          <w:rFonts w:cs="Arial"/>
        </w:rPr>
        <w:t>’</w:t>
      </w:r>
      <w:r w:rsidRPr="00F6495C">
        <w:rPr>
          <w:rFonts w:cs="Arial"/>
        </w:rPr>
        <w:t xml:space="preserve"> plastic b</w:t>
      </w:r>
      <w:r>
        <w:rPr>
          <w:rFonts w:cs="Arial"/>
        </w:rPr>
        <w:t>ags banned, regardless of thicknes</w:t>
      </w:r>
      <w:r w:rsidRPr="00F6495C">
        <w:rPr>
          <w:rFonts w:cs="Arial"/>
        </w:rPr>
        <w:t xml:space="preserve">s. </w:t>
      </w:r>
      <w:r>
        <w:rPr>
          <w:rFonts w:cs="Arial"/>
        </w:rPr>
        <w:t xml:space="preserve">For those that specified a micron thickness the clear preference was 70 microns, across all submitter types. Umbrella organisation Retail New Zealand </w:t>
      </w:r>
      <w:r w:rsidR="0009103D">
        <w:rPr>
          <w:rFonts w:cs="Arial"/>
        </w:rPr>
        <w:t xml:space="preserve">also supported </w:t>
      </w:r>
      <w:r>
        <w:rPr>
          <w:rFonts w:cs="Arial"/>
        </w:rPr>
        <w:t xml:space="preserve">70 microns. </w:t>
      </w:r>
    </w:p>
    <w:p w14:paraId="4F90BD81" w14:textId="3188EEBE" w:rsidR="002A66E4" w:rsidRDefault="002A66E4" w:rsidP="002A66E4">
      <w:pPr>
        <w:spacing w:after="120" w:line="280" w:lineRule="exact"/>
        <w:rPr>
          <w:bCs/>
        </w:rPr>
      </w:pPr>
      <w:r>
        <w:rPr>
          <w:bCs/>
        </w:rPr>
        <w:t>Regulating</w:t>
      </w:r>
      <w:r w:rsidRPr="008F1958">
        <w:rPr>
          <w:bCs/>
        </w:rPr>
        <w:t xml:space="preserve"> bags that are under </w:t>
      </w:r>
      <w:r>
        <w:rPr>
          <w:bCs/>
        </w:rPr>
        <w:t>7</w:t>
      </w:r>
      <w:r w:rsidRPr="008F1958">
        <w:rPr>
          <w:bCs/>
        </w:rPr>
        <w:t xml:space="preserve">0 microns is likely to have </w:t>
      </w:r>
      <w:r>
        <w:rPr>
          <w:bCs/>
        </w:rPr>
        <w:t>the</w:t>
      </w:r>
      <w:r w:rsidRPr="008F1958">
        <w:rPr>
          <w:bCs/>
        </w:rPr>
        <w:t xml:space="preserve"> stronge</w:t>
      </w:r>
      <w:r>
        <w:rPr>
          <w:bCs/>
        </w:rPr>
        <w:t>st</w:t>
      </w:r>
      <w:r w:rsidRPr="008F1958">
        <w:rPr>
          <w:bCs/>
        </w:rPr>
        <w:t xml:space="preserve"> positive effect on advancing the phase-out of single-use plastic </w:t>
      </w:r>
      <w:r>
        <w:rPr>
          <w:bCs/>
        </w:rPr>
        <w:t>shopping</w:t>
      </w:r>
      <w:r w:rsidRPr="008F1958">
        <w:rPr>
          <w:bCs/>
        </w:rPr>
        <w:t xml:space="preserve"> bags</w:t>
      </w:r>
      <w:r w:rsidR="0009103D">
        <w:rPr>
          <w:bCs/>
        </w:rPr>
        <w:t>,</w:t>
      </w:r>
      <w:r>
        <w:rPr>
          <w:bCs/>
        </w:rPr>
        <w:t xml:space="preserve"> as</w:t>
      </w:r>
      <w:r w:rsidRPr="008F1958">
        <w:rPr>
          <w:bCs/>
        </w:rPr>
        <w:t xml:space="preserve"> this will cover the </w:t>
      </w:r>
      <w:r>
        <w:rPr>
          <w:bCs/>
        </w:rPr>
        <w:t xml:space="preserve">vast </w:t>
      </w:r>
      <w:r w:rsidRPr="008F1958">
        <w:rPr>
          <w:bCs/>
        </w:rPr>
        <w:t xml:space="preserve">majority of </w:t>
      </w:r>
      <w:r>
        <w:rPr>
          <w:bCs/>
        </w:rPr>
        <w:t xml:space="preserve">single-use </w:t>
      </w:r>
      <w:r w:rsidRPr="008F1958">
        <w:rPr>
          <w:bCs/>
        </w:rPr>
        <w:t xml:space="preserve">bags </w:t>
      </w:r>
      <w:r>
        <w:rPr>
          <w:bCs/>
        </w:rPr>
        <w:t xml:space="preserve">currently used. </w:t>
      </w:r>
      <w:r w:rsidRPr="008F1958">
        <w:rPr>
          <w:bCs/>
        </w:rPr>
        <w:t xml:space="preserve">This will leave only </w:t>
      </w:r>
      <w:r>
        <w:rPr>
          <w:bCs/>
        </w:rPr>
        <w:t xml:space="preserve">70 micron and thicker bags in use, which will encourage consumers to use them more carefully and more often.  </w:t>
      </w:r>
    </w:p>
    <w:p w14:paraId="7EC2E27D" w14:textId="460E130B" w:rsidR="002A66E4" w:rsidRDefault="002A66E4" w:rsidP="002A66E4">
      <w:pPr>
        <w:spacing w:after="120" w:line="280" w:lineRule="exact"/>
        <w:rPr>
          <w:bCs/>
        </w:rPr>
      </w:pPr>
      <w:r>
        <w:rPr>
          <w:bCs/>
        </w:rPr>
        <w:t xml:space="preserve">A 70 micron level also proves a greater incentive to remember to bring and reuse multi-use bags. Depending on the size of their shop, customers </w:t>
      </w:r>
      <w:r w:rsidR="00EE34C6">
        <w:rPr>
          <w:bCs/>
        </w:rPr>
        <w:t xml:space="preserve">who do not </w:t>
      </w:r>
      <w:r>
        <w:rPr>
          <w:bCs/>
        </w:rPr>
        <w:t xml:space="preserve">remember to bring their own bags may have to </w:t>
      </w:r>
      <w:r w:rsidR="00EE34C6">
        <w:rPr>
          <w:bCs/>
        </w:rPr>
        <w:t xml:space="preserve">buy </w:t>
      </w:r>
      <w:r>
        <w:rPr>
          <w:bCs/>
        </w:rPr>
        <w:t>five to ten multi-use bags, at cost</w:t>
      </w:r>
      <w:r w:rsidR="00EE34C6">
        <w:rPr>
          <w:bCs/>
        </w:rPr>
        <w:t>s ranging</w:t>
      </w:r>
      <w:r>
        <w:rPr>
          <w:bCs/>
        </w:rPr>
        <w:t xml:space="preserve"> from $1 per bag up to $6 or more (</w:t>
      </w:r>
      <w:r w:rsidR="00EE34C6">
        <w:rPr>
          <w:bCs/>
        </w:rPr>
        <w:t xml:space="preserve">totalling </w:t>
      </w:r>
      <w:r>
        <w:rPr>
          <w:bCs/>
        </w:rPr>
        <w:t>$5 to $60</w:t>
      </w:r>
      <w:r w:rsidR="00EE34C6">
        <w:rPr>
          <w:bCs/>
        </w:rPr>
        <w:t>,</w:t>
      </w:r>
      <w:r>
        <w:rPr>
          <w:bCs/>
        </w:rPr>
        <w:t xml:space="preserve"> depending on the </w:t>
      </w:r>
      <w:r w:rsidR="00EE34C6">
        <w:rPr>
          <w:bCs/>
        </w:rPr>
        <w:t xml:space="preserve">bag </w:t>
      </w:r>
      <w:r>
        <w:rPr>
          <w:bCs/>
        </w:rPr>
        <w:t xml:space="preserve">chosen and number </w:t>
      </w:r>
      <w:r w:rsidR="00EE34C6">
        <w:rPr>
          <w:bCs/>
        </w:rPr>
        <w:t>bought</w:t>
      </w:r>
      <w:r>
        <w:rPr>
          <w:bCs/>
        </w:rPr>
        <w:t>)</w:t>
      </w:r>
      <w:r w:rsidR="006F2F2D">
        <w:rPr>
          <w:bCs/>
        </w:rPr>
        <w:t>. C</w:t>
      </w:r>
      <w:r>
        <w:rPr>
          <w:bCs/>
        </w:rPr>
        <w:t xml:space="preserve">ompared to the 55 micron option above, at 15c per bag, </w:t>
      </w:r>
      <w:r w:rsidR="004F40F4">
        <w:rPr>
          <w:bCs/>
        </w:rPr>
        <w:t xml:space="preserve">it </w:t>
      </w:r>
      <w:r>
        <w:rPr>
          <w:bCs/>
        </w:rPr>
        <w:t xml:space="preserve">is likely to provide a </w:t>
      </w:r>
      <w:r w:rsidR="006A1E54">
        <w:rPr>
          <w:bCs/>
        </w:rPr>
        <w:t xml:space="preserve">greater </w:t>
      </w:r>
      <w:r>
        <w:rPr>
          <w:bCs/>
        </w:rPr>
        <w:t>incentive</w:t>
      </w:r>
      <w:r w:rsidR="00731C2E">
        <w:rPr>
          <w:bCs/>
        </w:rPr>
        <w:t xml:space="preserve"> to bring multi-use bags</w:t>
      </w:r>
      <w:r>
        <w:rPr>
          <w:bCs/>
        </w:rPr>
        <w:t xml:space="preserve">. </w:t>
      </w:r>
    </w:p>
    <w:p w14:paraId="5F50FC44" w14:textId="0FF067B0" w:rsidR="00DE682F" w:rsidRPr="0040038C" w:rsidRDefault="00DE682F" w:rsidP="007B771C">
      <w:pPr>
        <w:spacing w:after="120" w:line="280" w:lineRule="exact"/>
        <w:rPr>
          <w:bCs/>
        </w:rPr>
      </w:pPr>
      <w:r>
        <w:rPr>
          <w:bCs/>
        </w:rPr>
        <w:t>Non-regulatory factors will be important to ensure the overall success of the proposed phase out. In particular, we propose to provide information and support for retailers and consumers to make good choices about the alternatives to single-use plastic shopping bags, and to encourage re-use of heavier weight (</w:t>
      </w:r>
      <w:proofErr w:type="spellStart"/>
      <w:r>
        <w:rPr>
          <w:bCs/>
        </w:rPr>
        <w:t>ie</w:t>
      </w:r>
      <w:proofErr w:type="spellEnd"/>
      <w:r>
        <w:rPr>
          <w:bCs/>
        </w:rPr>
        <w:t xml:space="preserve">, above </w:t>
      </w:r>
      <w:r w:rsidR="000202F9">
        <w:rPr>
          <w:bCs/>
        </w:rPr>
        <w:t>70 microns) bags.</w:t>
      </w:r>
      <w:r>
        <w:rPr>
          <w:bCs/>
        </w:rPr>
        <w:t xml:space="preserve"> </w:t>
      </w:r>
    </w:p>
    <w:p w14:paraId="4FC940C8" w14:textId="0714314E" w:rsidR="00A46545" w:rsidRDefault="00FC2B4D" w:rsidP="007B771C">
      <w:pPr>
        <w:tabs>
          <w:tab w:val="left" w:pos="397"/>
        </w:tabs>
        <w:spacing w:after="120" w:line="280" w:lineRule="exact"/>
        <w:rPr>
          <w:bCs/>
        </w:rPr>
      </w:pPr>
      <w:r>
        <w:rPr>
          <w:bCs/>
        </w:rPr>
        <w:t>Either option</w:t>
      </w:r>
      <w:r w:rsidR="00B206BD">
        <w:rPr>
          <w:bCs/>
        </w:rPr>
        <w:t xml:space="preserve">, 50 or 70 microns, </w:t>
      </w:r>
      <w:r w:rsidR="007B771C">
        <w:rPr>
          <w:bCs/>
        </w:rPr>
        <w:t xml:space="preserve">is unlikely to place undue costs on the </w:t>
      </w:r>
      <w:r w:rsidR="00156F19">
        <w:rPr>
          <w:bCs/>
        </w:rPr>
        <w:t xml:space="preserve">wider </w:t>
      </w:r>
      <w:r w:rsidR="007B771C">
        <w:rPr>
          <w:bCs/>
        </w:rPr>
        <w:t>community, business or public funds.</w:t>
      </w:r>
      <w:r w:rsidR="005D1FD2">
        <w:rPr>
          <w:bCs/>
        </w:rPr>
        <w:t xml:space="preserve"> Consumers will need to use alternative means of transporting their purchase</w:t>
      </w:r>
      <w:r w:rsidR="00A14D9B">
        <w:rPr>
          <w:bCs/>
        </w:rPr>
        <w:t>s</w:t>
      </w:r>
      <w:r w:rsidR="005D1FD2">
        <w:rPr>
          <w:bCs/>
        </w:rPr>
        <w:t xml:space="preserve">, as free single-use plastic </w:t>
      </w:r>
      <w:r w:rsidR="00247185">
        <w:rPr>
          <w:bCs/>
        </w:rPr>
        <w:t xml:space="preserve">shopping </w:t>
      </w:r>
      <w:r w:rsidR="005D1FD2">
        <w:rPr>
          <w:bCs/>
        </w:rPr>
        <w:t>bags will no longer be available. A range of options is available, including various multi-use bags</w:t>
      </w:r>
      <w:r w:rsidR="002A705C">
        <w:rPr>
          <w:bCs/>
        </w:rPr>
        <w:t xml:space="preserve"> made from a wide range of materials</w:t>
      </w:r>
      <w:r w:rsidR="00B206BD">
        <w:rPr>
          <w:bCs/>
        </w:rPr>
        <w:t>. Individual businesses may need to adapt their practices to help their customers get used to not having free single-use bags available (</w:t>
      </w:r>
      <w:proofErr w:type="spellStart"/>
      <w:r w:rsidR="00B206BD">
        <w:rPr>
          <w:bCs/>
        </w:rPr>
        <w:t>eg</w:t>
      </w:r>
      <w:proofErr w:type="spellEnd"/>
      <w:r w:rsidR="00B206BD">
        <w:rPr>
          <w:bCs/>
        </w:rPr>
        <w:t xml:space="preserve">, changes to checkout layout). Individual importers would adapt to selling other styles and types of bags.  </w:t>
      </w:r>
    </w:p>
    <w:p w14:paraId="36325F93" w14:textId="08D4DAB4" w:rsidR="007B771C" w:rsidRDefault="00A46545" w:rsidP="007B771C">
      <w:pPr>
        <w:tabs>
          <w:tab w:val="left" w:pos="397"/>
        </w:tabs>
        <w:spacing w:after="120" w:line="280" w:lineRule="exact"/>
        <w:rPr>
          <w:bCs/>
        </w:rPr>
      </w:pPr>
      <w:r>
        <w:rPr>
          <w:bCs/>
        </w:rPr>
        <w:t xml:space="preserve">Option 2 (70 microns) would likely impose </w:t>
      </w:r>
      <w:r w:rsidR="00842BA3">
        <w:rPr>
          <w:bCs/>
        </w:rPr>
        <w:t xml:space="preserve">somewhat </w:t>
      </w:r>
      <w:r>
        <w:rPr>
          <w:bCs/>
        </w:rPr>
        <w:t>higher one-off costs on importers, manufacturers, and retailers</w:t>
      </w:r>
      <w:r w:rsidR="005D1FD2">
        <w:rPr>
          <w:bCs/>
        </w:rPr>
        <w:t xml:space="preserve"> </w:t>
      </w:r>
      <w:r>
        <w:rPr>
          <w:bCs/>
        </w:rPr>
        <w:t xml:space="preserve">as they are more likely to hold stock that they would be unable to sell (in the case of importers and manufacturers) or provide to customers anymore (in the case of retailers). This is because option 2 covers a wider range of bags. Option 2 may also have some higher ongoing adjustment costs for retailers, </w:t>
      </w:r>
      <w:r w:rsidR="00402CB2">
        <w:rPr>
          <w:bCs/>
        </w:rPr>
        <w:t xml:space="preserve">because </w:t>
      </w:r>
      <w:r>
        <w:rPr>
          <w:bCs/>
        </w:rPr>
        <w:t xml:space="preserve">thicker bags (above 70 microns) generally come at a higher cost. Retailers would need to decide whether to continue to provide a free bag for customers (at a higher cost to the retailer), or to </w:t>
      </w:r>
      <w:r w:rsidR="00842BA3">
        <w:rPr>
          <w:bCs/>
        </w:rPr>
        <w:t>charge customers for a bag (or no longer provide a bag).</w:t>
      </w:r>
    </w:p>
    <w:p w14:paraId="45896763" w14:textId="532B68D9" w:rsidR="007B771C" w:rsidRPr="00BD2F71" w:rsidRDefault="00156F19" w:rsidP="00307E51">
      <w:pPr>
        <w:tabs>
          <w:tab w:val="left" w:pos="397"/>
        </w:tabs>
        <w:spacing w:after="120" w:line="280" w:lineRule="exact"/>
        <w:rPr>
          <w:bCs/>
        </w:rPr>
      </w:pPr>
      <w:r>
        <w:rPr>
          <w:bCs/>
        </w:rPr>
        <w:t xml:space="preserve">Either option may place proportionately higher costs on </w:t>
      </w:r>
      <w:r w:rsidR="00402CB2">
        <w:rPr>
          <w:bCs/>
        </w:rPr>
        <w:t xml:space="preserve">low-income </w:t>
      </w:r>
      <w:r>
        <w:rPr>
          <w:bCs/>
        </w:rPr>
        <w:t>people who do n</w:t>
      </w:r>
      <w:r w:rsidR="00BD0967">
        <w:rPr>
          <w:bCs/>
        </w:rPr>
        <w:t>ot already have their own bags</w:t>
      </w:r>
      <w:r>
        <w:rPr>
          <w:bCs/>
        </w:rPr>
        <w:t>.</w:t>
      </w:r>
      <w:r w:rsidRPr="00156F19">
        <w:rPr>
          <w:rFonts w:cs="Arial"/>
        </w:rPr>
        <w:t xml:space="preserve"> </w:t>
      </w:r>
      <w:r w:rsidR="008F57FA">
        <w:rPr>
          <w:rFonts w:cs="Arial"/>
        </w:rPr>
        <w:t xml:space="preserve">New carry bags offered for sale in shops will be somewhat thicker and more expensive under the 70 micron compared to </w:t>
      </w:r>
      <w:r w:rsidR="00801806">
        <w:rPr>
          <w:rFonts w:cs="Arial"/>
        </w:rPr>
        <w:t xml:space="preserve">the </w:t>
      </w:r>
      <w:r w:rsidR="008F57FA">
        <w:rPr>
          <w:rFonts w:cs="Arial"/>
        </w:rPr>
        <w:t>50 micron cut</w:t>
      </w:r>
      <w:r w:rsidR="00750CB6">
        <w:rPr>
          <w:rFonts w:cs="Arial"/>
        </w:rPr>
        <w:t>-</w:t>
      </w:r>
      <w:r w:rsidR="008F57FA">
        <w:rPr>
          <w:rFonts w:cs="Arial"/>
        </w:rPr>
        <w:t xml:space="preserve">off, but prices are also generally commensurate with </w:t>
      </w:r>
      <w:r w:rsidR="00801806">
        <w:rPr>
          <w:rFonts w:cs="Arial"/>
        </w:rPr>
        <w:t xml:space="preserve">the </w:t>
      </w:r>
      <w:r w:rsidR="008F57FA">
        <w:rPr>
          <w:rFonts w:cs="Arial"/>
        </w:rPr>
        <w:t>lifetime of the product.</w:t>
      </w:r>
      <w:r w:rsidR="00D05143">
        <w:rPr>
          <w:rFonts w:cs="Arial"/>
        </w:rPr>
        <w:t xml:space="preserve"> </w:t>
      </w:r>
      <w:r w:rsidR="008F57FA">
        <w:rPr>
          <w:rFonts w:cs="Arial"/>
        </w:rPr>
        <w:t>Measures to reduce t</w:t>
      </w:r>
      <w:r w:rsidR="008C1AF2" w:rsidRPr="00547EF2">
        <w:rPr>
          <w:rFonts w:cs="Arial"/>
          <w:iCs/>
        </w:rPr>
        <w:t>his impact could</w:t>
      </w:r>
      <w:r w:rsidR="00750CB6">
        <w:rPr>
          <w:rFonts w:cs="Arial"/>
          <w:iCs/>
        </w:rPr>
        <w:t xml:space="preserve"> </w:t>
      </w:r>
      <w:r w:rsidR="008F57FA">
        <w:rPr>
          <w:rFonts w:cs="Arial"/>
          <w:iCs/>
        </w:rPr>
        <w:t>also include offering</w:t>
      </w:r>
      <w:r w:rsidR="008C1AF2">
        <w:rPr>
          <w:rFonts w:cs="Arial"/>
          <w:iCs/>
        </w:rPr>
        <w:t xml:space="preserve"> </w:t>
      </w:r>
      <w:r w:rsidR="008F57FA" w:rsidRPr="00547EF2">
        <w:rPr>
          <w:rFonts w:cs="Arial"/>
          <w:iCs/>
        </w:rPr>
        <w:t xml:space="preserve">exceptions </w:t>
      </w:r>
      <w:r w:rsidR="008F57FA">
        <w:rPr>
          <w:rFonts w:cs="Arial"/>
          <w:iCs/>
        </w:rPr>
        <w:t xml:space="preserve">or discounts to customers with </w:t>
      </w:r>
      <w:r w:rsidR="008C1AF2" w:rsidRPr="00547EF2">
        <w:rPr>
          <w:rFonts w:cs="Arial"/>
          <w:iCs/>
        </w:rPr>
        <w:t xml:space="preserve">Gold Cards or Community Service Cards </w:t>
      </w:r>
      <w:r w:rsidR="008F57FA">
        <w:rPr>
          <w:rFonts w:cs="Arial"/>
          <w:iCs/>
        </w:rPr>
        <w:t xml:space="preserve">and </w:t>
      </w:r>
      <w:r>
        <w:rPr>
          <w:rFonts w:cs="Arial"/>
        </w:rPr>
        <w:t>provid</w:t>
      </w:r>
      <w:r w:rsidR="008F57FA">
        <w:rPr>
          <w:rFonts w:cs="Arial"/>
        </w:rPr>
        <w:t>ing</w:t>
      </w:r>
      <w:r>
        <w:rPr>
          <w:rFonts w:cs="Arial"/>
        </w:rPr>
        <w:t xml:space="preserve"> multi-use </w:t>
      </w:r>
      <w:r w:rsidR="00140AA6">
        <w:rPr>
          <w:rFonts w:cs="Arial"/>
        </w:rPr>
        <w:t>shopping bags with food parcels.</w:t>
      </w:r>
      <w:r>
        <w:rPr>
          <w:rFonts w:cs="Arial"/>
        </w:rPr>
        <w:t xml:space="preserve"> </w:t>
      </w:r>
    </w:p>
    <w:p w14:paraId="19CBC954" w14:textId="77777777" w:rsidR="00635FE9" w:rsidRPr="00BD0967" w:rsidRDefault="00656CD9" w:rsidP="00BD0967">
      <w:pPr>
        <w:tabs>
          <w:tab w:val="left" w:pos="397"/>
        </w:tabs>
        <w:spacing w:after="120" w:line="280" w:lineRule="exact"/>
        <w:rPr>
          <w:bCs/>
        </w:rPr>
      </w:pPr>
      <w:r w:rsidRPr="00BD0967">
        <w:rPr>
          <w:bCs/>
        </w:rPr>
        <w:t>A</w:t>
      </w:r>
      <w:r w:rsidR="00635FE9" w:rsidRPr="00BD0967">
        <w:rPr>
          <w:bCs/>
        </w:rPr>
        <w:t>dvice from the Waste Advisory Board highlighted a potential unintended consequence for lightweight (under 70 micron) synthetic fabric multi-use shopping bags that are designed to fold into a small parcel for ease of putting in a purse or pocket</w:t>
      </w:r>
      <w:r w:rsidR="004527D8" w:rsidRPr="00BD0967">
        <w:rPr>
          <w:bCs/>
        </w:rPr>
        <w:t xml:space="preserve"> to make it easy to have a reusable bag on hand for shopping</w:t>
      </w:r>
      <w:r w:rsidR="00635FE9" w:rsidRPr="00BD0967">
        <w:rPr>
          <w:bCs/>
        </w:rPr>
        <w:t xml:space="preserve">. These bags are </w:t>
      </w:r>
      <w:r w:rsidR="004527D8" w:rsidRPr="00BD0967">
        <w:rPr>
          <w:bCs/>
        </w:rPr>
        <w:t xml:space="preserve">designed for long life but are also </w:t>
      </w:r>
      <w:r w:rsidR="00635FE9" w:rsidRPr="00BD0967">
        <w:rPr>
          <w:bCs/>
        </w:rPr>
        <w:t>typically made of fabric which is between 50 and 70 microns, and can be under 50 microns. The Waste Advisory Board recommended an exemption for these bags.</w:t>
      </w:r>
    </w:p>
    <w:p w14:paraId="2F219EE3" w14:textId="07F8659E" w:rsidR="009863A1" w:rsidRDefault="009863A1">
      <w:pPr>
        <w:spacing w:after="0" w:line="240" w:lineRule="auto"/>
        <w:rPr>
          <w:b/>
          <w:bCs/>
          <w:i/>
        </w:rPr>
      </w:pPr>
    </w:p>
    <w:p w14:paraId="39F76CF7" w14:textId="6C94D6BD" w:rsidR="007B771C" w:rsidRPr="0040038C" w:rsidRDefault="007B771C" w:rsidP="009863A1">
      <w:pPr>
        <w:keepNext/>
        <w:tabs>
          <w:tab w:val="left" w:pos="397"/>
        </w:tabs>
        <w:spacing w:after="120" w:line="280" w:lineRule="exact"/>
        <w:rPr>
          <w:b/>
          <w:bCs/>
          <w:i/>
        </w:rPr>
      </w:pPr>
      <w:r w:rsidRPr="0040038C">
        <w:rPr>
          <w:b/>
          <w:bCs/>
          <w:i/>
        </w:rPr>
        <w:t>Impact Analysis: Bag thickness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1512"/>
        <w:gridCol w:w="1512"/>
      </w:tblGrid>
      <w:tr w:rsidR="00140AA6" w:rsidRPr="005910FD" w14:paraId="7E1481A9" w14:textId="77777777" w:rsidTr="00DC18C6">
        <w:tc>
          <w:tcPr>
            <w:tcW w:w="3332" w:type="pct"/>
            <w:shd w:val="clear" w:color="auto" w:fill="99CDDD"/>
          </w:tcPr>
          <w:p w14:paraId="641C0437" w14:textId="77777777" w:rsidR="00140AA6" w:rsidRPr="00384E9B" w:rsidRDefault="00140AA6" w:rsidP="00A42D23">
            <w:pPr>
              <w:spacing w:before="60" w:after="60" w:line="276" w:lineRule="auto"/>
              <w:jc w:val="both"/>
              <w:rPr>
                <w:rFonts w:cs="Arial"/>
                <w:b/>
                <w:color w:val="FFFFFF"/>
                <w:sz w:val="20"/>
                <w:szCs w:val="24"/>
              </w:rPr>
            </w:pPr>
          </w:p>
        </w:tc>
        <w:tc>
          <w:tcPr>
            <w:tcW w:w="834" w:type="pct"/>
            <w:shd w:val="clear" w:color="auto" w:fill="99CDDD"/>
            <w:vAlign w:val="center"/>
          </w:tcPr>
          <w:p w14:paraId="21DA8C92" w14:textId="77777777" w:rsidR="00140AA6" w:rsidRPr="00384E9B" w:rsidRDefault="00140AA6" w:rsidP="00B74806">
            <w:pPr>
              <w:spacing w:before="60" w:after="60" w:line="276" w:lineRule="auto"/>
              <w:jc w:val="center"/>
              <w:rPr>
                <w:rFonts w:cs="Arial"/>
                <w:b/>
                <w:color w:val="000000"/>
                <w:sz w:val="20"/>
                <w:szCs w:val="24"/>
              </w:rPr>
            </w:pPr>
            <w:r>
              <w:rPr>
                <w:rFonts w:cs="Arial"/>
                <w:b/>
                <w:color w:val="000000"/>
                <w:sz w:val="20"/>
                <w:szCs w:val="24"/>
              </w:rPr>
              <w:t>Bags under 50 microns</w:t>
            </w:r>
          </w:p>
        </w:tc>
        <w:tc>
          <w:tcPr>
            <w:tcW w:w="834" w:type="pct"/>
            <w:shd w:val="clear" w:color="auto" w:fill="99CDDD"/>
            <w:vAlign w:val="center"/>
          </w:tcPr>
          <w:p w14:paraId="584F87AB" w14:textId="77777777" w:rsidR="00140AA6" w:rsidRPr="00384E9B" w:rsidRDefault="00140AA6" w:rsidP="00B74806">
            <w:pPr>
              <w:spacing w:before="60" w:after="60" w:line="276" w:lineRule="auto"/>
              <w:jc w:val="center"/>
              <w:rPr>
                <w:rFonts w:cs="Arial"/>
                <w:b/>
                <w:color w:val="000000"/>
                <w:sz w:val="20"/>
                <w:szCs w:val="24"/>
              </w:rPr>
            </w:pPr>
            <w:r>
              <w:rPr>
                <w:rFonts w:cs="Arial"/>
                <w:b/>
                <w:color w:val="000000"/>
                <w:sz w:val="20"/>
                <w:szCs w:val="24"/>
              </w:rPr>
              <w:t>Bags under 70 microns</w:t>
            </w:r>
          </w:p>
        </w:tc>
      </w:tr>
      <w:tr w:rsidR="00140AA6" w:rsidRPr="00DD7964" w14:paraId="333E84F3" w14:textId="77777777" w:rsidTr="00DC18C6">
        <w:tc>
          <w:tcPr>
            <w:tcW w:w="3332" w:type="pct"/>
            <w:shd w:val="clear" w:color="auto" w:fill="99CDDD"/>
          </w:tcPr>
          <w:p w14:paraId="73BF28BA" w14:textId="77777777" w:rsidR="00140AA6" w:rsidRPr="007A7B7A" w:rsidRDefault="00140AA6">
            <w:pPr>
              <w:spacing w:before="60" w:after="60" w:line="240" w:lineRule="auto"/>
              <w:rPr>
                <w:rFonts w:cs="Arial"/>
                <w:b/>
                <w:i/>
                <w:color w:val="000000"/>
                <w:sz w:val="20"/>
                <w:szCs w:val="24"/>
              </w:rPr>
            </w:pPr>
            <w:r>
              <w:rPr>
                <w:rFonts w:cs="Arial"/>
                <w:b/>
                <w:color w:val="000000"/>
                <w:sz w:val="20"/>
                <w:szCs w:val="24"/>
              </w:rPr>
              <w:t xml:space="preserve">Substantially advances the phase-out of single-use plastic </w:t>
            </w:r>
            <w:r w:rsidRPr="00656CD9">
              <w:rPr>
                <w:rFonts w:cs="Arial"/>
                <w:b/>
                <w:color w:val="000000"/>
                <w:sz w:val="20"/>
                <w:szCs w:val="24"/>
              </w:rPr>
              <w:t>shopping</w:t>
            </w:r>
            <w:r>
              <w:rPr>
                <w:rFonts w:cs="Arial"/>
                <w:b/>
                <w:color w:val="000000"/>
                <w:sz w:val="20"/>
                <w:szCs w:val="24"/>
              </w:rPr>
              <w:t xml:space="preserve"> bags </w:t>
            </w:r>
          </w:p>
        </w:tc>
        <w:tc>
          <w:tcPr>
            <w:tcW w:w="834" w:type="pct"/>
            <w:shd w:val="clear" w:color="auto" w:fill="auto"/>
            <w:vAlign w:val="center"/>
          </w:tcPr>
          <w:p w14:paraId="078A5CFD" w14:textId="77777777" w:rsidR="00140AA6" w:rsidRPr="00DD7964" w:rsidRDefault="00140AA6" w:rsidP="00A42D23">
            <w:pPr>
              <w:pStyle w:val="TableText"/>
              <w:spacing w:line="276" w:lineRule="auto"/>
              <w:jc w:val="center"/>
            </w:pPr>
            <w:r w:rsidRPr="00373CD5">
              <w:rPr>
                <w:rFonts w:cs="Arial"/>
                <w:b/>
                <w:color w:val="00B050"/>
              </w:rPr>
              <w:t>+</w:t>
            </w:r>
          </w:p>
        </w:tc>
        <w:tc>
          <w:tcPr>
            <w:tcW w:w="834" w:type="pct"/>
            <w:shd w:val="clear" w:color="auto" w:fill="auto"/>
            <w:vAlign w:val="center"/>
          </w:tcPr>
          <w:p w14:paraId="621DFB4C" w14:textId="77777777" w:rsidR="00140AA6" w:rsidRPr="00DD7964" w:rsidRDefault="00140AA6" w:rsidP="00A42D23">
            <w:pPr>
              <w:pStyle w:val="TableText"/>
              <w:spacing w:line="276" w:lineRule="auto"/>
              <w:jc w:val="center"/>
            </w:pPr>
            <w:r w:rsidRPr="00373CD5">
              <w:rPr>
                <w:rFonts w:cs="Arial"/>
                <w:b/>
                <w:color w:val="00B050"/>
              </w:rPr>
              <w:t>++</w:t>
            </w:r>
          </w:p>
        </w:tc>
      </w:tr>
      <w:tr w:rsidR="00140AA6" w:rsidRPr="00DD7964" w14:paraId="1B4042C0" w14:textId="77777777" w:rsidTr="00DC18C6">
        <w:tc>
          <w:tcPr>
            <w:tcW w:w="3332" w:type="pct"/>
            <w:shd w:val="clear" w:color="auto" w:fill="99CDDD"/>
          </w:tcPr>
          <w:p w14:paraId="007F3F2A" w14:textId="77777777" w:rsidR="00140AA6" w:rsidRPr="007A7B7A" w:rsidRDefault="00140AA6">
            <w:pPr>
              <w:spacing w:before="60" w:after="60" w:line="240" w:lineRule="auto"/>
              <w:rPr>
                <w:rFonts w:cs="Arial"/>
                <w:b/>
                <w:i/>
                <w:color w:val="000000"/>
                <w:sz w:val="20"/>
                <w:szCs w:val="24"/>
              </w:rPr>
            </w:pPr>
            <w:r>
              <w:rPr>
                <w:rFonts w:cs="Arial"/>
                <w:b/>
                <w:color w:val="000000"/>
                <w:sz w:val="20"/>
                <w:szCs w:val="24"/>
              </w:rPr>
              <w:t xml:space="preserve">No undue costs on community, business or public funds </w:t>
            </w:r>
          </w:p>
        </w:tc>
        <w:tc>
          <w:tcPr>
            <w:tcW w:w="834" w:type="pct"/>
            <w:shd w:val="clear" w:color="auto" w:fill="auto"/>
            <w:vAlign w:val="center"/>
          </w:tcPr>
          <w:p w14:paraId="2CA6DC6A" w14:textId="77777777" w:rsidR="00140AA6" w:rsidRPr="00DD7964" w:rsidRDefault="00140AA6" w:rsidP="00A42D23">
            <w:pPr>
              <w:pStyle w:val="TableText"/>
              <w:spacing w:line="276" w:lineRule="auto"/>
              <w:jc w:val="center"/>
            </w:pPr>
            <w:r w:rsidRPr="00373CD5">
              <w:rPr>
                <w:rFonts w:cs="Arial"/>
                <w:b/>
                <w:color w:val="FF0000"/>
              </w:rPr>
              <w:t>-</w:t>
            </w:r>
          </w:p>
        </w:tc>
        <w:tc>
          <w:tcPr>
            <w:tcW w:w="834" w:type="pct"/>
            <w:shd w:val="clear" w:color="auto" w:fill="auto"/>
            <w:vAlign w:val="center"/>
          </w:tcPr>
          <w:p w14:paraId="1862A428" w14:textId="77777777" w:rsidR="00140AA6" w:rsidRPr="00DD7964" w:rsidRDefault="00140AA6" w:rsidP="00A42D23">
            <w:pPr>
              <w:pStyle w:val="TableText"/>
              <w:spacing w:line="276" w:lineRule="auto"/>
              <w:jc w:val="center"/>
            </w:pPr>
            <w:r w:rsidRPr="00373CD5">
              <w:rPr>
                <w:rFonts w:cs="Arial"/>
                <w:b/>
                <w:color w:val="FF0000"/>
              </w:rPr>
              <w:t xml:space="preserve">- </w:t>
            </w:r>
          </w:p>
        </w:tc>
      </w:tr>
    </w:tbl>
    <w:p w14:paraId="0B4D8207" w14:textId="77777777" w:rsidR="007B771C" w:rsidRDefault="007B771C" w:rsidP="007B771C">
      <w:pPr>
        <w:pStyle w:val="spacer"/>
      </w:pPr>
    </w:p>
    <w:p w14:paraId="37820033" w14:textId="77777777" w:rsidR="007B771C" w:rsidRPr="0049467D" w:rsidRDefault="007B771C" w:rsidP="00A75BB3">
      <w:pPr>
        <w:spacing w:after="0" w:line="276" w:lineRule="auto"/>
        <w:rPr>
          <w:rFonts w:cs="Arial"/>
          <w:b/>
          <w:sz w:val="20"/>
        </w:rPr>
      </w:pPr>
      <w:r w:rsidRPr="0049467D">
        <w:rPr>
          <w:rFonts w:cs="Arial"/>
          <w:b/>
          <w:sz w:val="20"/>
        </w:rPr>
        <w:t>Key:</w:t>
      </w:r>
    </w:p>
    <w:p w14:paraId="114E88D2" w14:textId="77777777" w:rsidR="007B771C" w:rsidRPr="0049467D" w:rsidRDefault="007B771C" w:rsidP="00A75BB3">
      <w:pPr>
        <w:spacing w:after="0" w:line="276" w:lineRule="auto"/>
        <w:rPr>
          <w:rFonts w:cs="Arial"/>
          <w:sz w:val="20"/>
        </w:rPr>
      </w:pPr>
      <w:r w:rsidRPr="00373CD5">
        <w:rPr>
          <w:rFonts w:cs="Arial"/>
          <w:b/>
          <w:color w:val="00B050"/>
          <w:sz w:val="20"/>
        </w:rPr>
        <w:t>++</w:t>
      </w:r>
      <w:r w:rsidRPr="0049467D">
        <w:rPr>
          <w:rFonts w:cs="Arial"/>
          <w:sz w:val="20"/>
        </w:rPr>
        <w:t xml:space="preserve">  </w:t>
      </w:r>
      <w:r w:rsidRPr="0049467D">
        <w:rPr>
          <w:rFonts w:cs="Arial"/>
          <w:sz w:val="20"/>
        </w:rPr>
        <w:tab/>
      </w:r>
      <w:proofErr w:type="gramStart"/>
      <w:r w:rsidRPr="0049467D">
        <w:rPr>
          <w:rFonts w:cs="Arial"/>
          <w:sz w:val="20"/>
        </w:rPr>
        <w:t>much</w:t>
      </w:r>
      <w:proofErr w:type="gramEnd"/>
      <w:r w:rsidRPr="0049467D">
        <w:rPr>
          <w:rFonts w:cs="Arial"/>
          <w:sz w:val="20"/>
        </w:rPr>
        <w:t xml:space="preserve"> better </w:t>
      </w:r>
      <w:r w:rsidR="00635FE9">
        <w:rPr>
          <w:rFonts w:cs="Arial"/>
          <w:sz w:val="20"/>
        </w:rPr>
        <w:t xml:space="preserve">than </w:t>
      </w:r>
      <w:r w:rsidRPr="0049467D">
        <w:rPr>
          <w:rFonts w:cs="Arial"/>
          <w:sz w:val="20"/>
        </w:rPr>
        <w:t>the status quo</w:t>
      </w:r>
    </w:p>
    <w:p w14:paraId="0CE3ABD2" w14:textId="77777777" w:rsidR="007B771C" w:rsidRPr="0049467D" w:rsidRDefault="007B771C" w:rsidP="00A75BB3">
      <w:pPr>
        <w:spacing w:after="0" w:line="276" w:lineRule="auto"/>
        <w:rPr>
          <w:rFonts w:cs="Arial"/>
          <w:sz w:val="20"/>
        </w:rPr>
      </w:pPr>
      <w:r w:rsidRPr="00373CD5">
        <w:rPr>
          <w:rFonts w:cs="Arial"/>
          <w:b/>
          <w:color w:val="00B050"/>
          <w:sz w:val="20"/>
        </w:rPr>
        <w:t>+</w:t>
      </w:r>
      <w:r w:rsidRPr="00373CD5">
        <w:rPr>
          <w:rFonts w:cs="Arial"/>
          <w:color w:val="00B050"/>
          <w:sz w:val="20"/>
        </w:rPr>
        <w:t xml:space="preserve"> </w:t>
      </w:r>
      <w:r w:rsidR="00635FE9">
        <w:rPr>
          <w:rFonts w:cs="Arial"/>
          <w:sz w:val="20"/>
        </w:rPr>
        <w:t xml:space="preserve"> </w:t>
      </w:r>
      <w:r w:rsidR="00635FE9">
        <w:rPr>
          <w:rFonts w:cs="Arial"/>
          <w:sz w:val="20"/>
        </w:rPr>
        <w:tab/>
      </w:r>
      <w:proofErr w:type="gramStart"/>
      <w:r w:rsidR="00635FE9">
        <w:rPr>
          <w:rFonts w:cs="Arial"/>
          <w:sz w:val="20"/>
        </w:rPr>
        <w:t>better</w:t>
      </w:r>
      <w:proofErr w:type="gramEnd"/>
      <w:r w:rsidR="00635FE9">
        <w:rPr>
          <w:rFonts w:cs="Arial"/>
          <w:sz w:val="20"/>
        </w:rPr>
        <w:t xml:space="preserve"> than </w:t>
      </w:r>
      <w:r w:rsidRPr="0049467D">
        <w:rPr>
          <w:rFonts w:cs="Arial"/>
          <w:sz w:val="20"/>
        </w:rPr>
        <w:t>the status quo</w:t>
      </w:r>
    </w:p>
    <w:p w14:paraId="15434E5D" w14:textId="77777777" w:rsidR="007B771C" w:rsidRPr="0049467D" w:rsidRDefault="007B771C" w:rsidP="00A75BB3">
      <w:pPr>
        <w:spacing w:after="0" w:line="276" w:lineRule="auto"/>
        <w:rPr>
          <w:rFonts w:cs="Arial"/>
          <w:sz w:val="20"/>
        </w:rPr>
      </w:pPr>
      <w:r w:rsidRPr="0049467D">
        <w:rPr>
          <w:rFonts w:cs="Arial"/>
          <w:b/>
          <w:sz w:val="20"/>
        </w:rPr>
        <w:t>0</w:t>
      </w:r>
      <w:r w:rsidR="00635FE9">
        <w:rPr>
          <w:rFonts w:cs="Arial"/>
          <w:sz w:val="20"/>
        </w:rPr>
        <w:t xml:space="preserve">  </w:t>
      </w:r>
      <w:r w:rsidR="00635FE9">
        <w:rPr>
          <w:rFonts w:cs="Arial"/>
          <w:sz w:val="20"/>
        </w:rPr>
        <w:tab/>
        <w:t xml:space="preserve">about the same </w:t>
      </w:r>
      <w:r w:rsidRPr="0049467D">
        <w:rPr>
          <w:rFonts w:cs="Arial"/>
          <w:sz w:val="20"/>
        </w:rPr>
        <w:t>the status quo</w:t>
      </w:r>
    </w:p>
    <w:p w14:paraId="52220CAB" w14:textId="77777777" w:rsidR="007B771C" w:rsidRPr="0049467D" w:rsidRDefault="007B771C" w:rsidP="00A75BB3">
      <w:pPr>
        <w:spacing w:after="0" w:line="276" w:lineRule="auto"/>
        <w:rPr>
          <w:rFonts w:cs="Arial"/>
          <w:sz w:val="20"/>
        </w:rPr>
      </w:pPr>
      <w:r w:rsidRPr="00373CD5">
        <w:rPr>
          <w:rFonts w:cs="Arial"/>
          <w:b/>
          <w:color w:val="FF0000"/>
          <w:sz w:val="20"/>
        </w:rPr>
        <w:t>-</w:t>
      </w:r>
      <w:r w:rsidR="00635FE9">
        <w:rPr>
          <w:rFonts w:cs="Arial"/>
          <w:sz w:val="20"/>
        </w:rPr>
        <w:t xml:space="preserve"> </w:t>
      </w:r>
      <w:r w:rsidR="00635FE9">
        <w:rPr>
          <w:rFonts w:cs="Arial"/>
          <w:sz w:val="20"/>
        </w:rPr>
        <w:tab/>
      </w:r>
      <w:proofErr w:type="gramStart"/>
      <w:r w:rsidR="00635FE9">
        <w:rPr>
          <w:rFonts w:cs="Arial"/>
          <w:sz w:val="20"/>
        </w:rPr>
        <w:t>worse</w:t>
      </w:r>
      <w:proofErr w:type="gramEnd"/>
      <w:r w:rsidR="00635FE9">
        <w:rPr>
          <w:rFonts w:cs="Arial"/>
          <w:sz w:val="20"/>
        </w:rPr>
        <w:t xml:space="preserve"> than </w:t>
      </w:r>
      <w:r w:rsidRPr="0049467D">
        <w:rPr>
          <w:rFonts w:cs="Arial"/>
          <w:sz w:val="20"/>
        </w:rPr>
        <w:t>the status quo</w:t>
      </w:r>
    </w:p>
    <w:p w14:paraId="7F4CCF83" w14:textId="77777777" w:rsidR="007B771C" w:rsidRDefault="007B771C" w:rsidP="00A75BB3">
      <w:pPr>
        <w:spacing w:after="0" w:line="276" w:lineRule="auto"/>
        <w:rPr>
          <w:rFonts w:cs="Arial"/>
          <w:sz w:val="20"/>
        </w:rPr>
      </w:pPr>
      <w:r w:rsidRPr="00373CD5">
        <w:rPr>
          <w:rFonts w:cs="Arial"/>
          <w:b/>
          <w:color w:val="FF0000"/>
          <w:sz w:val="20"/>
        </w:rPr>
        <w:t>- -</w:t>
      </w:r>
      <w:r w:rsidR="00635FE9">
        <w:rPr>
          <w:rFonts w:cs="Arial"/>
          <w:sz w:val="20"/>
        </w:rPr>
        <w:t xml:space="preserve"> </w:t>
      </w:r>
      <w:r w:rsidR="00635FE9">
        <w:rPr>
          <w:rFonts w:cs="Arial"/>
          <w:sz w:val="20"/>
        </w:rPr>
        <w:tab/>
        <w:t xml:space="preserve">much worse than </w:t>
      </w:r>
      <w:r w:rsidRPr="0049467D">
        <w:rPr>
          <w:rFonts w:cs="Arial"/>
          <w:sz w:val="20"/>
        </w:rPr>
        <w:t>the status quo</w:t>
      </w:r>
    </w:p>
    <w:p w14:paraId="40C1DB29" w14:textId="77777777" w:rsidR="007B771C" w:rsidRDefault="007B771C" w:rsidP="007B771C">
      <w:pPr>
        <w:spacing w:line="280" w:lineRule="exact"/>
      </w:pPr>
      <w:r>
        <w:rPr>
          <w:i/>
          <w:u w:val="single"/>
        </w:rPr>
        <w:t>Proposed option</w:t>
      </w:r>
    </w:p>
    <w:p w14:paraId="6801966C" w14:textId="5D1AA126" w:rsidR="007B771C" w:rsidRDefault="007B771C" w:rsidP="007B771C">
      <w:pPr>
        <w:spacing w:line="280" w:lineRule="exact"/>
      </w:pPr>
      <w:r>
        <w:t xml:space="preserve">We recommend </w:t>
      </w:r>
      <w:r w:rsidR="00842BA3">
        <w:t xml:space="preserve">Option 2 – </w:t>
      </w:r>
      <w:r>
        <w:t xml:space="preserve">to implement a mandatory phase-out of plastic </w:t>
      </w:r>
      <w:r w:rsidR="00247185">
        <w:rPr>
          <w:bCs/>
        </w:rPr>
        <w:t>shopping</w:t>
      </w:r>
      <w:r w:rsidR="00247185">
        <w:t xml:space="preserve"> </w:t>
      </w:r>
      <w:r>
        <w:t xml:space="preserve">bags of a thickness of </w:t>
      </w:r>
      <w:r w:rsidR="00247185">
        <w:t>7</w:t>
      </w:r>
      <w:r>
        <w:t xml:space="preserve">0 microns and under. This is because this option substantially advances the phase-out of single-use plastic </w:t>
      </w:r>
      <w:r w:rsidR="00247185">
        <w:rPr>
          <w:bCs/>
        </w:rPr>
        <w:t>shopping</w:t>
      </w:r>
      <w:r w:rsidR="00247185">
        <w:t xml:space="preserve"> </w:t>
      </w:r>
      <w:r>
        <w:t>bags</w:t>
      </w:r>
      <w:r w:rsidR="00247185">
        <w:t xml:space="preserve"> and is supported by </w:t>
      </w:r>
      <w:r w:rsidR="00676E24">
        <w:t xml:space="preserve">the majority of </w:t>
      </w:r>
      <w:r w:rsidR="00247185">
        <w:t>submissions</w:t>
      </w:r>
      <w:r w:rsidR="00676E24">
        <w:t xml:space="preserve"> </w:t>
      </w:r>
      <w:r w:rsidR="00534887">
        <w:t xml:space="preserve">that </w:t>
      </w:r>
      <w:r w:rsidR="00676E24">
        <w:t>addressed the question of thickness</w:t>
      </w:r>
      <w:r w:rsidR="00534887">
        <w:t>,</w:t>
      </w:r>
      <w:r w:rsidR="00247185">
        <w:t xml:space="preserve"> including Retail NZ</w:t>
      </w:r>
      <w:r w:rsidR="00676E24">
        <w:t xml:space="preserve">, </w:t>
      </w:r>
      <w:r>
        <w:t>businesses</w:t>
      </w:r>
      <w:r w:rsidR="00676E24">
        <w:t>, and local authorities</w:t>
      </w:r>
      <w:r>
        <w:t xml:space="preserve">. This option will also provide a </w:t>
      </w:r>
      <w:r w:rsidR="00B32067">
        <w:t xml:space="preserve">greater </w:t>
      </w:r>
      <w:r>
        <w:t xml:space="preserve">market incentive to consumers to reuse </w:t>
      </w:r>
      <w:r w:rsidR="00B32067">
        <w:t xml:space="preserve">their </w:t>
      </w:r>
      <w:r>
        <w:t xml:space="preserve">shopping bags. </w:t>
      </w:r>
    </w:p>
    <w:p w14:paraId="1FF4A7F8" w14:textId="77777777" w:rsidR="00F0204E" w:rsidRDefault="00635FE9" w:rsidP="007B771C">
      <w:pPr>
        <w:spacing w:line="280" w:lineRule="exact"/>
        <w:rPr>
          <w:i/>
          <w:u w:val="single"/>
        </w:rPr>
      </w:pPr>
      <w:r>
        <w:rPr>
          <w:i/>
          <w:u w:val="single"/>
        </w:rPr>
        <w:t>Proposed ex</w:t>
      </w:r>
      <w:r w:rsidR="00F0204E">
        <w:rPr>
          <w:i/>
          <w:u w:val="single"/>
        </w:rPr>
        <w:t>e</w:t>
      </w:r>
      <w:r w:rsidR="00673771">
        <w:rPr>
          <w:i/>
          <w:u w:val="single"/>
        </w:rPr>
        <w:t>m</w:t>
      </w:r>
      <w:r w:rsidR="00F0204E">
        <w:rPr>
          <w:i/>
          <w:u w:val="single"/>
        </w:rPr>
        <w:t>ption</w:t>
      </w:r>
    </w:p>
    <w:p w14:paraId="07DC9CCE" w14:textId="77777777" w:rsidR="00F0204E" w:rsidRDefault="00F0204E" w:rsidP="000C129D">
      <w:pPr>
        <w:spacing w:after="120" w:line="240" w:lineRule="auto"/>
        <w:jc w:val="both"/>
        <w:rPr>
          <w:rFonts w:cs="Arial"/>
          <w:iCs/>
          <w:color w:val="000000" w:themeColor="text1"/>
          <w:sz w:val="24"/>
          <w:lang w:val="en-NZ" w:eastAsia="en-US"/>
        </w:rPr>
      </w:pPr>
      <w:r>
        <w:rPr>
          <w:rFonts w:cs="Arial"/>
          <w:color w:val="000000" w:themeColor="text1"/>
        </w:rPr>
        <w:t xml:space="preserve">It is proposed to exempt lightweight (under 70 micron) synthetic fabric multi-use shopping bags that are designed to fold into a small parcel for ease of putting in a purse or pocket. </w:t>
      </w:r>
    </w:p>
    <w:p w14:paraId="357837CB" w14:textId="77777777" w:rsidR="007B771C" w:rsidRDefault="008C1AF2" w:rsidP="007C039F">
      <w:pPr>
        <w:pStyle w:val="Heading3"/>
      </w:pPr>
      <w:bookmarkStart w:id="42" w:name="_Coverage_of_the"/>
      <w:bookmarkStart w:id="43" w:name="_Toc526429624"/>
      <w:bookmarkStart w:id="44" w:name="_Toc528052387"/>
      <w:bookmarkStart w:id="45" w:name="_Toc528670875"/>
      <w:bookmarkEnd w:id="42"/>
      <w:r>
        <w:t>Type of retailers to be covered</w:t>
      </w:r>
      <w:bookmarkEnd w:id="43"/>
      <w:bookmarkEnd w:id="44"/>
      <w:bookmarkEnd w:id="45"/>
    </w:p>
    <w:p w14:paraId="60013FFC" w14:textId="77777777" w:rsidR="007B771C" w:rsidRDefault="007B771C" w:rsidP="007B771C">
      <w:pPr>
        <w:pStyle w:val="BodyText"/>
        <w:spacing w:before="100" w:after="100"/>
      </w:pPr>
      <w:r w:rsidRPr="00120295">
        <w:t>In establishing a phase out, it is essential to define who and what the new rules would apply to. Most plastic shopping bag control models from overseas require retailers to implement the changes</w:t>
      </w:r>
      <w:r>
        <w:t xml:space="preserve">. This means that the </w:t>
      </w:r>
      <w:r w:rsidRPr="00120295">
        <w:t>liable parties are retailers</w:t>
      </w:r>
      <w:r>
        <w:t>,</w:t>
      </w:r>
      <w:r w:rsidRPr="00120295">
        <w:t xml:space="preserve"> not consumers.  </w:t>
      </w:r>
    </w:p>
    <w:p w14:paraId="2B008D33" w14:textId="77777777" w:rsidR="00347304" w:rsidRDefault="00B32067" w:rsidP="007B771C">
      <w:pPr>
        <w:pStyle w:val="BodyText"/>
      </w:pPr>
      <w:r>
        <w:t>Some jurisdictions that have controlled single-use plastic shopping bags began with large retailers.</w:t>
      </w:r>
      <w:r w:rsidRPr="00120295">
        <w:rPr>
          <w:vertAlign w:val="superscript"/>
        </w:rPr>
        <w:footnoteReference w:id="16"/>
      </w:r>
      <w:r w:rsidR="00D05143">
        <w:t xml:space="preserve"> </w:t>
      </w:r>
      <w:r>
        <w:t xml:space="preserve">An argument can be made that smaller businesses may face disproportionate costs of changing over to a new regime, </w:t>
      </w:r>
      <w:r w:rsidR="00347304">
        <w:t xml:space="preserve">that </w:t>
      </w:r>
      <w:r>
        <w:t xml:space="preserve">a majority of single-use bags by count are </w:t>
      </w:r>
      <w:r w:rsidR="007B771C" w:rsidRPr="00120295">
        <w:t>distribute</w:t>
      </w:r>
      <w:r>
        <w:t xml:space="preserve">d by larger retailers due to </w:t>
      </w:r>
      <w:r w:rsidR="007B771C" w:rsidRPr="00120295">
        <w:t>their large sales volumes</w:t>
      </w:r>
      <w:r>
        <w:t xml:space="preserve">, and </w:t>
      </w:r>
      <w:r w:rsidR="00347304">
        <w:t xml:space="preserve">that </w:t>
      </w:r>
      <w:r>
        <w:t xml:space="preserve">enforcement costs </w:t>
      </w:r>
      <w:r w:rsidR="002E201E">
        <w:t xml:space="preserve">will be </w:t>
      </w:r>
      <w:r>
        <w:t xml:space="preserve">higher with more retailers covered. </w:t>
      </w:r>
    </w:p>
    <w:p w14:paraId="4F35B185" w14:textId="6F1A2EBF" w:rsidR="00347304" w:rsidRDefault="00656CD9" w:rsidP="007B771C">
      <w:pPr>
        <w:pStyle w:val="BodyText"/>
      </w:pPr>
      <w:r>
        <w:t xml:space="preserve">Conversely, it </w:t>
      </w:r>
      <w:r w:rsidR="00B32067">
        <w:t xml:space="preserve">can also be argued that </w:t>
      </w:r>
      <w:r w:rsidR="007B771C" w:rsidRPr="00120295">
        <w:t xml:space="preserve">the bags that </w:t>
      </w:r>
      <w:r w:rsidR="00F84757">
        <w:t xml:space="preserve">particularly </w:t>
      </w:r>
      <w:r w:rsidR="007B771C" w:rsidRPr="00120295">
        <w:t xml:space="preserve">contribute to </w:t>
      </w:r>
      <w:r w:rsidR="007B771C">
        <w:t xml:space="preserve">environmental degradation </w:t>
      </w:r>
      <w:r w:rsidR="00F84757">
        <w:t>(for example</w:t>
      </w:r>
      <w:r w:rsidR="002E6FF3">
        <w:t>,</w:t>
      </w:r>
      <w:r w:rsidR="00F84757">
        <w:t xml:space="preserve"> by being littered in vulnerable environments) </w:t>
      </w:r>
      <w:r w:rsidR="007B771C">
        <w:t xml:space="preserve">can </w:t>
      </w:r>
      <w:r w:rsidR="00F84757">
        <w:t xml:space="preserve">disproportionately </w:t>
      </w:r>
      <w:r w:rsidR="007B771C">
        <w:t>come from smaller businesses</w:t>
      </w:r>
      <w:r w:rsidR="00F84757">
        <w:t xml:space="preserve"> (for example, </w:t>
      </w:r>
      <w:r w:rsidR="0032081B">
        <w:t xml:space="preserve">dairies, </w:t>
      </w:r>
      <w:r w:rsidR="00F84757">
        <w:t>takeaway shops</w:t>
      </w:r>
      <w:r w:rsidR="00F01120">
        <w:t xml:space="preserve"> and other fast food establishments</w:t>
      </w:r>
      <w:r w:rsidR="00F84757">
        <w:t>)</w:t>
      </w:r>
      <w:r w:rsidR="00347304">
        <w:t xml:space="preserve">, and more importantly that </w:t>
      </w:r>
      <w:r w:rsidR="002E201E">
        <w:t xml:space="preserve">a bag from any retailer entering the environment </w:t>
      </w:r>
      <w:r w:rsidR="00187505">
        <w:t>can creat</w:t>
      </w:r>
      <w:r w:rsidR="002E201E">
        <w:t>e adverse effects</w:t>
      </w:r>
      <w:r w:rsidR="002E201E" w:rsidRPr="00120295">
        <w:t xml:space="preserve">. </w:t>
      </w:r>
    </w:p>
    <w:p w14:paraId="59E82CE8" w14:textId="77777777" w:rsidR="007B771C" w:rsidRPr="00120295" w:rsidRDefault="002E201E" w:rsidP="007B771C">
      <w:pPr>
        <w:pStyle w:val="BodyText"/>
      </w:pPr>
      <w:r>
        <w:t>R</w:t>
      </w:r>
      <w:r w:rsidR="007B771C" w:rsidRPr="00120295">
        <w:t xml:space="preserve">egardless of the size of the retailer they are all likely to pass on any </w:t>
      </w:r>
      <w:r w:rsidR="00187505">
        <w:t xml:space="preserve">implementation </w:t>
      </w:r>
      <w:r w:rsidR="007B771C" w:rsidRPr="00120295">
        <w:t>costs to consumers</w:t>
      </w:r>
      <w:r w:rsidR="00750CB6">
        <w:t>.</w:t>
      </w:r>
      <w:r w:rsidR="00B32067">
        <w:t xml:space="preserve"> </w:t>
      </w:r>
    </w:p>
    <w:p w14:paraId="3B0FA835" w14:textId="77777777" w:rsidR="007B771C" w:rsidRDefault="007B771C" w:rsidP="007B771C">
      <w:pPr>
        <w:pStyle w:val="Heading4"/>
      </w:pPr>
      <w:r>
        <w:t>Analysis</w:t>
      </w:r>
    </w:p>
    <w:p w14:paraId="62B4D09E" w14:textId="77777777" w:rsidR="00347304" w:rsidRDefault="00347304" w:rsidP="00347304">
      <w:r>
        <w:t xml:space="preserve">The public consultation asked whether large retailers or all retailers should be covered, and if the former how many employees would be used to define coverage. </w:t>
      </w:r>
    </w:p>
    <w:p w14:paraId="4DB435A8" w14:textId="150ECC8F" w:rsidR="00347304" w:rsidRDefault="00347304" w:rsidP="00347304">
      <w:r>
        <w:t xml:space="preserve">We have defined a ‘small’ retailer as one that employs </w:t>
      </w:r>
      <w:r w:rsidR="00225ABE">
        <w:t xml:space="preserve">fewer </w:t>
      </w:r>
      <w:r w:rsidR="00E902E7">
        <w:t>than 6</w:t>
      </w:r>
      <w:r>
        <w:t xml:space="preserve"> people to allow an adequate difference to be drawn between smaller family-run retailers (such as dairies, fish and chip shops, </w:t>
      </w:r>
      <w:proofErr w:type="spellStart"/>
      <w:r>
        <w:t>etc</w:t>
      </w:r>
      <w:proofErr w:type="spellEnd"/>
      <w:r>
        <w:t xml:space="preserve">) and larger retailers. </w:t>
      </w:r>
    </w:p>
    <w:p w14:paraId="157B5C54" w14:textId="04A8A000" w:rsidR="007B771C" w:rsidRDefault="0061261B" w:rsidP="00DC18C6">
      <w:pPr>
        <w:spacing w:after="0"/>
      </w:pPr>
      <w:r>
        <w:t>T</w:t>
      </w:r>
      <w:r w:rsidR="007B771C">
        <w:t xml:space="preserve">wo choices </w:t>
      </w:r>
      <w:r>
        <w:t xml:space="preserve">are </w:t>
      </w:r>
      <w:r w:rsidR="00347304">
        <w:t xml:space="preserve">compared </w:t>
      </w:r>
      <w:r>
        <w:t xml:space="preserve">for </w:t>
      </w:r>
      <w:r w:rsidR="007B01D1">
        <w:t>implementing a mandatory phase-out of single-use shopping bags cover</w:t>
      </w:r>
      <w:r>
        <w:t>ing</w:t>
      </w:r>
      <w:r w:rsidR="007B01D1">
        <w:t>:</w:t>
      </w:r>
    </w:p>
    <w:p w14:paraId="3891C461" w14:textId="77777777" w:rsidR="007B771C" w:rsidRDefault="007B771C" w:rsidP="00DC18C6">
      <w:pPr>
        <w:numPr>
          <w:ilvl w:val="0"/>
          <w:numId w:val="27"/>
        </w:numPr>
        <w:spacing w:after="0"/>
        <w:ind w:left="419" w:hanging="357"/>
      </w:pPr>
      <w:r>
        <w:t>all retailers, or</w:t>
      </w:r>
    </w:p>
    <w:p w14:paraId="4B278A1D" w14:textId="5E4C64D7" w:rsidR="007B771C" w:rsidRDefault="007B771C" w:rsidP="00307E51">
      <w:pPr>
        <w:numPr>
          <w:ilvl w:val="0"/>
          <w:numId w:val="27"/>
        </w:numPr>
        <w:spacing w:after="120"/>
      </w:pPr>
      <w:proofErr w:type="gramStart"/>
      <w:r>
        <w:t>retailers</w:t>
      </w:r>
      <w:proofErr w:type="gramEnd"/>
      <w:r>
        <w:t xml:space="preserve"> employing </w:t>
      </w:r>
      <w:r w:rsidR="00E902E7">
        <w:t>six or more</w:t>
      </w:r>
      <w:r w:rsidR="00543228">
        <w:t xml:space="preserve"> people</w:t>
      </w:r>
      <w:r>
        <w:t xml:space="preserve">. </w:t>
      </w:r>
    </w:p>
    <w:p w14:paraId="46EA6250" w14:textId="2F6CC99B" w:rsidR="007B771C" w:rsidRDefault="005051F9" w:rsidP="00DC18C6">
      <w:pPr>
        <w:spacing w:before="240" w:after="120"/>
      </w:pPr>
      <w:r>
        <w:rPr>
          <w:i/>
          <w:u w:val="single"/>
        </w:rPr>
        <w:t xml:space="preserve">Option </w:t>
      </w:r>
      <w:r w:rsidR="00A92B0C">
        <w:rPr>
          <w:i/>
          <w:u w:val="single"/>
        </w:rPr>
        <w:t>1</w:t>
      </w:r>
      <w:r>
        <w:rPr>
          <w:i/>
          <w:u w:val="single"/>
        </w:rPr>
        <w:t xml:space="preserve"> – Including a</w:t>
      </w:r>
      <w:r w:rsidR="007B771C">
        <w:rPr>
          <w:i/>
          <w:u w:val="single"/>
        </w:rPr>
        <w:t>ll retailers</w:t>
      </w:r>
    </w:p>
    <w:p w14:paraId="28CA607E" w14:textId="6A2D3292" w:rsidR="00347304" w:rsidRDefault="00347304" w:rsidP="00347304">
      <w:r>
        <w:t xml:space="preserve">The </w:t>
      </w:r>
      <w:r w:rsidR="00F16E57">
        <w:t xml:space="preserve">majority of </w:t>
      </w:r>
      <w:r>
        <w:t xml:space="preserve">submissions </w:t>
      </w:r>
      <w:r w:rsidR="00F16E57">
        <w:t xml:space="preserve">(95 per cent) </w:t>
      </w:r>
      <w:r>
        <w:t xml:space="preserve">supported </w:t>
      </w:r>
      <w:r w:rsidR="007B01D1">
        <w:t>this option</w:t>
      </w:r>
      <w:r>
        <w:t>.</w:t>
      </w:r>
      <w:r w:rsidR="007B01D1">
        <w:t xml:space="preserve"> </w:t>
      </w:r>
    </w:p>
    <w:p w14:paraId="76E49BE9" w14:textId="2327C4AD" w:rsidR="007B01D1" w:rsidRDefault="007B01D1" w:rsidP="007B771C">
      <w:pPr>
        <w:spacing w:after="120" w:line="280" w:lineRule="exact"/>
        <w:rPr>
          <w:bCs/>
        </w:rPr>
      </w:pPr>
      <w:r>
        <w:rPr>
          <w:bCs/>
        </w:rPr>
        <w:t xml:space="preserve">This option would cover single-use plastic </w:t>
      </w:r>
      <w:r>
        <w:rPr>
          <w:rFonts w:cs="Arial"/>
          <w:szCs w:val="22"/>
        </w:rPr>
        <w:t>shopping</w:t>
      </w:r>
      <w:r>
        <w:rPr>
          <w:bCs/>
        </w:rPr>
        <w:t xml:space="preserve"> bags distributed by</w:t>
      </w:r>
      <w:r w:rsidR="00BD0967">
        <w:rPr>
          <w:bCs/>
        </w:rPr>
        <w:t xml:space="preserve"> all</w:t>
      </w:r>
      <w:r>
        <w:rPr>
          <w:bCs/>
        </w:rPr>
        <w:t xml:space="preserve"> retailers. </w:t>
      </w:r>
      <w:r w:rsidR="007B771C">
        <w:rPr>
          <w:bCs/>
        </w:rPr>
        <w:t>Therefore, this option will best help</w:t>
      </w:r>
      <w:r w:rsidR="00970852">
        <w:rPr>
          <w:bCs/>
        </w:rPr>
        <w:t xml:space="preserve"> advance the phase-out of pl</w:t>
      </w:r>
      <w:r w:rsidR="009863A1">
        <w:rPr>
          <w:bCs/>
        </w:rPr>
        <w:t>a</w:t>
      </w:r>
      <w:r w:rsidR="007B771C">
        <w:rPr>
          <w:bCs/>
        </w:rPr>
        <w:t xml:space="preserve">stic </w:t>
      </w:r>
      <w:r w:rsidR="00705AB2">
        <w:rPr>
          <w:bCs/>
        </w:rPr>
        <w:t xml:space="preserve">shopping </w:t>
      </w:r>
      <w:r w:rsidR="007B771C">
        <w:rPr>
          <w:bCs/>
        </w:rPr>
        <w:t xml:space="preserve">bags, and best enable the transition to a circular economy. </w:t>
      </w:r>
    </w:p>
    <w:p w14:paraId="3B3E2731" w14:textId="09BEE6A8" w:rsidR="007B771C" w:rsidRPr="008F1958" w:rsidRDefault="0032081B" w:rsidP="007B771C">
      <w:pPr>
        <w:spacing w:after="120" w:line="280" w:lineRule="exact"/>
        <w:rPr>
          <w:bCs/>
        </w:rPr>
      </w:pPr>
      <w:r>
        <w:rPr>
          <w:bCs/>
        </w:rPr>
        <w:t xml:space="preserve">A number of large retailers are already taking voluntary actions to move away from </w:t>
      </w:r>
      <w:r w:rsidR="004706A6">
        <w:rPr>
          <w:bCs/>
        </w:rPr>
        <w:t xml:space="preserve">using </w:t>
      </w:r>
      <w:r>
        <w:rPr>
          <w:bCs/>
        </w:rPr>
        <w:t xml:space="preserve">single-use plastic </w:t>
      </w:r>
      <w:r w:rsidR="00705AB2">
        <w:rPr>
          <w:bCs/>
        </w:rPr>
        <w:t xml:space="preserve">shopping </w:t>
      </w:r>
      <w:r>
        <w:rPr>
          <w:bCs/>
        </w:rPr>
        <w:t>bags. This has yet to be seen to the same extent amongst smaller retailers.</w:t>
      </w:r>
      <w:r w:rsidR="007B771C">
        <w:rPr>
          <w:bCs/>
        </w:rPr>
        <w:t xml:space="preserve"> </w:t>
      </w:r>
    </w:p>
    <w:p w14:paraId="5A724BDB" w14:textId="555F1E26" w:rsidR="007B771C" w:rsidRPr="008F1958" w:rsidRDefault="004C5266" w:rsidP="007B771C">
      <w:pPr>
        <w:spacing w:after="120" w:line="280" w:lineRule="exact"/>
        <w:rPr>
          <w:bCs/>
        </w:rPr>
      </w:pPr>
      <w:r>
        <w:rPr>
          <w:bCs/>
        </w:rPr>
        <w:t>L</w:t>
      </w:r>
      <w:r w:rsidR="007B771C">
        <w:rPr>
          <w:bCs/>
        </w:rPr>
        <w:t xml:space="preserve">arger retailers are most likely to be able to absorb any costs of a mandatory </w:t>
      </w:r>
      <w:r>
        <w:rPr>
          <w:bCs/>
        </w:rPr>
        <w:t xml:space="preserve">plastic shopping bag </w:t>
      </w:r>
      <w:r w:rsidR="007B771C">
        <w:rPr>
          <w:bCs/>
        </w:rPr>
        <w:t>phase-out</w:t>
      </w:r>
      <w:r>
        <w:rPr>
          <w:bCs/>
        </w:rPr>
        <w:t>. S</w:t>
      </w:r>
      <w:r w:rsidR="007B771C">
        <w:rPr>
          <w:bCs/>
        </w:rPr>
        <w:t xml:space="preserve">maller retailers may find this more difficult. In addition, more public funds will be needed to enforce this proposal with all retailers.  </w:t>
      </w:r>
    </w:p>
    <w:p w14:paraId="6DD4EE37" w14:textId="5D846EC0" w:rsidR="007B771C" w:rsidRPr="008F1958" w:rsidRDefault="007B771C" w:rsidP="007B771C">
      <w:pPr>
        <w:pStyle w:val="ListParagraph"/>
        <w:ind w:left="0"/>
      </w:pPr>
      <w:r>
        <w:t>Extending the mandatory phase</w:t>
      </w:r>
      <w:r w:rsidR="009F091E">
        <w:t xml:space="preserve"> </w:t>
      </w:r>
      <w:r>
        <w:t>out to all retailers will strengthen the financial incentive for consumers to reuse and recycl</w:t>
      </w:r>
      <w:r w:rsidR="007B01D1">
        <w:t xml:space="preserve">e their shopping bags, </w:t>
      </w:r>
      <w:r>
        <w:t>compar</w:t>
      </w:r>
      <w:r w:rsidR="007B01D1">
        <w:t xml:space="preserve">ed </w:t>
      </w:r>
      <w:r>
        <w:t xml:space="preserve">to </w:t>
      </w:r>
      <w:r w:rsidR="007B01D1">
        <w:t xml:space="preserve">the status quo or </w:t>
      </w:r>
      <w:r>
        <w:t xml:space="preserve">limiting it to larger retailers only. </w:t>
      </w:r>
      <w:r w:rsidR="0032081B">
        <w:t xml:space="preserve">It will also provide consistency </w:t>
      </w:r>
      <w:r w:rsidR="00187505">
        <w:t xml:space="preserve">and reduce confusion </w:t>
      </w:r>
      <w:r w:rsidR="0032081B">
        <w:t>for consumers.</w:t>
      </w:r>
    </w:p>
    <w:p w14:paraId="1CC3B622" w14:textId="76E91F33" w:rsidR="007B771C" w:rsidRDefault="005051F9" w:rsidP="00FC04B1">
      <w:pPr>
        <w:keepNext/>
        <w:spacing w:after="120"/>
      </w:pPr>
      <w:r>
        <w:rPr>
          <w:i/>
          <w:u w:val="single"/>
        </w:rPr>
        <w:t xml:space="preserve">Option </w:t>
      </w:r>
      <w:r w:rsidR="00A92B0C">
        <w:rPr>
          <w:i/>
          <w:u w:val="single"/>
        </w:rPr>
        <w:t>2</w:t>
      </w:r>
      <w:r>
        <w:rPr>
          <w:i/>
          <w:u w:val="single"/>
        </w:rPr>
        <w:t xml:space="preserve"> – Including r</w:t>
      </w:r>
      <w:r w:rsidR="007B771C">
        <w:rPr>
          <w:i/>
          <w:u w:val="single"/>
        </w:rPr>
        <w:t xml:space="preserve">etailers employing </w:t>
      </w:r>
      <w:r w:rsidR="00056811">
        <w:rPr>
          <w:i/>
          <w:u w:val="single"/>
        </w:rPr>
        <w:t xml:space="preserve">six or more </w:t>
      </w:r>
      <w:r w:rsidR="00543228">
        <w:rPr>
          <w:i/>
          <w:u w:val="single"/>
        </w:rPr>
        <w:t>people</w:t>
      </w:r>
    </w:p>
    <w:p w14:paraId="1B2EFD76" w14:textId="18C5525E" w:rsidR="007B01D1" w:rsidRDefault="007B01D1" w:rsidP="00AD7FE9">
      <w:pPr>
        <w:spacing w:after="120" w:line="280" w:lineRule="exact"/>
        <w:rPr>
          <w:bCs/>
        </w:rPr>
      </w:pPr>
      <w:r>
        <w:rPr>
          <w:bCs/>
        </w:rPr>
        <w:t xml:space="preserve">This option would </w:t>
      </w:r>
      <w:r w:rsidR="007B771C">
        <w:rPr>
          <w:bCs/>
        </w:rPr>
        <w:t xml:space="preserve">cover the majority of single-use plastic </w:t>
      </w:r>
      <w:r w:rsidR="00705AB2">
        <w:rPr>
          <w:bCs/>
        </w:rPr>
        <w:t xml:space="preserve">shopping </w:t>
      </w:r>
      <w:r w:rsidR="007B771C">
        <w:rPr>
          <w:bCs/>
        </w:rPr>
        <w:t>bags that are distributed by retailers</w:t>
      </w:r>
      <w:r>
        <w:rPr>
          <w:bCs/>
        </w:rPr>
        <w:t>, due to the volume of goods sold</w:t>
      </w:r>
      <w:r w:rsidR="000D2034">
        <w:rPr>
          <w:bCs/>
        </w:rPr>
        <w:t xml:space="preserve"> by larger retailers</w:t>
      </w:r>
      <w:r w:rsidR="00187505">
        <w:rPr>
          <w:bCs/>
        </w:rPr>
        <w:t xml:space="preserve">. </w:t>
      </w:r>
      <w:r>
        <w:rPr>
          <w:bCs/>
        </w:rPr>
        <w:t>The size of this share has been estimated at 75</w:t>
      </w:r>
      <w:r w:rsidR="004878D2">
        <w:rPr>
          <w:bCs/>
        </w:rPr>
        <w:t xml:space="preserve"> per cent </w:t>
      </w:r>
      <w:r>
        <w:rPr>
          <w:bCs/>
        </w:rPr>
        <w:t xml:space="preserve">by industry sources, but </w:t>
      </w:r>
      <w:r w:rsidR="000D2034">
        <w:rPr>
          <w:bCs/>
        </w:rPr>
        <w:t xml:space="preserve">detailed </w:t>
      </w:r>
      <w:r>
        <w:rPr>
          <w:bCs/>
        </w:rPr>
        <w:t>data is not available.</w:t>
      </w:r>
    </w:p>
    <w:p w14:paraId="74BE59CD" w14:textId="229BE365" w:rsidR="00187505" w:rsidRDefault="00187505" w:rsidP="00AD7FE9">
      <w:pPr>
        <w:spacing w:after="120" w:line="280" w:lineRule="exact"/>
        <w:rPr>
          <w:bCs/>
        </w:rPr>
      </w:pPr>
      <w:r>
        <w:rPr>
          <w:bCs/>
        </w:rPr>
        <w:t>T</w:t>
      </w:r>
      <w:r w:rsidR="00AD7FE9">
        <w:rPr>
          <w:bCs/>
        </w:rPr>
        <w:t xml:space="preserve">here are also a great number of smaller businesses and collectively they likely account for a significant quantity of single-use plastic </w:t>
      </w:r>
      <w:r w:rsidR="00705AB2">
        <w:rPr>
          <w:bCs/>
        </w:rPr>
        <w:t xml:space="preserve">shopping </w:t>
      </w:r>
      <w:r w:rsidR="00AD7FE9">
        <w:rPr>
          <w:bCs/>
        </w:rPr>
        <w:t>bags</w:t>
      </w:r>
      <w:r w:rsidR="007B771C">
        <w:rPr>
          <w:bCs/>
        </w:rPr>
        <w:t>.</w:t>
      </w:r>
      <w:r w:rsidR="00970852">
        <w:rPr>
          <w:bCs/>
        </w:rPr>
        <w:t xml:space="preserve"> The most recent Statistics New Zealand business demography report shows that 8</w:t>
      </w:r>
      <w:r w:rsidR="00970852" w:rsidRPr="00AD7FE9">
        <w:rPr>
          <w:bCs/>
        </w:rPr>
        <w:t>1 per</w:t>
      </w:r>
      <w:r w:rsidR="009863A1">
        <w:rPr>
          <w:bCs/>
        </w:rPr>
        <w:t xml:space="preserve"> </w:t>
      </w:r>
      <w:r w:rsidR="00970852" w:rsidRPr="00AD7FE9">
        <w:rPr>
          <w:bCs/>
        </w:rPr>
        <w:t xml:space="preserve">cent of all </w:t>
      </w:r>
      <w:r w:rsidR="00970852">
        <w:rPr>
          <w:bCs/>
        </w:rPr>
        <w:t xml:space="preserve">retail </w:t>
      </w:r>
      <w:r w:rsidR="00970852" w:rsidRPr="00AD7FE9">
        <w:rPr>
          <w:bCs/>
        </w:rPr>
        <w:t xml:space="preserve">enterprises had </w:t>
      </w:r>
      <w:r w:rsidR="00970852">
        <w:rPr>
          <w:bCs/>
        </w:rPr>
        <w:t>five or fewer</w:t>
      </w:r>
      <w:r w:rsidR="00970852" w:rsidRPr="00AD7FE9">
        <w:rPr>
          <w:bCs/>
        </w:rPr>
        <w:t xml:space="preserve"> employees</w:t>
      </w:r>
      <w:r w:rsidR="00970852">
        <w:rPr>
          <w:bCs/>
        </w:rPr>
        <w:t>, along with 67 per</w:t>
      </w:r>
      <w:r w:rsidR="009863A1">
        <w:rPr>
          <w:bCs/>
        </w:rPr>
        <w:t xml:space="preserve"> </w:t>
      </w:r>
      <w:r w:rsidR="00970852">
        <w:rPr>
          <w:bCs/>
        </w:rPr>
        <w:t xml:space="preserve">cent of accommodation and food services (these categories together account for </w:t>
      </w:r>
      <w:r w:rsidR="00970852" w:rsidRPr="00104EE2">
        <w:rPr>
          <w:bCs/>
        </w:rPr>
        <w:t>36,972 businesses with five or fewer employees</w:t>
      </w:r>
      <w:r w:rsidR="00970852">
        <w:rPr>
          <w:bCs/>
        </w:rPr>
        <w:t>)</w:t>
      </w:r>
      <w:r w:rsidR="00970852" w:rsidRPr="00AD7FE9">
        <w:rPr>
          <w:bCs/>
        </w:rPr>
        <w:t>.</w:t>
      </w:r>
      <w:r w:rsidR="00970852">
        <w:rPr>
          <w:rStyle w:val="FootnoteReference"/>
          <w:bCs/>
        </w:rPr>
        <w:footnoteReference w:id="17"/>
      </w:r>
    </w:p>
    <w:p w14:paraId="458807AE" w14:textId="26C53ADB" w:rsidR="00C13776" w:rsidRDefault="007B771C" w:rsidP="007B771C">
      <w:pPr>
        <w:spacing w:after="120" w:line="280" w:lineRule="exact"/>
        <w:rPr>
          <w:bCs/>
        </w:rPr>
      </w:pPr>
      <w:r>
        <w:rPr>
          <w:bCs/>
        </w:rPr>
        <w:t>This option w</w:t>
      </w:r>
      <w:r w:rsidR="000D2034">
        <w:rPr>
          <w:bCs/>
        </w:rPr>
        <w:t xml:space="preserve">ould incur </w:t>
      </w:r>
      <w:r w:rsidR="00C13776">
        <w:rPr>
          <w:bCs/>
        </w:rPr>
        <w:t>no</w:t>
      </w:r>
      <w:r w:rsidR="000D2034">
        <w:rPr>
          <w:bCs/>
        </w:rPr>
        <w:t xml:space="preserve"> </w:t>
      </w:r>
      <w:r>
        <w:rPr>
          <w:bCs/>
        </w:rPr>
        <w:t>implement</w:t>
      </w:r>
      <w:r w:rsidR="000D2034">
        <w:rPr>
          <w:bCs/>
        </w:rPr>
        <w:t xml:space="preserve">ation </w:t>
      </w:r>
      <w:r>
        <w:rPr>
          <w:bCs/>
        </w:rPr>
        <w:t xml:space="preserve">costs </w:t>
      </w:r>
      <w:r w:rsidR="000D2034">
        <w:rPr>
          <w:bCs/>
        </w:rPr>
        <w:t>for</w:t>
      </w:r>
      <w:r>
        <w:rPr>
          <w:bCs/>
        </w:rPr>
        <w:t xml:space="preserve"> smaller businesses. </w:t>
      </w:r>
    </w:p>
    <w:p w14:paraId="0E9B81F2" w14:textId="504BEC1B" w:rsidR="007B771C" w:rsidRPr="008F1958" w:rsidRDefault="00C13776" w:rsidP="007B771C">
      <w:pPr>
        <w:spacing w:after="120" w:line="280" w:lineRule="exact"/>
        <w:rPr>
          <w:bCs/>
        </w:rPr>
      </w:pPr>
      <w:r>
        <w:rPr>
          <w:bCs/>
        </w:rPr>
        <w:t xml:space="preserve">This option would </w:t>
      </w:r>
      <w:r w:rsidR="000D2034">
        <w:rPr>
          <w:bCs/>
        </w:rPr>
        <w:t xml:space="preserve">also have </w:t>
      </w:r>
      <w:r w:rsidR="007B771C">
        <w:rPr>
          <w:bCs/>
        </w:rPr>
        <w:t xml:space="preserve">a </w:t>
      </w:r>
      <w:r w:rsidR="00BD0967">
        <w:rPr>
          <w:bCs/>
        </w:rPr>
        <w:t>lower demand for</w:t>
      </w:r>
      <w:r w:rsidR="007B771C">
        <w:rPr>
          <w:bCs/>
        </w:rPr>
        <w:t xml:space="preserve"> public funds</w:t>
      </w:r>
      <w:r w:rsidR="000D2034">
        <w:rPr>
          <w:bCs/>
        </w:rPr>
        <w:t xml:space="preserve"> required </w:t>
      </w:r>
      <w:r w:rsidR="007B771C">
        <w:rPr>
          <w:bCs/>
        </w:rPr>
        <w:t xml:space="preserve">to </w:t>
      </w:r>
      <w:r w:rsidR="000D2034">
        <w:rPr>
          <w:bCs/>
        </w:rPr>
        <w:t xml:space="preserve">monitor and enforce the </w:t>
      </w:r>
      <w:r w:rsidR="007B771C">
        <w:rPr>
          <w:bCs/>
        </w:rPr>
        <w:t>propos</w:t>
      </w:r>
      <w:r w:rsidR="000D2034">
        <w:rPr>
          <w:bCs/>
        </w:rPr>
        <w:t>ed phase out</w:t>
      </w:r>
      <w:r>
        <w:rPr>
          <w:bCs/>
        </w:rPr>
        <w:t>,</w:t>
      </w:r>
      <w:r w:rsidR="00FC04B1">
        <w:rPr>
          <w:bCs/>
        </w:rPr>
        <w:t xml:space="preserve"> as many retail establishments </w:t>
      </w:r>
      <w:r>
        <w:rPr>
          <w:bCs/>
        </w:rPr>
        <w:t xml:space="preserve">would </w:t>
      </w:r>
      <w:r w:rsidR="00FC04B1">
        <w:rPr>
          <w:bCs/>
        </w:rPr>
        <w:t xml:space="preserve">not </w:t>
      </w:r>
      <w:r>
        <w:rPr>
          <w:bCs/>
        </w:rPr>
        <w:t>need to be covered</w:t>
      </w:r>
      <w:r w:rsidR="007B771C">
        <w:rPr>
          <w:bCs/>
        </w:rPr>
        <w:t xml:space="preserve">.  </w:t>
      </w:r>
    </w:p>
    <w:p w14:paraId="7ED4CB52" w14:textId="1E2E9723" w:rsidR="007B771C" w:rsidRPr="0040038C" w:rsidRDefault="007B771C" w:rsidP="00D16FD1">
      <w:pPr>
        <w:keepNext/>
        <w:tabs>
          <w:tab w:val="left" w:pos="397"/>
        </w:tabs>
        <w:spacing w:after="120" w:line="280" w:lineRule="exact"/>
        <w:rPr>
          <w:b/>
          <w:bCs/>
          <w:i/>
        </w:rPr>
      </w:pPr>
      <w:r w:rsidRPr="0040038C">
        <w:rPr>
          <w:b/>
          <w:bCs/>
          <w:i/>
        </w:rPr>
        <w:t xml:space="preserve">Impact Analysis: </w:t>
      </w:r>
      <w:r>
        <w:rPr>
          <w:b/>
          <w:bCs/>
          <w:i/>
        </w:rPr>
        <w:t>Retailers covered by the mandatory phase-out</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2118"/>
        <w:gridCol w:w="2269"/>
      </w:tblGrid>
      <w:tr w:rsidR="007B771C" w:rsidRPr="005910FD" w14:paraId="384A8E95" w14:textId="77777777" w:rsidTr="00DC18C6">
        <w:tc>
          <w:tcPr>
            <w:tcW w:w="2498" w:type="pct"/>
            <w:shd w:val="clear" w:color="auto" w:fill="99CDDD"/>
          </w:tcPr>
          <w:p w14:paraId="448901A6" w14:textId="77777777" w:rsidR="007B771C" w:rsidRPr="00384E9B" w:rsidRDefault="007B771C" w:rsidP="00A42D23">
            <w:pPr>
              <w:spacing w:before="60" w:after="60" w:line="276" w:lineRule="auto"/>
              <w:jc w:val="both"/>
              <w:rPr>
                <w:rFonts w:cs="Arial"/>
                <w:b/>
                <w:color w:val="FFFFFF"/>
                <w:sz w:val="20"/>
                <w:szCs w:val="24"/>
              </w:rPr>
            </w:pPr>
          </w:p>
        </w:tc>
        <w:tc>
          <w:tcPr>
            <w:tcW w:w="1208" w:type="pct"/>
            <w:shd w:val="clear" w:color="auto" w:fill="99CDDD"/>
            <w:vAlign w:val="center"/>
          </w:tcPr>
          <w:p w14:paraId="571116B1" w14:textId="77777777" w:rsidR="007B771C" w:rsidRPr="00384E9B" w:rsidRDefault="007C263D" w:rsidP="00307E51">
            <w:pPr>
              <w:spacing w:before="60" w:after="60" w:line="276" w:lineRule="auto"/>
              <w:jc w:val="center"/>
              <w:rPr>
                <w:rFonts w:cs="Arial"/>
                <w:b/>
                <w:color w:val="000000"/>
                <w:sz w:val="20"/>
                <w:szCs w:val="24"/>
              </w:rPr>
            </w:pPr>
            <w:r>
              <w:rPr>
                <w:rFonts w:cs="Arial"/>
                <w:b/>
                <w:color w:val="000000"/>
                <w:sz w:val="20"/>
                <w:szCs w:val="24"/>
              </w:rPr>
              <w:t>Option 1:</w:t>
            </w:r>
            <w:r>
              <w:rPr>
                <w:rFonts w:cs="Arial"/>
                <w:b/>
                <w:color w:val="000000"/>
                <w:sz w:val="20"/>
                <w:szCs w:val="24"/>
              </w:rPr>
              <w:br/>
            </w:r>
            <w:r w:rsidR="007B771C">
              <w:rPr>
                <w:rFonts w:cs="Arial"/>
                <w:b/>
                <w:color w:val="000000"/>
                <w:sz w:val="20"/>
                <w:szCs w:val="24"/>
              </w:rPr>
              <w:t>All retailers</w:t>
            </w:r>
          </w:p>
        </w:tc>
        <w:tc>
          <w:tcPr>
            <w:tcW w:w="1294" w:type="pct"/>
            <w:shd w:val="clear" w:color="auto" w:fill="99CDDD"/>
            <w:vAlign w:val="center"/>
          </w:tcPr>
          <w:p w14:paraId="45A078E4" w14:textId="77777777" w:rsidR="007B771C" w:rsidRPr="00384E9B" w:rsidRDefault="007C263D" w:rsidP="00307E51">
            <w:pPr>
              <w:spacing w:before="60" w:after="60" w:line="240" w:lineRule="auto"/>
              <w:jc w:val="center"/>
              <w:rPr>
                <w:rFonts w:cs="Arial"/>
                <w:b/>
                <w:color w:val="000000"/>
                <w:sz w:val="20"/>
                <w:szCs w:val="24"/>
              </w:rPr>
            </w:pPr>
            <w:r>
              <w:rPr>
                <w:rFonts w:cs="Arial"/>
                <w:b/>
                <w:color w:val="000000"/>
                <w:sz w:val="20"/>
                <w:szCs w:val="24"/>
              </w:rPr>
              <w:t xml:space="preserve">Option 2: </w:t>
            </w:r>
            <w:r w:rsidR="007B771C">
              <w:rPr>
                <w:rFonts w:cs="Arial"/>
                <w:b/>
                <w:color w:val="000000"/>
                <w:sz w:val="20"/>
                <w:szCs w:val="24"/>
              </w:rPr>
              <w:t>Retailers employing 6 or more people only</w:t>
            </w:r>
          </w:p>
        </w:tc>
      </w:tr>
      <w:tr w:rsidR="007B771C" w:rsidRPr="00DD7964" w14:paraId="2F08D9EF" w14:textId="77777777" w:rsidTr="00DC18C6">
        <w:tc>
          <w:tcPr>
            <w:tcW w:w="2498" w:type="pct"/>
            <w:shd w:val="clear" w:color="auto" w:fill="99CDDD"/>
          </w:tcPr>
          <w:p w14:paraId="1F4CB61C" w14:textId="77777777" w:rsidR="007B771C" w:rsidRPr="007A7B7A" w:rsidRDefault="007B771C">
            <w:pPr>
              <w:spacing w:before="60" w:after="60" w:line="240" w:lineRule="auto"/>
              <w:rPr>
                <w:rFonts w:cs="Arial"/>
                <w:b/>
                <w:i/>
                <w:color w:val="000000"/>
                <w:sz w:val="20"/>
                <w:szCs w:val="24"/>
              </w:rPr>
            </w:pPr>
            <w:r>
              <w:rPr>
                <w:rFonts w:cs="Arial"/>
                <w:b/>
                <w:color w:val="000000"/>
                <w:sz w:val="20"/>
                <w:szCs w:val="24"/>
              </w:rPr>
              <w:t xml:space="preserve">Substantially advances the phase-out of single-use plastic </w:t>
            </w:r>
            <w:r w:rsidR="00705AB2">
              <w:rPr>
                <w:rFonts w:cs="Arial"/>
                <w:b/>
                <w:color w:val="000000"/>
                <w:sz w:val="20"/>
                <w:szCs w:val="24"/>
              </w:rPr>
              <w:t xml:space="preserve">shopping </w:t>
            </w:r>
            <w:r>
              <w:rPr>
                <w:rFonts w:cs="Arial"/>
                <w:b/>
                <w:color w:val="000000"/>
                <w:sz w:val="20"/>
                <w:szCs w:val="24"/>
              </w:rPr>
              <w:t xml:space="preserve">bags </w:t>
            </w:r>
          </w:p>
        </w:tc>
        <w:tc>
          <w:tcPr>
            <w:tcW w:w="1208" w:type="pct"/>
            <w:shd w:val="clear" w:color="auto" w:fill="auto"/>
            <w:vAlign w:val="center"/>
          </w:tcPr>
          <w:p w14:paraId="5CF30AB0" w14:textId="77777777" w:rsidR="007B771C" w:rsidRPr="00DD7964" w:rsidRDefault="007B771C" w:rsidP="00A42D23">
            <w:pPr>
              <w:pStyle w:val="TableText"/>
              <w:spacing w:line="276" w:lineRule="auto"/>
              <w:jc w:val="center"/>
            </w:pPr>
            <w:r w:rsidRPr="00373CD5">
              <w:rPr>
                <w:rFonts w:cs="Arial"/>
                <w:b/>
                <w:color w:val="00B050"/>
              </w:rPr>
              <w:t>++</w:t>
            </w:r>
          </w:p>
        </w:tc>
        <w:tc>
          <w:tcPr>
            <w:tcW w:w="1294" w:type="pct"/>
            <w:vAlign w:val="center"/>
          </w:tcPr>
          <w:p w14:paraId="72EDFCD1" w14:textId="77777777" w:rsidR="007B771C" w:rsidRPr="00384E9B" w:rsidRDefault="007B771C" w:rsidP="00A42D23">
            <w:pPr>
              <w:pStyle w:val="TableText"/>
              <w:spacing w:line="276" w:lineRule="auto"/>
              <w:jc w:val="center"/>
              <w:rPr>
                <w:b/>
              </w:rPr>
            </w:pPr>
            <w:r w:rsidRPr="00373CD5">
              <w:rPr>
                <w:rFonts w:cs="Arial"/>
                <w:b/>
                <w:color w:val="00B050"/>
              </w:rPr>
              <w:t>+</w:t>
            </w:r>
          </w:p>
        </w:tc>
      </w:tr>
      <w:tr w:rsidR="007B771C" w:rsidRPr="00DD7964" w14:paraId="14AE2DAF" w14:textId="77777777" w:rsidTr="00DC18C6">
        <w:tc>
          <w:tcPr>
            <w:tcW w:w="2498" w:type="pct"/>
            <w:shd w:val="clear" w:color="auto" w:fill="99CDDD"/>
          </w:tcPr>
          <w:p w14:paraId="019D70FB" w14:textId="77777777" w:rsidR="007B771C" w:rsidRPr="007A7B7A" w:rsidRDefault="007B771C">
            <w:pPr>
              <w:spacing w:before="60" w:after="60" w:line="240" w:lineRule="auto"/>
              <w:rPr>
                <w:rFonts w:cs="Arial"/>
                <w:b/>
                <w:i/>
                <w:color w:val="000000"/>
                <w:sz w:val="20"/>
                <w:szCs w:val="24"/>
              </w:rPr>
            </w:pPr>
            <w:r>
              <w:rPr>
                <w:rFonts w:cs="Arial"/>
                <w:b/>
                <w:color w:val="000000"/>
                <w:sz w:val="20"/>
                <w:szCs w:val="24"/>
              </w:rPr>
              <w:t xml:space="preserve">No undue costs on community, business or public funds </w:t>
            </w:r>
          </w:p>
        </w:tc>
        <w:tc>
          <w:tcPr>
            <w:tcW w:w="1208" w:type="pct"/>
            <w:shd w:val="clear" w:color="auto" w:fill="auto"/>
            <w:vAlign w:val="center"/>
          </w:tcPr>
          <w:p w14:paraId="100407C8" w14:textId="77777777" w:rsidR="007B771C" w:rsidRPr="00DD7964" w:rsidRDefault="007B771C" w:rsidP="00A42D23">
            <w:pPr>
              <w:pStyle w:val="TableText"/>
              <w:spacing w:line="276" w:lineRule="auto"/>
              <w:jc w:val="center"/>
            </w:pPr>
            <w:r w:rsidRPr="00373CD5">
              <w:rPr>
                <w:rFonts w:cs="Arial"/>
                <w:b/>
                <w:color w:val="FF0000"/>
              </w:rPr>
              <w:t>-</w:t>
            </w:r>
          </w:p>
        </w:tc>
        <w:tc>
          <w:tcPr>
            <w:tcW w:w="1294" w:type="pct"/>
            <w:vAlign w:val="center"/>
          </w:tcPr>
          <w:p w14:paraId="05AB38C9" w14:textId="77777777" w:rsidR="007B771C" w:rsidRPr="00384E9B" w:rsidRDefault="00C13776">
            <w:pPr>
              <w:pStyle w:val="TableText"/>
              <w:spacing w:line="276" w:lineRule="auto"/>
              <w:jc w:val="center"/>
              <w:rPr>
                <w:b/>
              </w:rPr>
            </w:pPr>
            <w:r w:rsidRPr="00C13776">
              <w:rPr>
                <w:rFonts w:cs="Arial"/>
                <w:b/>
                <w:color w:val="000000" w:themeColor="text1"/>
              </w:rPr>
              <w:t>0</w:t>
            </w:r>
          </w:p>
        </w:tc>
      </w:tr>
    </w:tbl>
    <w:p w14:paraId="791B464F" w14:textId="77777777" w:rsidR="007B771C" w:rsidRDefault="007B771C" w:rsidP="007B771C">
      <w:pPr>
        <w:pStyle w:val="spacer"/>
      </w:pPr>
    </w:p>
    <w:p w14:paraId="266541F2" w14:textId="77777777" w:rsidR="007B771C" w:rsidRPr="0049467D" w:rsidRDefault="007B771C" w:rsidP="00A75BB3">
      <w:pPr>
        <w:spacing w:after="0" w:line="276" w:lineRule="auto"/>
        <w:rPr>
          <w:rFonts w:cs="Arial"/>
          <w:b/>
          <w:sz w:val="20"/>
        </w:rPr>
      </w:pPr>
      <w:r w:rsidRPr="0049467D">
        <w:rPr>
          <w:rFonts w:cs="Arial"/>
          <w:b/>
          <w:sz w:val="20"/>
        </w:rPr>
        <w:t>Key:</w:t>
      </w:r>
    </w:p>
    <w:p w14:paraId="159F98BD" w14:textId="77777777" w:rsidR="007B771C" w:rsidRPr="0049467D" w:rsidRDefault="007B771C" w:rsidP="00A75BB3">
      <w:pPr>
        <w:spacing w:after="0" w:line="276" w:lineRule="auto"/>
        <w:rPr>
          <w:rFonts w:cs="Arial"/>
          <w:sz w:val="20"/>
        </w:rPr>
      </w:pPr>
      <w:r w:rsidRPr="00373CD5">
        <w:rPr>
          <w:rFonts w:cs="Arial"/>
          <w:b/>
          <w:color w:val="00B050"/>
          <w:sz w:val="20"/>
        </w:rPr>
        <w:t>++</w:t>
      </w:r>
      <w:r w:rsidRPr="0049467D">
        <w:rPr>
          <w:rFonts w:cs="Arial"/>
          <w:sz w:val="20"/>
        </w:rPr>
        <w:t xml:space="preserve">  </w:t>
      </w:r>
      <w:r w:rsidR="007D443B">
        <w:rPr>
          <w:rFonts w:cs="Arial"/>
          <w:sz w:val="20"/>
        </w:rPr>
        <w:tab/>
      </w:r>
      <w:proofErr w:type="gramStart"/>
      <w:r w:rsidR="007D443B">
        <w:rPr>
          <w:rFonts w:cs="Arial"/>
          <w:sz w:val="20"/>
        </w:rPr>
        <w:t>much</w:t>
      </w:r>
      <w:proofErr w:type="gramEnd"/>
      <w:r w:rsidR="007D443B">
        <w:rPr>
          <w:rFonts w:cs="Arial"/>
          <w:sz w:val="20"/>
        </w:rPr>
        <w:t xml:space="preserve"> better than </w:t>
      </w:r>
      <w:r w:rsidRPr="0049467D">
        <w:rPr>
          <w:rFonts w:cs="Arial"/>
          <w:sz w:val="20"/>
        </w:rPr>
        <w:t>the status quo</w:t>
      </w:r>
    </w:p>
    <w:p w14:paraId="26B34A80" w14:textId="77777777" w:rsidR="007B771C" w:rsidRPr="0049467D" w:rsidRDefault="007B771C" w:rsidP="00A75BB3">
      <w:pPr>
        <w:spacing w:after="0" w:line="276" w:lineRule="auto"/>
        <w:rPr>
          <w:rFonts w:cs="Arial"/>
          <w:sz w:val="20"/>
        </w:rPr>
      </w:pPr>
      <w:r w:rsidRPr="00373CD5">
        <w:rPr>
          <w:rFonts w:cs="Arial"/>
          <w:b/>
          <w:color w:val="00B050"/>
          <w:sz w:val="20"/>
        </w:rPr>
        <w:t>+</w:t>
      </w:r>
      <w:r w:rsidRPr="00373CD5">
        <w:rPr>
          <w:rFonts w:cs="Arial"/>
          <w:color w:val="00B050"/>
          <w:sz w:val="20"/>
        </w:rPr>
        <w:t xml:space="preserve"> </w:t>
      </w:r>
      <w:r w:rsidR="007D443B">
        <w:rPr>
          <w:rFonts w:cs="Arial"/>
          <w:sz w:val="20"/>
        </w:rPr>
        <w:t xml:space="preserve"> </w:t>
      </w:r>
      <w:r w:rsidR="007D443B">
        <w:rPr>
          <w:rFonts w:cs="Arial"/>
          <w:sz w:val="20"/>
        </w:rPr>
        <w:tab/>
      </w:r>
      <w:proofErr w:type="gramStart"/>
      <w:r w:rsidR="007D443B">
        <w:rPr>
          <w:rFonts w:cs="Arial"/>
          <w:sz w:val="20"/>
        </w:rPr>
        <w:t>better</w:t>
      </w:r>
      <w:proofErr w:type="gramEnd"/>
      <w:r w:rsidR="007D443B">
        <w:rPr>
          <w:rFonts w:cs="Arial"/>
          <w:sz w:val="20"/>
        </w:rPr>
        <w:t xml:space="preserve"> than </w:t>
      </w:r>
      <w:r w:rsidRPr="0049467D">
        <w:rPr>
          <w:rFonts w:cs="Arial"/>
          <w:sz w:val="20"/>
        </w:rPr>
        <w:t>the status quo</w:t>
      </w:r>
    </w:p>
    <w:p w14:paraId="473DE10C" w14:textId="77777777" w:rsidR="007B771C" w:rsidRPr="0049467D" w:rsidRDefault="007B771C" w:rsidP="00A75BB3">
      <w:pPr>
        <w:spacing w:after="0" w:line="276" w:lineRule="auto"/>
        <w:rPr>
          <w:rFonts w:cs="Arial"/>
          <w:sz w:val="20"/>
        </w:rPr>
      </w:pPr>
      <w:r w:rsidRPr="0049467D">
        <w:rPr>
          <w:rFonts w:cs="Arial"/>
          <w:b/>
          <w:sz w:val="20"/>
        </w:rPr>
        <w:t>0</w:t>
      </w:r>
      <w:r w:rsidRPr="0049467D">
        <w:rPr>
          <w:rFonts w:cs="Arial"/>
          <w:sz w:val="20"/>
        </w:rPr>
        <w:t xml:space="preserve">  </w:t>
      </w:r>
      <w:r w:rsidRPr="0049467D">
        <w:rPr>
          <w:rFonts w:cs="Arial"/>
          <w:sz w:val="20"/>
        </w:rPr>
        <w:tab/>
      </w:r>
      <w:r w:rsidR="007D443B">
        <w:rPr>
          <w:rFonts w:cs="Arial"/>
          <w:sz w:val="20"/>
        </w:rPr>
        <w:t xml:space="preserve">about the same as </w:t>
      </w:r>
      <w:r w:rsidRPr="0049467D">
        <w:rPr>
          <w:rFonts w:cs="Arial"/>
          <w:sz w:val="20"/>
        </w:rPr>
        <w:t>the status quo</w:t>
      </w:r>
    </w:p>
    <w:p w14:paraId="2BEF6D51" w14:textId="77777777" w:rsidR="007B771C" w:rsidRPr="0049467D" w:rsidRDefault="007B771C" w:rsidP="00A75BB3">
      <w:pPr>
        <w:spacing w:after="0" w:line="276" w:lineRule="auto"/>
        <w:rPr>
          <w:rFonts w:cs="Arial"/>
          <w:sz w:val="20"/>
        </w:rPr>
      </w:pPr>
      <w:r w:rsidRPr="00373CD5">
        <w:rPr>
          <w:rFonts w:cs="Arial"/>
          <w:b/>
          <w:color w:val="FF0000"/>
          <w:sz w:val="20"/>
        </w:rPr>
        <w:t>-</w:t>
      </w:r>
      <w:r w:rsidR="007D443B">
        <w:rPr>
          <w:rFonts w:cs="Arial"/>
          <w:sz w:val="20"/>
        </w:rPr>
        <w:t xml:space="preserve"> </w:t>
      </w:r>
      <w:r w:rsidR="007D443B">
        <w:rPr>
          <w:rFonts w:cs="Arial"/>
          <w:sz w:val="20"/>
        </w:rPr>
        <w:tab/>
      </w:r>
      <w:proofErr w:type="gramStart"/>
      <w:r w:rsidR="007D443B">
        <w:rPr>
          <w:rFonts w:cs="Arial"/>
          <w:sz w:val="20"/>
        </w:rPr>
        <w:t>worse</w:t>
      </w:r>
      <w:proofErr w:type="gramEnd"/>
      <w:r w:rsidR="007D443B">
        <w:rPr>
          <w:rFonts w:cs="Arial"/>
          <w:sz w:val="20"/>
        </w:rPr>
        <w:t xml:space="preserve"> than </w:t>
      </w:r>
      <w:r w:rsidRPr="0049467D">
        <w:rPr>
          <w:rFonts w:cs="Arial"/>
          <w:sz w:val="20"/>
        </w:rPr>
        <w:t>the status quo</w:t>
      </w:r>
    </w:p>
    <w:p w14:paraId="1B417BBE" w14:textId="77777777" w:rsidR="007B771C" w:rsidRDefault="007B771C" w:rsidP="00A75BB3">
      <w:pPr>
        <w:spacing w:after="0" w:line="276" w:lineRule="auto"/>
        <w:rPr>
          <w:rFonts w:cs="Arial"/>
          <w:sz w:val="20"/>
        </w:rPr>
      </w:pPr>
      <w:r w:rsidRPr="00373CD5">
        <w:rPr>
          <w:rFonts w:cs="Arial"/>
          <w:b/>
          <w:color w:val="FF0000"/>
          <w:sz w:val="20"/>
        </w:rPr>
        <w:t>- -</w:t>
      </w:r>
      <w:r w:rsidR="007D443B">
        <w:rPr>
          <w:rFonts w:cs="Arial"/>
          <w:sz w:val="20"/>
        </w:rPr>
        <w:t xml:space="preserve"> </w:t>
      </w:r>
      <w:r w:rsidR="007D443B">
        <w:rPr>
          <w:rFonts w:cs="Arial"/>
          <w:sz w:val="20"/>
        </w:rPr>
        <w:tab/>
        <w:t xml:space="preserve">much worse than </w:t>
      </w:r>
      <w:r w:rsidRPr="0049467D">
        <w:rPr>
          <w:rFonts w:cs="Arial"/>
          <w:sz w:val="20"/>
        </w:rPr>
        <w:t>the status quo</w:t>
      </w:r>
    </w:p>
    <w:p w14:paraId="3A34EE28" w14:textId="67F9C518" w:rsidR="00970852" w:rsidRDefault="00970852">
      <w:pPr>
        <w:spacing w:after="0" w:line="240" w:lineRule="auto"/>
        <w:rPr>
          <w:i/>
          <w:u w:val="single"/>
        </w:rPr>
      </w:pPr>
    </w:p>
    <w:p w14:paraId="1BA14EF9" w14:textId="77777777" w:rsidR="007B771C" w:rsidRDefault="007B771C" w:rsidP="00FC04B1">
      <w:pPr>
        <w:spacing w:before="120" w:after="120"/>
      </w:pPr>
      <w:r>
        <w:rPr>
          <w:i/>
          <w:u w:val="single"/>
        </w:rPr>
        <w:t>Recommended option</w:t>
      </w:r>
    </w:p>
    <w:p w14:paraId="165F6327" w14:textId="567A3BE3" w:rsidR="005C4C5E" w:rsidRDefault="007B771C" w:rsidP="007B771C">
      <w:r>
        <w:t xml:space="preserve">The recommended option is </w:t>
      </w:r>
      <w:r w:rsidR="005051F9">
        <w:t xml:space="preserve">Option </w:t>
      </w:r>
      <w:r w:rsidR="00842BA3">
        <w:t xml:space="preserve">1 – </w:t>
      </w:r>
      <w:r>
        <w:t>extending the mandatory phase-out to all retailers. While this option does impose some</w:t>
      </w:r>
      <w:r w:rsidR="00B90D9E">
        <w:t xml:space="preserve"> </w:t>
      </w:r>
      <w:r>
        <w:t xml:space="preserve">costs on smaller retailers and policy </w:t>
      </w:r>
      <w:r w:rsidR="00970852">
        <w:t>i</w:t>
      </w:r>
      <w:r>
        <w:t>mplement</w:t>
      </w:r>
      <w:r w:rsidR="00D54F0D">
        <w:t>e</w:t>
      </w:r>
      <w:r>
        <w:t xml:space="preserve">rs, it provides the greatest benefits </w:t>
      </w:r>
      <w:r w:rsidR="00724753">
        <w:t>in</w:t>
      </w:r>
      <w:r>
        <w:t xml:space="preserve"> advancing the phase-out of plastic </w:t>
      </w:r>
      <w:r w:rsidR="00705AB2">
        <w:rPr>
          <w:bCs/>
        </w:rPr>
        <w:t>shopping</w:t>
      </w:r>
      <w:r w:rsidR="00705AB2">
        <w:t xml:space="preserve"> </w:t>
      </w:r>
      <w:r>
        <w:t xml:space="preserve">bags. </w:t>
      </w:r>
      <w:bookmarkStart w:id="46" w:name="_Potential_phase_out"/>
      <w:bookmarkEnd w:id="46"/>
    </w:p>
    <w:p w14:paraId="646B8796" w14:textId="1607BF3E" w:rsidR="007B771C" w:rsidRDefault="004E6CCD" w:rsidP="007C039F">
      <w:pPr>
        <w:pStyle w:val="Heading3"/>
      </w:pPr>
      <w:bookmarkStart w:id="47" w:name="_Timeframe_for_mandatory"/>
      <w:bookmarkStart w:id="48" w:name="_Toc526429625"/>
      <w:bookmarkStart w:id="49" w:name="_Toc528052388"/>
      <w:bookmarkStart w:id="50" w:name="_Toc528670876"/>
      <w:bookmarkEnd w:id="47"/>
      <w:r>
        <w:t>M</w:t>
      </w:r>
      <w:r w:rsidR="007B771C">
        <w:t>andatory phase out</w:t>
      </w:r>
      <w:bookmarkEnd w:id="48"/>
      <w:bookmarkEnd w:id="49"/>
      <w:r>
        <w:t xml:space="preserve"> commencement date</w:t>
      </w:r>
      <w:bookmarkEnd w:id="50"/>
    </w:p>
    <w:p w14:paraId="0C3D7D15" w14:textId="41E660EB" w:rsidR="007B771C" w:rsidRDefault="007B771C" w:rsidP="007B771C">
      <w:pPr>
        <w:pStyle w:val="BodyText"/>
      </w:pPr>
      <w:r w:rsidRPr="00120295">
        <w:t xml:space="preserve">A </w:t>
      </w:r>
      <w:r w:rsidR="004878D2">
        <w:t>lead</w:t>
      </w:r>
      <w:r w:rsidR="00BB5372">
        <w:t>-</w:t>
      </w:r>
      <w:r w:rsidR="004878D2">
        <w:t>in time before commencement</w:t>
      </w:r>
      <w:r w:rsidRPr="00120295">
        <w:t xml:space="preserve"> is proposed to allow retailers</w:t>
      </w:r>
      <w:r w:rsidR="00FA6785">
        <w:t xml:space="preserve"> and importers</w:t>
      </w:r>
      <w:r w:rsidRPr="00120295">
        <w:t xml:space="preserve"> to use existing stocks of single-use plastic shopping bags</w:t>
      </w:r>
      <w:r w:rsidR="00FA6785">
        <w:t>;</w:t>
      </w:r>
      <w:r w:rsidR="00FA6785" w:rsidRPr="00120295">
        <w:t xml:space="preserve"> </w:t>
      </w:r>
      <w:r w:rsidR="00FA6785">
        <w:t xml:space="preserve">importers to alter their contracts without incurring penalties; </w:t>
      </w:r>
      <w:r w:rsidRPr="00120295">
        <w:t xml:space="preserve">and to allow customers who do not already use multiple-use bags to adapt to alternatives. </w:t>
      </w:r>
    </w:p>
    <w:p w14:paraId="2DF43E36" w14:textId="3B09864D" w:rsidR="007B771C" w:rsidRDefault="007B771C" w:rsidP="007B771C">
      <w:pPr>
        <w:pStyle w:val="BodyText"/>
      </w:pPr>
      <w:r>
        <w:t xml:space="preserve">New Zealand is a party to the </w:t>
      </w:r>
      <w:r w:rsidR="00543228">
        <w:t>World Trade Organisation (</w:t>
      </w:r>
      <w:r>
        <w:t>WTO</w:t>
      </w:r>
      <w:r w:rsidR="00543228">
        <w:t>)</w:t>
      </w:r>
      <w:r>
        <w:t xml:space="preserve"> Agreement on Technical Barriers to Trade (TBT Agreement). The single-use plastic shopping bags we use are imported, and the proposed mandatory phase out would fall under the TBT Agreement. This agreement requires a </w:t>
      </w:r>
      <w:r w:rsidRPr="00E5715F">
        <w:rPr>
          <w:bCs/>
        </w:rPr>
        <w:t>reasonable interval</w:t>
      </w:r>
      <w:r>
        <w:t xml:space="preserve"> between the publication of technical regulations and their entry into force to allow time for producers in exporting countries, particularly in developing countries, to adapt their products or methods of production. This period is usually six months, as was the case </w:t>
      </w:r>
      <w:r w:rsidR="00AE59CA">
        <w:t xml:space="preserve">for </w:t>
      </w:r>
      <w:r>
        <w:t xml:space="preserve">the plastics microbeads ban. This means that at least six months </w:t>
      </w:r>
      <w:r w:rsidR="00B90D9E">
        <w:t>will be required between Gazettal and regulations coming into effect.</w:t>
      </w:r>
    </w:p>
    <w:p w14:paraId="0E035E35" w14:textId="5753771E" w:rsidR="007B771C" w:rsidRDefault="007B771C" w:rsidP="007B771C">
      <w:pPr>
        <w:pStyle w:val="BodyText"/>
      </w:pPr>
      <w:r>
        <w:t>It is possible, however, that six months may not be enough time for some retailers to use their existing stocks of plastic shopping bags</w:t>
      </w:r>
      <w:r w:rsidR="00B90D9E">
        <w:t xml:space="preserve"> or complete </w:t>
      </w:r>
      <w:r w:rsidR="00750CB6">
        <w:t>existing</w:t>
      </w:r>
      <w:r w:rsidR="00B90D9E">
        <w:t xml:space="preserve"> supply contracts</w:t>
      </w:r>
      <w:r>
        <w:t>. Th</w:t>
      </w:r>
      <w:r w:rsidR="00B90D9E">
        <w:t xml:space="preserve">e consultation document and this </w:t>
      </w:r>
      <w:r>
        <w:t xml:space="preserve">RIS </w:t>
      </w:r>
      <w:r w:rsidR="00B90D9E">
        <w:t>also</w:t>
      </w:r>
      <w:r>
        <w:t xml:space="preserve"> cons</w:t>
      </w:r>
      <w:r w:rsidR="00543228">
        <w:t xml:space="preserve">ider </w:t>
      </w:r>
      <w:r w:rsidR="00E21078">
        <w:t xml:space="preserve">longer </w:t>
      </w:r>
      <w:r w:rsidR="00543228">
        <w:t>phase-out periods</w:t>
      </w:r>
      <w:r>
        <w:t xml:space="preserve">. </w:t>
      </w:r>
    </w:p>
    <w:p w14:paraId="3241E0C2" w14:textId="054AAE7F" w:rsidR="00B90D9E" w:rsidRDefault="00B90D9E" w:rsidP="00750CB6">
      <w:r>
        <w:t>A phase out period of two months was pref</w:t>
      </w:r>
      <w:r w:rsidR="00E86ABB">
        <w:t>erred by the majority</w:t>
      </w:r>
      <w:r>
        <w:t xml:space="preserve"> of submitters</w:t>
      </w:r>
      <w:r w:rsidR="00E86ABB">
        <w:t xml:space="preserve"> (</w:t>
      </w:r>
      <w:r w:rsidR="00A21987">
        <w:rPr>
          <w:rFonts w:cs="Arial"/>
          <w:color w:val="000000" w:themeColor="text1"/>
        </w:rPr>
        <w:t>4,28</w:t>
      </w:r>
      <w:r w:rsidR="00F16E57">
        <w:rPr>
          <w:rFonts w:cs="Arial"/>
          <w:color w:val="000000" w:themeColor="text1"/>
        </w:rPr>
        <w:t>9</w:t>
      </w:r>
      <w:r w:rsidR="00E86ABB" w:rsidRPr="00BA1959">
        <w:rPr>
          <w:rFonts w:cs="Arial"/>
          <w:color w:val="000000" w:themeColor="text1"/>
        </w:rPr>
        <w:t xml:space="preserve"> or 70 per</w:t>
      </w:r>
      <w:r w:rsidR="00E86ABB">
        <w:rPr>
          <w:rFonts w:cs="Arial"/>
          <w:color w:val="000000" w:themeColor="text1"/>
        </w:rPr>
        <w:t xml:space="preserve"> </w:t>
      </w:r>
      <w:r w:rsidR="00E86ABB" w:rsidRPr="00BA1959">
        <w:rPr>
          <w:rFonts w:cs="Arial"/>
          <w:color w:val="000000" w:themeColor="text1"/>
        </w:rPr>
        <w:t>cent)</w:t>
      </w:r>
      <w:r>
        <w:t>. It is however contrary to our WTO Agreement on Technical Barriers to Trade so we have not considered it as an option</w:t>
      </w:r>
      <w:r w:rsidR="00FC04B1">
        <w:t xml:space="preserve">. Public </w:t>
      </w:r>
      <w:r>
        <w:t>opposition to lengthy timeframes is</w:t>
      </w:r>
      <w:r w:rsidR="00082A6A">
        <w:t>,</w:t>
      </w:r>
      <w:r>
        <w:t xml:space="preserve"> however</w:t>
      </w:r>
      <w:r w:rsidR="00082A6A">
        <w:t>,</w:t>
      </w:r>
      <w:r>
        <w:t xml:space="preserve"> a consideration in cho</w:t>
      </w:r>
      <w:r w:rsidR="00082A6A">
        <w:t>osing</w:t>
      </w:r>
      <w:r>
        <w:t xml:space="preserve"> the proposed option.</w:t>
      </w:r>
    </w:p>
    <w:p w14:paraId="24585396" w14:textId="20CCBFCA" w:rsidR="00E86ABB" w:rsidRPr="002E4C9E" w:rsidRDefault="00E86ABB" w:rsidP="00DC18C6">
      <w:pPr>
        <w:spacing w:after="120" w:line="240" w:lineRule="auto"/>
        <w:rPr>
          <w:rFonts w:cs="Arial"/>
          <w:color w:val="000000" w:themeColor="text1"/>
        </w:rPr>
      </w:pPr>
      <w:r w:rsidRPr="002E4C9E">
        <w:rPr>
          <w:rFonts w:cs="Arial"/>
          <w:color w:val="000000" w:themeColor="text1"/>
        </w:rPr>
        <w:t xml:space="preserve">Retail NZ advised </w:t>
      </w:r>
      <w:r>
        <w:rPr>
          <w:rFonts w:cs="Arial"/>
          <w:color w:val="000000" w:themeColor="text1"/>
        </w:rPr>
        <w:t xml:space="preserve">in their submission </w:t>
      </w:r>
      <w:r w:rsidRPr="002E4C9E">
        <w:rPr>
          <w:rFonts w:cs="Arial"/>
          <w:color w:val="000000" w:themeColor="text1"/>
        </w:rPr>
        <w:t>that although major supermarkets and retailers already moving to phase out lightweight carry-bags will not need more than a six</w:t>
      </w:r>
      <w:r w:rsidR="00722E17">
        <w:rPr>
          <w:rFonts w:cs="Arial"/>
          <w:color w:val="000000" w:themeColor="text1"/>
        </w:rPr>
        <w:t>-</w:t>
      </w:r>
      <w:r w:rsidRPr="002E4C9E">
        <w:rPr>
          <w:rFonts w:cs="Arial"/>
          <w:color w:val="000000" w:themeColor="text1"/>
        </w:rPr>
        <w:t xml:space="preserve">month period, some of their smaller members typically buy a two year </w:t>
      </w:r>
      <w:r w:rsidR="002D5F86">
        <w:rPr>
          <w:rFonts w:cs="Arial"/>
          <w:color w:val="000000" w:themeColor="text1"/>
        </w:rPr>
        <w:t xml:space="preserve">or more </w:t>
      </w:r>
      <w:r w:rsidRPr="002E4C9E">
        <w:rPr>
          <w:rFonts w:cs="Arial"/>
          <w:color w:val="000000" w:themeColor="text1"/>
        </w:rPr>
        <w:t>supply of bags to get a cost-effective price. Consequently</w:t>
      </w:r>
      <w:r w:rsidR="002D5F86">
        <w:rPr>
          <w:rFonts w:cs="Arial"/>
          <w:color w:val="000000" w:themeColor="text1"/>
        </w:rPr>
        <w:t>,</w:t>
      </w:r>
      <w:r w:rsidRPr="002E4C9E">
        <w:rPr>
          <w:rFonts w:cs="Arial"/>
          <w:color w:val="000000" w:themeColor="text1"/>
        </w:rPr>
        <w:t xml:space="preserve"> they </w:t>
      </w:r>
      <w:r>
        <w:rPr>
          <w:rFonts w:cs="Arial"/>
          <w:color w:val="000000" w:themeColor="text1"/>
        </w:rPr>
        <w:t>support at least a one</w:t>
      </w:r>
      <w:r w:rsidR="002D5F86">
        <w:rPr>
          <w:rFonts w:cs="Arial"/>
          <w:color w:val="000000" w:themeColor="text1"/>
        </w:rPr>
        <w:t>-</w:t>
      </w:r>
      <w:r>
        <w:rPr>
          <w:rFonts w:cs="Arial"/>
          <w:color w:val="000000" w:themeColor="text1"/>
        </w:rPr>
        <w:t>year phase in</w:t>
      </w:r>
      <w:r w:rsidR="002D5F86">
        <w:rPr>
          <w:rFonts w:cs="Arial"/>
          <w:color w:val="000000" w:themeColor="text1"/>
        </w:rPr>
        <w:t>,</w:t>
      </w:r>
      <w:r>
        <w:rPr>
          <w:rFonts w:cs="Arial"/>
          <w:color w:val="000000" w:themeColor="text1"/>
        </w:rPr>
        <w:t xml:space="preserve"> and preferably </w:t>
      </w:r>
      <w:r w:rsidR="00FC04B1">
        <w:rPr>
          <w:rFonts w:cs="Arial"/>
          <w:color w:val="000000" w:themeColor="text1"/>
        </w:rPr>
        <w:t>more</w:t>
      </w:r>
      <w:r w:rsidR="002D5F86">
        <w:rPr>
          <w:rFonts w:cs="Arial"/>
          <w:color w:val="000000" w:themeColor="text1"/>
        </w:rPr>
        <w:t>,</w:t>
      </w:r>
      <w:r w:rsidR="00FC04B1">
        <w:rPr>
          <w:rFonts w:cs="Arial"/>
          <w:color w:val="000000" w:themeColor="text1"/>
        </w:rPr>
        <w:t xml:space="preserve"> to</w:t>
      </w:r>
      <w:r w:rsidRPr="002E4C9E">
        <w:rPr>
          <w:rFonts w:cs="Arial"/>
          <w:color w:val="000000" w:themeColor="text1"/>
        </w:rPr>
        <w:t xml:space="preserve"> reduce the risk of perverse outcomes, such as dumping surplus bags.</w:t>
      </w:r>
    </w:p>
    <w:p w14:paraId="6B8B648D" w14:textId="77777777" w:rsidR="00B320B2" w:rsidRPr="00750CB6" w:rsidRDefault="00E86ABB" w:rsidP="00DC18C6">
      <w:pPr>
        <w:spacing w:after="120" w:line="240" w:lineRule="auto"/>
        <w:rPr>
          <w:rFonts w:cs="Arial"/>
          <w:iCs/>
          <w:color w:val="000000" w:themeColor="text1"/>
        </w:rPr>
      </w:pPr>
      <w:r w:rsidRPr="002E4C9E">
        <w:rPr>
          <w:rFonts w:cs="Arial"/>
          <w:iCs/>
          <w:color w:val="000000" w:themeColor="text1"/>
        </w:rPr>
        <w:t>The affected retailers will not be prevented from selling or distributing surplus stock for purposes other than carrying away sold goods (</w:t>
      </w:r>
      <w:proofErr w:type="spellStart"/>
      <w:r w:rsidRPr="002E4C9E">
        <w:rPr>
          <w:rFonts w:cs="Arial"/>
          <w:iCs/>
          <w:color w:val="000000" w:themeColor="text1"/>
        </w:rPr>
        <w:t>eg</w:t>
      </w:r>
      <w:proofErr w:type="spellEnd"/>
      <w:r w:rsidRPr="002E4C9E">
        <w:rPr>
          <w:rFonts w:cs="Arial"/>
          <w:iCs/>
          <w:color w:val="000000" w:themeColor="text1"/>
        </w:rPr>
        <w:t xml:space="preserve">, bin liners or clean recycling feedstock). It is also proposed to work with local recyclers to run a collection service so that unused single-use plastic shopping bags can be recycled into new products (rather than being disposed of to landfill). </w:t>
      </w:r>
    </w:p>
    <w:p w14:paraId="5D9D64DD" w14:textId="62722F14" w:rsidR="007B771C" w:rsidRDefault="007B771C" w:rsidP="00DC18C6">
      <w:pPr>
        <w:spacing w:after="0"/>
      </w:pPr>
      <w:r>
        <w:t xml:space="preserve">Three potential phase-out periods are considered: </w:t>
      </w:r>
    </w:p>
    <w:p w14:paraId="7A3364FF" w14:textId="2E2633F0" w:rsidR="007B771C" w:rsidRDefault="00737A24" w:rsidP="00DC18C6">
      <w:pPr>
        <w:numPr>
          <w:ilvl w:val="0"/>
          <w:numId w:val="27"/>
        </w:numPr>
        <w:spacing w:after="0"/>
      </w:pPr>
      <w:r>
        <w:t>s</w:t>
      </w:r>
      <w:r w:rsidR="007B771C">
        <w:t>ix months</w:t>
      </w:r>
    </w:p>
    <w:p w14:paraId="20B68E5D" w14:textId="0D95DFDC" w:rsidR="007B771C" w:rsidRDefault="00737A24" w:rsidP="00DC18C6">
      <w:pPr>
        <w:numPr>
          <w:ilvl w:val="0"/>
          <w:numId w:val="27"/>
        </w:numPr>
        <w:spacing w:after="0"/>
      </w:pPr>
      <w:r>
        <w:t>n</w:t>
      </w:r>
      <w:r w:rsidR="007B771C">
        <w:t>ine months</w:t>
      </w:r>
    </w:p>
    <w:p w14:paraId="168045DA" w14:textId="46FB103A" w:rsidR="007B771C" w:rsidRPr="00E82F34" w:rsidRDefault="00737A24" w:rsidP="00DC18C6">
      <w:pPr>
        <w:numPr>
          <w:ilvl w:val="0"/>
          <w:numId w:val="27"/>
        </w:numPr>
        <w:spacing w:after="120"/>
        <w:ind w:left="419" w:hanging="357"/>
      </w:pPr>
      <w:proofErr w:type="gramStart"/>
      <w:r>
        <w:t>t</w:t>
      </w:r>
      <w:r w:rsidR="008C1AF2">
        <w:t>welve</w:t>
      </w:r>
      <w:proofErr w:type="gramEnd"/>
      <w:r w:rsidR="008C1AF2">
        <w:t xml:space="preserve"> </w:t>
      </w:r>
      <w:r w:rsidR="007B771C">
        <w:t>months</w:t>
      </w:r>
      <w:r w:rsidR="00FA6785">
        <w:t xml:space="preserve"> or longer</w:t>
      </w:r>
      <w:r w:rsidR="007B771C">
        <w:t xml:space="preserve">. </w:t>
      </w:r>
    </w:p>
    <w:p w14:paraId="52047B49" w14:textId="331A5E65" w:rsidR="004878D2" w:rsidRDefault="00E86ABB" w:rsidP="009274CD">
      <w:pPr>
        <w:spacing w:after="120" w:line="280" w:lineRule="exact"/>
        <w:rPr>
          <w:i/>
          <w:u w:val="single"/>
        </w:rPr>
      </w:pPr>
      <w:r>
        <w:t>Commo</w:t>
      </w:r>
      <w:r w:rsidR="00B90D9E">
        <w:t xml:space="preserve">n to all options is that </w:t>
      </w:r>
      <w:r w:rsidR="00B90D9E">
        <w:rPr>
          <w:bCs/>
        </w:rPr>
        <w:t>as long as it is adequately enforced, the phase-out period chosen (whether six, nine or 12</w:t>
      </w:r>
      <w:r w:rsidR="00737A24">
        <w:rPr>
          <w:bCs/>
        </w:rPr>
        <w:t xml:space="preserve"> months</w:t>
      </w:r>
      <w:r w:rsidR="00B90D9E">
        <w:rPr>
          <w:bCs/>
        </w:rPr>
        <w:t>) would not have a substantial effect on advancing the phase-out of single-use plastic shopping bags</w:t>
      </w:r>
      <w:r>
        <w:rPr>
          <w:bCs/>
        </w:rPr>
        <w:t xml:space="preserve">. Longer elapsed times will of course mean status quo impacts </w:t>
      </w:r>
      <w:r w:rsidR="00EC16DA">
        <w:rPr>
          <w:bCs/>
        </w:rPr>
        <w:t xml:space="preserve">will continue </w:t>
      </w:r>
      <w:r>
        <w:rPr>
          <w:bCs/>
        </w:rPr>
        <w:t>for longer.</w:t>
      </w:r>
      <w:r w:rsidR="00B90D9E">
        <w:rPr>
          <w:bCs/>
        </w:rPr>
        <w:t xml:space="preserve"> </w:t>
      </w:r>
    </w:p>
    <w:p w14:paraId="10FA771D" w14:textId="00A29B26" w:rsidR="007B771C" w:rsidRDefault="005051F9" w:rsidP="009274CD">
      <w:pPr>
        <w:spacing w:after="120" w:line="280" w:lineRule="exact"/>
      </w:pPr>
      <w:r>
        <w:rPr>
          <w:i/>
          <w:u w:val="single"/>
        </w:rPr>
        <w:t xml:space="preserve">Option </w:t>
      </w:r>
      <w:r w:rsidR="00A92B0C">
        <w:rPr>
          <w:i/>
          <w:u w:val="single"/>
        </w:rPr>
        <w:t>1</w:t>
      </w:r>
      <w:r>
        <w:rPr>
          <w:i/>
          <w:u w:val="single"/>
        </w:rPr>
        <w:t xml:space="preserve"> </w:t>
      </w:r>
      <w:r w:rsidR="00842BA3">
        <w:rPr>
          <w:i/>
          <w:u w:val="single"/>
        </w:rPr>
        <w:t>–</w:t>
      </w:r>
      <w:r>
        <w:rPr>
          <w:i/>
          <w:u w:val="single"/>
        </w:rPr>
        <w:t xml:space="preserve"> </w:t>
      </w:r>
      <w:r w:rsidR="00842BA3">
        <w:rPr>
          <w:i/>
          <w:u w:val="single"/>
        </w:rPr>
        <w:t>Commencement six months from Gazettal</w:t>
      </w:r>
    </w:p>
    <w:p w14:paraId="73B853F8" w14:textId="2BD23C09" w:rsidR="007B771C" w:rsidRPr="008F1958" w:rsidRDefault="007B771C" w:rsidP="007B771C">
      <w:pPr>
        <w:spacing w:after="120" w:line="280" w:lineRule="exact"/>
        <w:rPr>
          <w:bCs/>
        </w:rPr>
      </w:pPr>
      <w:r>
        <w:rPr>
          <w:bCs/>
        </w:rPr>
        <w:t xml:space="preserve">Conceivably, a phase-out period of six months would inconvenience some retailers (who are not able to use up all their existing stocks of </w:t>
      </w:r>
      <w:r w:rsidR="00D55357">
        <w:rPr>
          <w:bCs/>
        </w:rPr>
        <w:t xml:space="preserve">single-use </w:t>
      </w:r>
      <w:r>
        <w:rPr>
          <w:bCs/>
        </w:rPr>
        <w:t xml:space="preserve">plastic </w:t>
      </w:r>
      <w:r w:rsidR="00D55357">
        <w:rPr>
          <w:bCs/>
        </w:rPr>
        <w:t xml:space="preserve">shopping </w:t>
      </w:r>
      <w:r>
        <w:rPr>
          <w:bCs/>
        </w:rPr>
        <w:t xml:space="preserve">bags) and consumers (who are not able to adjust to reusable bags in time). </w:t>
      </w:r>
    </w:p>
    <w:p w14:paraId="017A5964" w14:textId="35617DAC" w:rsidR="00E41F33" w:rsidRPr="008F1958" w:rsidRDefault="00DB43D2" w:rsidP="007B771C">
      <w:pPr>
        <w:spacing w:after="120" w:line="280" w:lineRule="exact"/>
        <w:rPr>
          <w:bCs/>
        </w:rPr>
      </w:pPr>
      <w:r>
        <w:t>A six</w:t>
      </w:r>
      <w:r w:rsidR="00B304E2">
        <w:t>-</w:t>
      </w:r>
      <w:r w:rsidR="00E41F33">
        <w:t>month timeframe would better satisfy the public demand for shorter timeframes than would the other two options.</w:t>
      </w:r>
    </w:p>
    <w:p w14:paraId="4DC41463" w14:textId="7E7A46E9" w:rsidR="007B771C" w:rsidRDefault="007B771C" w:rsidP="007B771C">
      <w:pPr>
        <w:pStyle w:val="ListParagraph"/>
        <w:ind w:left="0"/>
        <w:rPr>
          <w:bCs/>
        </w:rPr>
      </w:pPr>
      <w:r>
        <w:t xml:space="preserve">Bringing in a six-month phase-out period would provide a financial incentive to reuse or recycle shopping bags earlier than the other two options. </w:t>
      </w:r>
    </w:p>
    <w:p w14:paraId="764F099B" w14:textId="5B266D48" w:rsidR="007B771C" w:rsidRDefault="005051F9" w:rsidP="007B771C">
      <w:r>
        <w:rPr>
          <w:i/>
          <w:u w:val="single"/>
        </w:rPr>
        <w:t xml:space="preserve">Option </w:t>
      </w:r>
      <w:r w:rsidR="00A92B0C">
        <w:rPr>
          <w:i/>
          <w:u w:val="single"/>
        </w:rPr>
        <w:t>2</w:t>
      </w:r>
      <w:r>
        <w:rPr>
          <w:i/>
          <w:u w:val="single"/>
        </w:rPr>
        <w:t xml:space="preserve"> - </w:t>
      </w:r>
      <w:r w:rsidR="00842BA3">
        <w:rPr>
          <w:i/>
          <w:u w:val="single"/>
        </w:rPr>
        <w:t>Commencement nine months from Gazettal</w:t>
      </w:r>
    </w:p>
    <w:p w14:paraId="51307D56" w14:textId="6ACD63A8" w:rsidR="007B771C" w:rsidRPr="008F1958" w:rsidRDefault="007B771C" w:rsidP="007B771C">
      <w:pPr>
        <w:spacing w:after="120" w:line="280" w:lineRule="exact"/>
        <w:rPr>
          <w:bCs/>
        </w:rPr>
      </w:pPr>
      <w:r>
        <w:rPr>
          <w:bCs/>
        </w:rPr>
        <w:t xml:space="preserve">Choosing a phase-out period of nine months would provide </w:t>
      </w:r>
      <w:r w:rsidR="00E41F33">
        <w:rPr>
          <w:bCs/>
        </w:rPr>
        <w:t xml:space="preserve">more </w:t>
      </w:r>
      <w:r>
        <w:rPr>
          <w:bCs/>
        </w:rPr>
        <w:t xml:space="preserve">time to retailers to use up all their existing stocks of plastic </w:t>
      </w:r>
      <w:r w:rsidR="00D55357">
        <w:rPr>
          <w:bCs/>
        </w:rPr>
        <w:t xml:space="preserve">shopping </w:t>
      </w:r>
      <w:r w:rsidR="00DB43D2">
        <w:rPr>
          <w:bCs/>
        </w:rPr>
        <w:t xml:space="preserve">bags and </w:t>
      </w:r>
      <w:r>
        <w:rPr>
          <w:bCs/>
        </w:rPr>
        <w:t xml:space="preserve">place </w:t>
      </w:r>
      <w:r w:rsidR="00E41F33">
        <w:rPr>
          <w:bCs/>
        </w:rPr>
        <w:t xml:space="preserve">no </w:t>
      </w:r>
      <w:r>
        <w:rPr>
          <w:bCs/>
        </w:rPr>
        <w:t>undue costs on communities and businesses</w:t>
      </w:r>
      <w:r w:rsidR="00DB43D2">
        <w:rPr>
          <w:bCs/>
        </w:rPr>
        <w:t>.</w:t>
      </w:r>
      <w:r>
        <w:rPr>
          <w:bCs/>
        </w:rPr>
        <w:t xml:space="preserve"> </w:t>
      </w:r>
    </w:p>
    <w:p w14:paraId="4C453A29" w14:textId="337EC949" w:rsidR="007B771C" w:rsidRDefault="00DB43D2" w:rsidP="007B771C">
      <w:pPr>
        <w:pStyle w:val="ListParagraph"/>
        <w:ind w:left="0"/>
        <w:rPr>
          <w:bCs/>
        </w:rPr>
      </w:pPr>
      <w:r>
        <w:t xml:space="preserve">This option </w:t>
      </w:r>
      <w:r w:rsidR="007B771C">
        <w:t>would provide an earlier financial incentive to reuse or recycle shopping bags than a 12</w:t>
      </w:r>
      <w:r w:rsidR="008C62F5">
        <w:t>-</w:t>
      </w:r>
      <w:r w:rsidR="007B771C">
        <w:t>month phase-out period.</w:t>
      </w:r>
      <w:r w:rsidR="00D05143">
        <w:t xml:space="preserve"> </w:t>
      </w:r>
      <w:r w:rsidR="00E41F33">
        <w:t>It would also better satisfy the public demand for shorter timeframes than 12 months, but less so than 6 months.</w:t>
      </w:r>
    </w:p>
    <w:p w14:paraId="16D522A5" w14:textId="0BC3CD26" w:rsidR="00A325AA" w:rsidRDefault="00A325AA" w:rsidP="00C00D4B">
      <w:pPr>
        <w:pStyle w:val="BodyText"/>
      </w:pPr>
      <w:r>
        <w:rPr>
          <w:bCs/>
        </w:rPr>
        <w:t>Of inte</w:t>
      </w:r>
      <w:r w:rsidR="007C263D">
        <w:rPr>
          <w:bCs/>
        </w:rPr>
        <w:t>rest is the recent experience i</w:t>
      </w:r>
      <w:r>
        <w:t>n</w:t>
      </w:r>
      <w:r w:rsidRPr="00120295">
        <w:t xml:space="preserve"> Queensland </w:t>
      </w:r>
      <w:r>
        <w:t xml:space="preserve">and </w:t>
      </w:r>
      <w:r w:rsidRPr="00120295">
        <w:t>Western Australia</w:t>
      </w:r>
      <w:r w:rsidR="007C263D">
        <w:t xml:space="preserve">, </w:t>
      </w:r>
      <w:r w:rsidR="00E41F33">
        <w:t xml:space="preserve">in </w:t>
      </w:r>
      <w:r w:rsidR="007C263D">
        <w:t xml:space="preserve">which each chose </w:t>
      </w:r>
      <w:r w:rsidRPr="00120295">
        <w:t>a phase-out period of nine months.</w:t>
      </w:r>
      <w:r w:rsidRPr="00120295">
        <w:rPr>
          <w:vertAlign w:val="superscript"/>
        </w:rPr>
        <w:t xml:space="preserve"> </w:t>
      </w:r>
      <w:r>
        <w:t>In Western Australia</w:t>
      </w:r>
      <w:r w:rsidR="009D485A">
        <w:t>,</w:t>
      </w:r>
      <w:r>
        <w:t xml:space="preserve"> </w:t>
      </w:r>
      <w:r w:rsidR="00196A42">
        <w:t xml:space="preserve">submitters to the public </w:t>
      </w:r>
      <w:r w:rsidRPr="00120295">
        <w:t xml:space="preserve">consultation </w:t>
      </w:r>
      <w:r w:rsidR="00196A42">
        <w:t>considered</w:t>
      </w:r>
      <w:r w:rsidRPr="00120295">
        <w:t xml:space="preserve"> a longer phase-out period </w:t>
      </w:r>
      <w:r w:rsidR="00196A42">
        <w:t xml:space="preserve">was required </w:t>
      </w:r>
      <w:r w:rsidRPr="00120295">
        <w:t>for retailers to use existing stocks of single-use plastic shopping bags</w:t>
      </w:r>
      <w:r w:rsidR="00196A42">
        <w:t>. In response</w:t>
      </w:r>
      <w:r w:rsidRPr="00120295">
        <w:t>, the imposition of fines for non-compliance was extended an additional six months.</w:t>
      </w:r>
      <w:r w:rsidRPr="00120295">
        <w:rPr>
          <w:rStyle w:val="FootnoteReference"/>
        </w:rPr>
        <w:footnoteReference w:id="18"/>
      </w:r>
    </w:p>
    <w:p w14:paraId="099ECF10" w14:textId="623CCE15" w:rsidR="007B771C" w:rsidRDefault="005051F9" w:rsidP="007B771C">
      <w:r>
        <w:rPr>
          <w:i/>
          <w:u w:val="single"/>
        </w:rPr>
        <w:t xml:space="preserve">Option </w:t>
      </w:r>
      <w:r w:rsidR="00A92B0C">
        <w:rPr>
          <w:i/>
          <w:u w:val="single"/>
        </w:rPr>
        <w:t>3</w:t>
      </w:r>
      <w:r>
        <w:rPr>
          <w:i/>
          <w:u w:val="single"/>
        </w:rPr>
        <w:t xml:space="preserve"> - </w:t>
      </w:r>
      <w:r w:rsidR="00842BA3">
        <w:rPr>
          <w:i/>
          <w:u w:val="single"/>
        </w:rPr>
        <w:t>Commencement twelve months from Gazettal</w:t>
      </w:r>
    </w:p>
    <w:p w14:paraId="2C7A585A" w14:textId="32CFE1A8" w:rsidR="007B771C" w:rsidRPr="008F1958" w:rsidRDefault="007B771C" w:rsidP="007B771C">
      <w:pPr>
        <w:spacing w:after="120" w:line="280" w:lineRule="exact"/>
        <w:rPr>
          <w:bCs/>
        </w:rPr>
      </w:pPr>
      <w:r>
        <w:rPr>
          <w:bCs/>
        </w:rPr>
        <w:t xml:space="preserve">Choosing a phase-out period of 12 months would most likely provide more than enough time for retailers to use up all their existing stocks of plastic </w:t>
      </w:r>
      <w:r w:rsidR="00D55357">
        <w:rPr>
          <w:bCs/>
        </w:rPr>
        <w:t xml:space="preserve">shopping </w:t>
      </w:r>
      <w:r>
        <w:rPr>
          <w:bCs/>
        </w:rPr>
        <w:t xml:space="preserve">bags.  </w:t>
      </w:r>
    </w:p>
    <w:p w14:paraId="6C9C4FBB" w14:textId="367C7705" w:rsidR="007B771C" w:rsidRPr="008F1958" w:rsidRDefault="007B771C" w:rsidP="007B771C">
      <w:pPr>
        <w:spacing w:after="120" w:line="280" w:lineRule="exact"/>
        <w:rPr>
          <w:bCs/>
        </w:rPr>
      </w:pPr>
      <w:r>
        <w:rPr>
          <w:bCs/>
        </w:rPr>
        <w:t>A phase-out period of 12 months is unlikely to place undue costs on communities and businesses, as it is most likely to provide them with more than enough time to make the transition.</w:t>
      </w:r>
      <w:r w:rsidR="00D05143">
        <w:rPr>
          <w:bCs/>
        </w:rPr>
        <w:t xml:space="preserve"> </w:t>
      </w:r>
      <w:r w:rsidR="00903285">
        <w:rPr>
          <w:bCs/>
        </w:rPr>
        <w:t>It would not adequately address the public demand for shorter timeframes.</w:t>
      </w:r>
    </w:p>
    <w:p w14:paraId="2F62825C" w14:textId="3D9997FE" w:rsidR="00842BA3" w:rsidRDefault="00842BA3">
      <w:pPr>
        <w:spacing w:after="0" w:line="240" w:lineRule="auto"/>
        <w:rPr>
          <w:b/>
          <w:bCs/>
        </w:rPr>
      </w:pPr>
    </w:p>
    <w:p w14:paraId="78F694B1" w14:textId="77777777" w:rsidR="00BD0967" w:rsidRDefault="00BD0967">
      <w:pPr>
        <w:spacing w:after="0" w:line="240" w:lineRule="auto"/>
        <w:rPr>
          <w:b/>
          <w:bCs/>
        </w:rPr>
      </w:pPr>
      <w:r>
        <w:rPr>
          <w:b/>
          <w:bCs/>
        </w:rPr>
        <w:br w:type="page"/>
      </w:r>
    </w:p>
    <w:p w14:paraId="43ABAD5F" w14:textId="341A8895" w:rsidR="007B771C" w:rsidRPr="00D16FD1" w:rsidRDefault="007B771C" w:rsidP="00A92B0C">
      <w:pPr>
        <w:keepNext/>
        <w:tabs>
          <w:tab w:val="left" w:pos="397"/>
        </w:tabs>
        <w:spacing w:after="120" w:line="280" w:lineRule="exact"/>
        <w:rPr>
          <w:b/>
          <w:bCs/>
          <w:i/>
        </w:rPr>
      </w:pPr>
      <w:r w:rsidRPr="00D16FD1">
        <w:rPr>
          <w:b/>
          <w:bCs/>
          <w:i/>
        </w:rPr>
        <w:t xml:space="preserve">Impact Analysis: Timeframe for </w:t>
      </w:r>
      <w:r w:rsidR="00842BA3" w:rsidRPr="00D16FD1">
        <w:rPr>
          <w:b/>
          <w:bCs/>
          <w:i/>
        </w:rPr>
        <w:t>commencement of mandatory phase out</w:t>
      </w:r>
      <w:r w:rsidR="007C263D" w:rsidRPr="00D16FD1">
        <w:rPr>
          <w:b/>
          <w:bCs/>
          <w:i/>
        </w:rPr>
        <w:t xml:space="preserve"> </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329"/>
        <w:gridCol w:w="1328"/>
        <w:gridCol w:w="1329"/>
      </w:tblGrid>
      <w:tr w:rsidR="00DC18C6" w:rsidRPr="005910FD" w14:paraId="7EA394B3" w14:textId="1F4ADFA5" w:rsidTr="00DC18C6">
        <w:tc>
          <w:tcPr>
            <w:tcW w:w="2741" w:type="pct"/>
            <w:shd w:val="clear" w:color="auto" w:fill="99CDDD"/>
          </w:tcPr>
          <w:p w14:paraId="2C26F9D8" w14:textId="5F208B92" w:rsidR="007B771C" w:rsidRPr="00384E9B" w:rsidRDefault="007B771C" w:rsidP="00A42D23">
            <w:pPr>
              <w:spacing w:before="60" w:after="60" w:line="276" w:lineRule="auto"/>
              <w:jc w:val="both"/>
              <w:rPr>
                <w:rFonts w:cs="Arial"/>
                <w:b/>
                <w:color w:val="FFFFFF"/>
                <w:sz w:val="20"/>
                <w:szCs w:val="24"/>
              </w:rPr>
            </w:pPr>
          </w:p>
        </w:tc>
        <w:tc>
          <w:tcPr>
            <w:tcW w:w="753" w:type="pct"/>
            <w:shd w:val="clear" w:color="auto" w:fill="99CDDD"/>
            <w:vAlign w:val="center"/>
          </w:tcPr>
          <w:p w14:paraId="6E4B8F42" w14:textId="12DD399B" w:rsidR="007B771C" w:rsidRPr="00384E9B" w:rsidRDefault="007B771C" w:rsidP="00307E51">
            <w:pPr>
              <w:spacing w:before="60" w:after="60" w:line="240" w:lineRule="auto"/>
              <w:jc w:val="center"/>
              <w:rPr>
                <w:rFonts w:cs="Arial"/>
                <w:b/>
                <w:color w:val="000000"/>
                <w:sz w:val="20"/>
                <w:szCs w:val="24"/>
              </w:rPr>
            </w:pPr>
            <w:r>
              <w:rPr>
                <w:rFonts w:cs="Arial"/>
                <w:b/>
                <w:color w:val="000000"/>
                <w:sz w:val="20"/>
                <w:szCs w:val="24"/>
              </w:rPr>
              <w:t xml:space="preserve">Option 1 – </w:t>
            </w:r>
            <w:r w:rsidR="007C263D">
              <w:rPr>
                <w:rFonts w:cs="Arial"/>
                <w:b/>
                <w:color w:val="000000"/>
                <w:sz w:val="20"/>
                <w:szCs w:val="24"/>
              </w:rPr>
              <w:br/>
            </w:r>
            <w:r>
              <w:rPr>
                <w:rFonts w:cs="Arial"/>
                <w:b/>
                <w:color w:val="000000"/>
                <w:sz w:val="20"/>
                <w:szCs w:val="24"/>
              </w:rPr>
              <w:t>6 months</w:t>
            </w:r>
          </w:p>
        </w:tc>
        <w:tc>
          <w:tcPr>
            <w:tcW w:w="752" w:type="pct"/>
            <w:shd w:val="clear" w:color="auto" w:fill="99CDDD"/>
            <w:vAlign w:val="center"/>
          </w:tcPr>
          <w:p w14:paraId="63C3D53B" w14:textId="4050F06B" w:rsidR="007B771C" w:rsidRPr="00384E9B" w:rsidRDefault="007B771C" w:rsidP="00307E51">
            <w:pPr>
              <w:spacing w:before="60" w:after="60" w:line="276" w:lineRule="auto"/>
              <w:jc w:val="center"/>
              <w:rPr>
                <w:rFonts w:cs="Arial"/>
                <w:b/>
                <w:color w:val="000000"/>
                <w:sz w:val="20"/>
                <w:szCs w:val="24"/>
              </w:rPr>
            </w:pPr>
            <w:r w:rsidRPr="00384E9B">
              <w:rPr>
                <w:rFonts w:cs="Arial"/>
                <w:b/>
                <w:color w:val="000000"/>
                <w:sz w:val="20"/>
                <w:szCs w:val="24"/>
              </w:rPr>
              <w:t xml:space="preserve">Option </w:t>
            </w:r>
            <w:r>
              <w:rPr>
                <w:rFonts w:cs="Arial"/>
                <w:b/>
                <w:color w:val="000000"/>
                <w:sz w:val="20"/>
                <w:szCs w:val="24"/>
              </w:rPr>
              <w:t xml:space="preserve">2 – </w:t>
            </w:r>
            <w:r w:rsidR="007C263D">
              <w:rPr>
                <w:rFonts w:cs="Arial"/>
                <w:b/>
                <w:color w:val="000000"/>
                <w:sz w:val="20"/>
                <w:szCs w:val="24"/>
              </w:rPr>
              <w:br/>
            </w:r>
            <w:r>
              <w:rPr>
                <w:rFonts w:cs="Arial"/>
                <w:b/>
                <w:color w:val="000000"/>
                <w:sz w:val="20"/>
                <w:szCs w:val="24"/>
              </w:rPr>
              <w:t>9 months</w:t>
            </w:r>
          </w:p>
        </w:tc>
        <w:tc>
          <w:tcPr>
            <w:tcW w:w="753" w:type="pct"/>
            <w:shd w:val="clear" w:color="auto" w:fill="99CDDD"/>
            <w:vAlign w:val="center"/>
          </w:tcPr>
          <w:p w14:paraId="6AD814D1" w14:textId="28E9756F" w:rsidR="007B771C" w:rsidRPr="00384E9B" w:rsidRDefault="007B771C" w:rsidP="00307E51">
            <w:pPr>
              <w:spacing w:before="60" w:after="60" w:line="276" w:lineRule="auto"/>
              <w:jc w:val="center"/>
              <w:rPr>
                <w:rFonts w:cs="Arial"/>
                <w:b/>
                <w:color w:val="000000"/>
                <w:sz w:val="20"/>
                <w:szCs w:val="24"/>
              </w:rPr>
            </w:pPr>
            <w:r>
              <w:rPr>
                <w:rFonts w:cs="Arial"/>
                <w:b/>
                <w:color w:val="000000"/>
                <w:sz w:val="20"/>
                <w:szCs w:val="24"/>
              </w:rPr>
              <w:t xml:space="preserve">Option 3 – </w:t>
            </w:r>
            <w:r w:rsidR="007C263D">
              <w:rPr>
                <w:rFonts w:cs="Arial"/>
                <w:b/>
                <w:color w:val="000000"/>
                <w:sz w:val="20"/>
                <w:szCs w:val="24"/>
              </w:rPr>
              <w:br/>
            </w:r>
            <w:r>
              <w:rPr>
                <w:rFonts w:cs="Arial"/>
                <w:b/>
                <w:color w:val="000000"/>
                <w:sz w:val="20"/>
                <w:szCs w:val="24"/>
              </w:rPr>
              <w:t>12 months</w:t>
            </w:r>
          </w:p>
        </w:tc>
      </w:tr>
      <w:tr w:rsidR="00DC18C6" w:rsidRPr="00DD7964" w14:paraId="4C319D8A" w14:textId="5F8978AA" w:rsidTr="00DC18C6">
        <w:tc>
          <w:tcPr>
            <w:tcW w:w="2741" w:type="pct"/>
            <w:shd w:val="clear" w:color="auto" w:fill="99CDDD"/>
          </w:tcPr>
          <w:p w14:paraId="648CA41E" w14:textId="36DC33C0" w:rsidR="007B771C" w:rsidRPr="007A7B7A" w:rsidRDefault="007B771C" w:rsidP="00DC3AB5">
            <w:pPr>
              <w:spacing w:before="60" w:after="60" w:line="240" w:lineRule="auto"/>
              <w:rPr>
                <w:rFonts w:cs="Arial"/>
                <w:b/>
                <w:i/>
                <w:color w:val="000000"/>
                <w:sz w:val="20"/>
                <w:szCs w:val="24"/>
              </w:rPr>
            </w:pPr>
            <w:r>
              <w:rPr>
                <w:rFonts w:cs="Arial"/>
                <w:b/>
                <w:color w:val="000000"/>
                <w:sz w:val="20"/>
                <w:szCs w:val="24"/>
              </w:rPr>
              <w:t xml:space="preserve">Substantially advances the phase-out of single-use plastic </w:t>
            </w:r>
            <w:r w:rsidR="00D55357">
              <w:rPr>
                <w:bCs/>
              </w:rPr>
              <w:t xml:space="preserve">shopping </w:t>
            </w:r>
            <w:r>
              <w:rPr>
                <w:rFonts w:cs="Arial"/>
                <w:b/>
                <w:color w:val="000000"/>
                <w:sz w:val="20"/>
                <w:szCs w:val="24"/>
              </w:rPr>
              <w:t xml:space="preserve">bags </w:t>
            </w:r>
          </w:p>
        </w:tc>
        <w:tc>
          <w:tcPr>
            <w:tcW w:w="753" w:type="pct"/>
            <w:shd w:val="clear" w:color="auto" w:fill="auto"/>
            <w:vAlign w:val="center"/>
          </w:tcPr>
          <w:p w14:paraId="0280EDF1" w14:textId="7C6FBF7E" w:rsidR="007B771C" w:rsidRPr="00384E9B" w:rsidRDefault="007C263D" w:rsidP="00A42D23">
            <w:pPr>
              <w:pStyle w:val="TableText"/>
              <w:spacing w:line="276" w:lineRule="auto"/>
              <w:jc w:val="center"/>
              <w:rPr>
                <w:b/>
              </w:rPr>
            </w:pPr>
            <w:r w:rsidRPr="00373CD5">
              <w:rPr>
                <w:rFonts w:cs="Arial"/>
                <w:b/>
                <w:color w:val="00B050"/>
              </w:rPr>
              <w:t>+</w:t>
            </w:r>
            <w:r>
              <w:rPr>
                <w:rFonts w:cs="Arial"/>
                <w:b/>
                <w:color w:val="00B050"/>
              </w:rPr>
              <w:t>+</w:t>
            </w:r>
          </w:p>
        </w:tc>
        <w:tc>
          <w:tcPr>
            <w:tcW w:w="752" w:type="pct"/>
            <w:shd w:val="clear" w:color="auto" w:fill="auto"/>
            <w:vAlign w:val="center"/>
          </w:tcPr>
          <w:p w14:paraId="2734DE44" w14:textId="629D02A4" w:rsidR="007B771C" w:rsidRPr="00DD7964" w:rsidRDefault="007B771C" w:rsidP="00A42D23">
            <w:pPr>
              <w:pStyle w:val="TableText"/>
              <w:spacing w:line="276" w:lineRule="auto"/>
              <w:jc w:val="center"/>
            </w:pPr>
            <w:r w:rsidRPr="00373CD5">
              <w:rPr>
                <w:rFonts w:cs="Arial"/>
                <w:b/>
                <w:color w:val="00B050"/>
              </w:rPr>
              <w:t>++</w:t>
            </w:r>
          </w:p>
        </w:tc>
        <w:tc>
          <w:tcPr>
            <w:tcW w:w="753" w:type="pct"/>
            <w:vAlign w:val="center"/>
          </w:tcPr>
          <w:p w14:paraId="323F9486" w14:textId="3C7B416B" w:rsidR="007B771C" w:rsidRPr="00373CD5" w:rsidRDefault="007B771C" w:rsidP="00A42D23">
            <w:pPr>
              <w:pStyle w:val="TableText"/>
              <w:spacing w:line="276" w:lineRule="auto"/>
              <w:jc w:val="center"/>
              <w:rPr>
                <w:rFonts w:cs="Arial"/>
                <w:b/>
                <w:color w:val="00B050"/>
              </w:rPr>
            </w:pPr>
            <w:r w:rsidRPr="00373CD5">
              <w:rPr>
                <w:rFonts w:cs="Arial"/>
                <w:b/>
                <w:color w:val="00B050"/>
              </w:rPr>
              <w:t>+</w:t>
            </w:r>
          </w:p>
        </w:tc>
      </w:tr>
      <w:tr w:rsidR="00DC18C6" w:rsidRPr="00DD7964" w14:paraId="5204B867" w14:textId="18B2ABDB" w:rsidTr="00DC18C6">
        <w:tc>
          <w:tcPr>
            <w:tcW w:w="2741" w:type="pct"/>
            <w:shd w:val="clear" w:color="auto" w:fill="99CDDD"/>
          </w:tcPr>
          <w:p w14:paraId="26758E34" w14:textId="35024F0D" w:rsidR="007B771C" w:rsidRPr="007A7B7A" w:rsidRDefault="007B771C" w:rsidP="00DC3AB5">
            <w:pPr>
              <w:spacing w:before="60" w:after="60" w:line="240" w:lineRule="auto"/>
              <w:rPr>
                <w:rFonts w:cs="Arial"/>
                <w:b/>
                <w:i/>
                <w:color w:val="000000"/>
                <w:sz w:val="20"/>
                <w:szCs w:val="24"/>
              </w:rPr>
            </w:pPr>
            <w:r>
              <w:rPr>
                <w:rFonts w:cs="Arial"/>
                <w:b/>
                <w:color w:val="000000"/>
                <w:sz w:val="20"/>
                <w:szCs w:val="24"/>
              </w:rPr>
              <w:t xml:space="preserve">No undue costs on community, business or public funds </w:t>
            </w:r>
          </w:p>
        </w:tc>
        <w:tc>
          <w:tcPr>
            <w:tcW w:w="753" w:type="pct"/>
            <w:shd w:val="clear" w:color="auto" w:fill="auto"/>
            <w:vAlign w:val="center"/>
          </w:tcPr>
          <w:p w14:paraId="06DD16EB" w14:textId="64A8B799" w:rsidR="007B771C" w:rsidRPr="00384E9B" w:rsidRDefault="007B771C" w:rsidP="00A42D23">
            <w:pPr>
              <w:pStyle w:val="TableText"/>
              <w:spacing w:line="276" w:lineRule="auto"/>
              <w:jc w:val="center"/>
              <w:rPr>
                <w:b/>
              </w:rPr>
            </w:pPr>
            <w:r w:rsidRPr="00373CD5">
              <w:rPr>
                <w:rFonts w:cs="Arial"/>
                <w:b/>
                <w:color w:val="FF0000"/>
              </w:rPr>
              <w:t>-</w:t>
            </w:r>
          </w:p>
        </w:tc>
        <w:tc>
          <w:tcPr>
            <w:tcW w:w="752" w:type="pct"/>
            <w:shd w:val="clear" w:color="auto" w:fill="auto"/>
            <w:vAlign w:val="center"/>
          </w:tcPr>
          <w:p w14:paraId="6AC4E76C" w14:textId="67F3D27F" w:rsidR="007B771C" w:rsidRPr="00DB43D2" w:rsidRDefault="007C263D" w:rsidP="00A42D23">
            <w:pPr>
              <w:jc w:val="center"/>
              <w:rPr>
                <w:color w:val="FF0000"/>
              </w:rPr>
            </w:pPr>
            <w:r w:rsidRPr="00DB43D2">
              <w:rPr>
                <w:rFonts w:cs="Arial"/>
                <w:b/>
                <w:color w:val="FF0000"/>
                <w:sz w:val="20"/>
              </w:rPr>
              <w:t>-</w:t>
            </w:r>
          </w:p>
        </w:tc>
        <w:tc>
          <w:tcPr>
            <w:tcW w:w="753" w:type="pct"/>
            <w:vAlign w:val="center"/>
          </w:tcPr>
          <w:p w14:paraId="1EEF00F7" w14:textId="056F44E5" w:rsidR="007B771C" w:rsidRPr="00DB43D2" w:rsidRDefault="00DB43D2" w:rsidP="00A42D23">
            <w:pPr>
              <w:jc w:val="center"/>
              <w:rPr>
                <w:color w:val="FF0000"/>
              </w:rPr>
            </w:pPr>
            <w:r w:rsidRPr="00DB43D2">
              <w:rPr>
                <w:rFonts w:cs="Arial"/>
                <w:b/>
                <w:color w:val="FF0000"/>
                <w:sz w:val="20"/>
              </w:rPr>
              <w:t>-</w:t>
            </w:r>
          </w:p>
        </w:tc>
      </w:tr>
    </w:tbl>
    <w:p w14:paraId="1A233BDC" w14:textId="1977BFE9" w:rsidR="007B771C" w:rsidRDefault="007B771C" w:rsidP="007B771C">
      <w:pPr>
        <w:pStyle w:val="spacer"/>
      </w:pPr>
    </w:p>
    <w:p w14:paraId="54BC24BD" w14:textId="220A0ED6" w:rsidR="007B771C" w:rsidRPr="0049467D" w:rsidRDefault="007B771C" w:rsidP="007B771C">
      <w:pPr>
        <w:spacing w:after="120" w:line="276" w:lineRule="auto"/>
        <w:rPr>
          <w:rFonts w:cs="Arial"/>
          <w:b/>
          <w:sz w:val="20"/>
        </w:rPr>
      </w:pPr>
      <w:r w:rsidRPr="0049467D">
        <w:rPr>
          <w:rFonts w:cs="Arial"/>
          <w:b/>
          <w:sz w:val="20"/>
        </w:rPr>
        <w:t>Key:</w:t>
      </w:r>
    </w:p>
    <w:p w14:paraId="50DA3AE1" w14:textId="494CA688" w:rsidR="007B771C" w:rsidRPr="0049467D" w:rsidRDefault="007B771C" w:rsidP="00A75BB3">
      <w:pPr>
        <w:spacing w:after="0" w:line="276" w:lineRule="auto"/>
        <w:rPr>
          <w:rFonts w:cs="Arial"/>
          <w:sz w:val="20"/>
        </w:rPr>
      </w:pPr>
      <w:r w:rsidRPr="00373CD5">
        <w:rPr>
          <w:rFonts w:cs="Arial"/>
          <w:b/>
          <w:color w:val="00B050"/>
          <w:sz w:val="20"/>
        </w:rPr>
        <w:t>++</w:t>
      </w:r>
      <w:r w:rsidRPr="0049467D">
        <w:rPr>
          <w:rFonts w:cs="Arial"/>
          <w:sz w:val="20"/>
        </w:rPr>
        <w:t xml:space="preserve">  </w:t>
      </w:r>
      <w:r w:rsidR="00DB43D2">
        <w:rPr>
          <w:rFonts w:cs="Arial"/>
          <w:sz w:val="20"/>
        </w:rPr>
        <w:tab/>
      </w:r>
      <w:proofErr w:type="gramStart"/>
      <w:r w:rsidR="00DB43D2">
        <w:rPr>
          <w:rFonts w:cs="Arial"/>
          <w:sz w:val="20"/>
        </w:rPr>
        <w:t>much</w:t>
      </w:r>
      <w:proofErr w:type="gramEnd"/>
      <w:r w:rsidR="00DB43D2">
        <w:rPr>
          <w:rFonts w:cs="Arial"/>
          <w:sz w:val="20"/>
        </w:rPr>
        <w:t xml:space="preserve"> better than </w:t>
      </w:r>
      <w:r w:rsidRPr="0049467D">
        <w:rPr>
          <w:rFonts w:cs="Arial"/>
          <w:sz w:val="20"/>
        </w:rPr>
        <w:t>the status quo</w:t>
      </w:r>
    </w:p>
    <w:p w14:paraId="5F11A9DF" w14:textId="5676E5EC" w:rsidR="007B771C" w:rsidRPr="0049467D" w:rsidRDefault="007B771C" w:rsidP="00A75BB3">
      <w:pPr>
        <w:spacing w:after="0" w:line="276" w:lineRule="auto"/>
        <w:rPr>
          <w:rFonts w:cs="Arial"/>
          <w:sz w:val="20"/>
        </w:rPr>
      </w:pPr>
      <w:r w:rsidRPr="00373CD5">
        <w:rPr>
          <w:rFonts w:cs="Arial"/>
          <w:b/>
          <w:color w:val="00B050"/>
          <w:sz w:val="20"/>
        </w:rPr>
        <w:t>+</w:t>
      </w:r>
      <w:r w:rsidRPr="00373CD5">
        <w:rPr>
          <w:rFonts w:cs="Arial"/>
          <w:color w:val="00B050"/>
          <w:sz w:val="20"/>
        </w:rPr>
        <w:t xml:space="preserve"> </w:t>
      </w:r>
      <w:r w:rsidR="00DB43D2">
        <w:rPr>
          <w:rFonts w:cs="Arial"/>
          <w:sz w:val="20"/>
        </w:rPr>
        <w:t xml:space="preserve"> </w:t>
      </w:r>
      <w:r w:rsidR="00DB43D2">
        <w:rPr>
          <w:rFonts w:cs="Arial"/>
          <w:sz w:val="20"/>
        </w:rPr>
        <w:tab/>
      </w:r>
      <w:proofErr w:type="gramStart"/>
      <w:r w:rsidR="00DB43D2">
        <w:rPr>
          <w:rFonts w:cs="Arial"/>
          <w:sz w:val="20"/>
        </w:rPr>
        <w:t>better</w:t>
      </w:r>
      <w:proofErr w:type="gramEnd"/>
      <w:r w:rsidR="00DB43D2">
        <w:rPr>
          <w:rFonts w:cs="Arial"/>
          <w:sz w:val="20"/>
        </w:rPr>
        <w:t xml:space="preserve"> than </w:t>
      </w:r>
      <w:r w:rsidRPr="0049467D">
        <w:rPr>
          <w:rFonts w:cs="Arial"/>
          <w:sz w:val="20"/>
        </w:rPr>
        <w:t>the status quo</w:t>
      </w:r>
    </w:p>
    <w:p w14:paraId="43AEAB93" w14:textId="379D1CE3" w:rsidR="007B771C" w:rsidRPr="0049467D" w:rsidRDefault="007B771C" w:rsidP="00A75BB3">
      <w:pPr>
        <w:spacing w:after="0" w:line="276" w:lineRule="auto"/>
        <w:rPr>
          <w:rFonts w:cs="Arial"/>
          <w:sz w:val="20"/>
        </w:rPr>
      </w:pPr>
      <w:r w:rsidRPr="0049467D">
        <w:rPr>
          <w:rFonts w:cs="Arial"/>
          <w:b/>
          <w:sz w:val="20"/>
        </w:rPr>
        <w:t>0</w:t>
      </w:r>
      <w:r w:rsidRPr="0049467D">
        <w:rPr>
          <w:rFonts w:cs="Arial"/>
          <w:sz w:val="20"/>
        </w:rPr>
        <w:t xml:space="preserve">  </w:t>
      </w:r>
      <w:r w:rsidRPr="0049467D">
        <w:rPr>
          <w:rFonts w:cs="Arial"/>
          <w:sz w:val="20"/>
        </w:rPr>
        <w:tab/>
      </w:r>
      <w:r w:rsidR="00DB43D2">
        <w:rPr>
          <w:rFonts w:cs="Arial"/>
          <w:sz w:val="20"/>
        </w:rPr>
        <w:t xml:space="preserve">about the same as </w:t>
      </w:r>
      <w:r w:rsidRPr="0049467D">
        <w:rPr>
          <w:rFonts w:cs="Arial"/>
          <w:sz w:val="20"/>
        </w:rPr>
        <w:t>the status quo</w:t>
      </w:r>
    </w:p>
    <w:p w14:paraId="1EF8FEE5" w14:textId="02D4166C" w:rsidR="007B771C" w:rsidRPr="0049467D" w:rsidRDefault="007B771C" w:rsidP="00A75BB3">
      <w:pPr>
        <w:spacing w:after="0" w:line="276" w:lineRule="auto"/>
        <w:rPr>
          <w:rFonts w:cs="Arial"/>
          <w:sz w:val="20"/>
        </w:rPr>
      </w:pPr>
      <w:r w:rsidRPr="00373CD5">
        <w:rPr>
          <w:rFonts w:cs="Arial"/>
          <w:b/>
          <w:color w:val="FF0000"/>
          <w:sz w:val="20"/>
        </w:rPr>
        <w:t>-</w:t>
      </w:r>
      <w:r w:rsidRPr="0049467D">
        <w:rPr>
          <w:rFonts w:cs="Arial"/>
          <w:sz w:val="20"/>
        </w:rPr>
        <w:t xml:space="preserve"> </w:t>
      </w:r>
      <w:r w:rsidRPr="0049467D">
        <w:rPr>
          <w:rFonts w:cs="Arial"/>
          <w:sz w:val="20"/>
        </w:rPr>
        <w:tab/>
      </w:r>
      <w:proofErr w:type="gramStart"/>
      <w:r w:rsidRPr="0049467D">
        <w:rPr>
          <w:rFonts w:cs="Arial"/>
          <w:sz w:val="20"/>
        </w:rPr>
        <w:t>worse</w:t>
      </w:r>
      <w:proofErr w:type="gramEnd"/>
      <w:r w:rsidR="00DB43D2">
        <w:rPr>
          <w:rFonts w:cs="Arial"/>
          <w:sz w:val="20"/>
        </w:rPr>
        <w:t xml:space="preserve"> than </w:t>
      </w:r>
      <w:r w:rsidRPr="0049467D">
        <w:rPr>
          <w:rFonts w:cs="Arial"/>
          <w:sz w:val="20"/>
        </w:rPr>
        <w:t>the status quo</w:t>
      </w:r>
    </w:p>
    <w:p w14:paraId="51575E86" w14:textId="13FCF4FD" w:rsidR="007B771C" w:rsidRDefault="007B771C" w:rsidP="00A75BB3">
      <w:pPr>
        <w:spacing w:after="0" w:line="276" w:lineRule="auto"/>
        <w:rPr>
          <w:rFonts w:cs="Arial"/>
          <w:sz w:val="20"/>
        </w:rPr>
      </w:pPr>
      <w:r w:rsidRPr="00373CD5">
        <w:rPr>
          <w:rFonts w:cs="Arial"/>
          <w:b/>
          <w:color w:val="FF0000"/>
          <w:sz w:val="20"/>
        </w:rPr>
        <w:t>- -</w:t>
      </w:r>
      <w:r w:rsidR="00DB43D2">
        <w:rPr>
          <w:rFonts w:cs="Arial"/>
          <w:sz w:val="20"/>
        </w:rPr>
        <w:t xml:space="preserve"> </w:t>
      </w:r>
      <w:r w:rsidR="00DB43D2">
        <w:rPr>
          <w:rFonts w:cs="Arial"/>
          <w:sz w:val="20"/>
        </w:rPr>
        <w:tab/>
        <w:t xml:space="preserve">much worse than </w:t>
      </w:r>
      <w:r w:rsidRPr="0049467D">
        <w:rPr>
          <w:rFonts w:cs="Arial"/>
          <w:sz w:val="20"/>
        </w:rPr>
        <w:t>the status quo</w:t>
      </w:r>
    </w:p>
    <w:p w14:paraId="1BD054D1" w14:textId="77777777" w:rsidR="00076706" w:rsidRDefault="00076706" w:rsidP="007B771C">
      <w:pPr>
        <w:rPr>
          <w:i/>
          <w:u w:val="single"/>
        </w:rPr>
      </w:pPr>
    </w:p>
    <w:p w14:paraId="58F70929" w14:textId="395F65C7" w:rsidR="007B771C" w:rsidRDefault="007B771C" w:rsidP="007B771C">
      <w:r>
        <w:rPr>
          <w:i/>
          <w:u w:val="single"/>
        </w:rPr>
        <w:t>Recommended option</w:t>
      </w:r>
    </w:p>
    <w:p w14:paraId="566A362F" w14:textId="297FD475" w:rsidR="0063566A" w:rsidRDefault="0063566A" w:rsidP="0063566A">
      <w:pPr>
        <w:pStyle w:val="BodyText"/>
      </w:pPr>
      <w:r>
        <w:t xml:space="preserve">To comply with international obligations, it is necessary to allow a period of at least six months between Gazetting and commencement of the mandatory phase out. Allowing more time than six months would allow consumers and retailers more time to make the necessary changes.  </w:t>
      </w:r>
    </w:p>
    <w:p w14:paraId="1112713B" w14:textId="1A4C8B24" w:rsidR="00076706" w:rsidRDefault="00076706" w:rsidP="0063566A">
      <w:pPr>
        <w:spacing w:after="0" w:line="240" w:lineRule="auto"/>
      </w:pPr>
    </w:p>
    <w:p w14:paraId="37020217" w14:textId="722B47F5" w:rsidR="007B771C" w:rsidRPr="0005691A" w:rsidRDefault="007B771C" w:rsidP="007C039F">
      <w:pPr>
        <w:pStyle w:val="Heading2"/>
      </w:pPr>
      <w:bookmarkStart w:id="51" w:name="_Toc528670877"/>
      <w:r w:rsidRPr="0005691A">
        <w:t>Section 5: Conclusions</w:t>
      </w:r>
      <w:bookmarkEnd w:id="51"/>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52"/>
      </w:tblGrid>
      <w:tr w:rsidR="007B771C" w:rsidRPr="0049467D" w14:paraId="01562BE1" w14:textId="77777777" w:rsidTr="00A42D23">
        <w:trPr>
          <w:trHeight w:val="529"/>
        </w:trPr>
        <w:tc>
          <w:tcPr>
            <w:tcW w:w="9052" w:type="dxa"/>
            <w:shd w:val="clear" w:color="auto" w:fill="99CDDD"/>
          </w:tcPr>
          <w:p w14:paraId="6316EB85" w14:textId="77777777" w:rsidR="007B771C" w:rsidRPr="006E0A29" w:rsidRDefault="007B771C" w:rsidP="007C039F">
            <w:pPr>
              <w:pStyle w:val="Heading3"/>
              <w:rPr>
                <w:sz w:val="20"/>
                <w:szCs w:val="20"/>
                <w:lang w:eastAsia="en-AU"/>
              </w:rPr>
            </w:pPr>
            <w:bookmarkStart w:id="52" w:name="_Toc526429627"/>
            <w:bookmarkStart w:id="53" w:name="_Toc528052390"/>
            <w:bookmarkStart w:id="54" w:name="_Toc528670878"/>
            <w:r w:rsidRPr="006E0A29">
              <w:rPr>
                <w:sz w:val="20"/>
                <w:szCs w:val="20"/>
                <w:lang w:eastAsia="en-AU"/>
              </w:rPr>
              <w:t>What option, or combination of options, is likely best to address the problem, meet the policy objectives and deliver the highest net benefits?</w:t>
            </w:r>
            <w:bookmarkEnd w:id="52"/>
            <w:bookmarkEnd w:id="53"/>
            <w:bookmarkEnd w:id="54"/>
          </w:p>
        </w:tc>
      </w:tr>
    </w:tbl>
    <w:p w14:paraId="61DE130E" w14:textId="77777777" w:rsidR="007B771C" w:rsidRDefault="00F16E57" w:rsidP="00DB43D2">
      <w:pPr>
        <w:keepNext/>
        <w:spacing w:before="120" w:after="120"/>
      </w:pPr>
      <w:hyperlink w:anchor="_Thickness_of_bag" w:history="1">
        <w:r w:rsidR="007B771C" w:rsidRPr="00385DD2">
          <w:rPr>
            <w:rStyle w:val="Hyperlink"/>
            <w:i/>
          </w:rPr>
          <w:t>Thickness of bags to be phased out</w:t>
        </w:r>
      </w:hyperlink>
    </w:p>
    <w:p w14:paraId="1F8DE265" w14:textId="770A5D21" w:rsidR="007B771C" w:rsidRDefault="007B771C" w:rsidP="00DB43D2">
      <w:pPr>
        <w:spacing w:line="280" w:lineRule="exact"/>
      </w:pPr>
      <w:r>
        <w:t xml:space="preserve">We recommend a mandatory phase out of plastic </w:t>
      </w:r>
      <w:r w:rsidR="00D55357">
        <w:rPr>
          <w:bCs/>
        </w:rPr>
        <w:t xml:space="preserve">shopping </w:t>
      </w:r>
      <w:r>
        <w:t xml:space="preserve">bags of a thickness </w:t>
      </w:r>
      <w:r w:rsidR="008A2995">
        <w:t>unde</w:t>
      </w:r>
      <w:r w:rsidR="008A2995" w:rsidRPr="00C00D4B">
        <w:t xml:space="preserve">r </w:t>
      </w:r>
      <w:r w:rsidR="00D55357" w:rsidRPr="00C00D4B">
        <w:t>7</w:t>
      </w:r>
      <w:r w:rsidRPr="00C00D4B">
        <w:t>0</w:t>
      </w:r>
      <w:r>
        <w:t xml:space="preserve"> microns</w:t>
      </w:r>
      <w:r w:rsidR="003E331B">
        <w:t xml:space="preserve"> (option 1)</w:t>
      </w:r>
      <w:r>
        <w:t xml:space="preserve">. </w:t>
      </w:r>
      <w:r w:rsidR="00DB43D2">
        <w:t>This option i</w:t>
      </w:r>
      <w:r>
        <w:t xml:space="preserve">s likely to have the strongest positive effect of the options considered on advancing the phase out of single-use plastic </w:t>
      </w:r>
      <w:r w:rsidR="00D55357">
        <w:rPr>
          <w:bCs/>
        </w:rPr>
        <w:t xml:space="preserve">shopping </w:t>
      </w:r>
      <w:r>
        <w:t xml:space="preserve">bags, </w:t>
      </w:r>
      <w:r w:rsidR="007402BC">
        <w:t xml:space="preserve">because </w:t>
      </w:r>
      <w:r>
        <w:t>it will cover the majority of plastic shopping bags currently used by consumers. In addition, t</w:t>
      </w:r>
      <w:r>
        <w:rPr>
          <w:bCs/>
        </w:rPr>
        <w:t xml:space="preserve">he increased cost </w:t>
      </w:r>
      <w:r w:rsidR="0050785A">
        <w:rPr>
          <w:bCs/>
        </w:rPr>
        <w:t xml:space="preserve">to consumers </w:t>
      </w:r>
      <w:r>
        <w:rPr>
          <w:bCs/>
        </w:rPr>
        <w:t>of plastic shopping bags that are</w:t>
      </w:r>
      <w:r w:rsidR="00AC7376">
        <w:rPr>
          <w:bCs/>
        </w:rPr>
        <w:t xml:space="preserve"> 70 or more</w:t>
      </w:r>
      <w:r>
        <w:rPr>
          <w:bCs/>
        </w:rPr>
        <w:t xml:space="preserve"> microns in thickness will encourage consumers to reuse </w:t>
      </w:r>
      <w:r w:rsidR="007402BC">
        <w:rPr>
          <w:bCs/>
        </w:rPr>
        <w:t>them</w:t>
      </w:r>
      <w:r>
        <w:rPr>
          <w:bCs/>
        </w:rPr>
        <w:t xml:space="preserve">.  </w:t>
      </w:r>
    </w:p>
    <w:p w14:paraId="2133079F" w14:textId="77777777" w:rsidR="007B771C" w:rsidRDefault="00F16E57" w:rsidP="007B771C">
      <w:hyperlink w:anchor="_Coverage_of_the" w:history="1">
        <w:r w:rsidR="007B771C" w:rsidRPr="00385DD2">
          <w:rPr>
            <w:rStyle w:val="Hyperlink"/>
            <w:i/>
          </w:rPr>
          <w:t>Coverage of the mandatory phase out</w:t>
        </w:r>
      </w:hyperlink>
    </w:p>
    <w:p w14:paraId="3DB82AD0" w14:textId="265245EF" w:rsidR="007B771C" w:rsidRDefault="007B771C" w:rsidP="007B771C">
      <w:pPr>
        <w:pStyle w:val="BodyText"/>
        <w:spacing w:before="100" w:after="100"/>
      </w:pPr>
      <w:r>
        <w:t>We recommend extending the mandatory phase out to all retailers</w:t>
      </w:r>
      <w:r w:rsidR="003E331B">
        <w:t xml:space="preserve"> (option 1)</w:t>
      </w:r>
      <w:r>
        <w:t xml:space="preserve">. While this option will impose greater costs on </w:t>
      </w:r>
      <w:r w:rsidR="00D55357">
        <w:t>monitoring and enforcement</w:t>
      </w:r>
      <w:r>
        <w:t xml:space="preserve">, it will best ensure that all plastic </w:t>
      </w:r>
      <w:r w:rsidR="00D55357">
        <w:rPr>
          <w:bCs/>
        </w:rPr>
        <w:t xml:space="preserve">shopping </w:t>
      </w:r>
      <w:r>
        <w:t>bags currently distributed by retailers will be covered</w:t>
      </w:r>
      <w:r w:rsidR="008A2995">
        <w:t>, reduce confusion for consumers and retailers</w:t>
      </w:r>
      <w:r w:rsidR="0050785A">
        <w:t>,</w:t>
      </w:r>
      <w:r w:rsidR="008A2995">
        <w:t xml:space="preserve"> </w:t>
      </w:r>
      <w:r>
        <w:t xml:space="preserve">best advance the phase out of plastic </w:t>
      </w:r>
      <w:r w:rsidR="00D55357">
        <w:rPr>
          <w:bCs/>
        </w:rPr>
        <w:t xml:space="preserve">shopping </w:t>
      </w:r>
      <w:r>
        <w:t xml:space="preserve">bags, and </w:t>
      </w:r>
      <w:r w:rsidR="00D55357">
        <w:t>provide a step toward</w:t>
      </w:r>
      <w:r>
        <w:t xml:space="preserve"> a circular economy.  </w:t>
      </w:r>
      <w:r>
        <w:rPr>
          <w:i/>
          <w:u w:val="single"/>
        </w:rPr>
        <w:t xml:space="preserve"> </w:t>
      </w:r>
      <w:r>
        <w:t xml:space="preserve"> </w:t>
      </w:r>
    </w:p>
    <w:p w14:paraId="5D4F5569" w14:textId="77777777" w:rsidR="007B771C" w:rsidRDefault="00F16E57" w:rsidP="003E331B">
      <w:pPr>
        <w:keepNext/>
      </w:pPr>
      <w:hyperlink w:anchor="_Timeframe_for_mandatory" w:history="1">
        <w:r w:rsidR="004878D2">
          <w:rPr>
            <w:rStyle w:val="Hyperlink"/>
            <w:i/>
          </w:rPr>
          <w:t>Commencement</w:t>
        </w:r>
        <w:r w:rsidR="004878D2" w:rsidRPr="00385DD2">
          <w:rPr>
            <w:rStyle w:val="Hyperlink"/>
            <w:i/>
          </w:rPr>
          <w:t xml:space="preserve"> mandatory phase out</w:t>
        </w:r>
      </w:hyperlink>
    </w:p>
    <w:p w14:paraId="478C93E8" w14:textId="6DBD282E" w:rsidR="007B771C" w:rsidRDefault="007B771C" w:rsidP="00DB43D2">
      <w:pPr>
        <w:pStyle w:val="BodyText"/>
      </w:pPr>
      <w:r>
        <w:t xml:space="preserve">To comply with international obligations, it is necessary to allow </w:t>
      </w:r>
      <w:r w:rsidR="00543228">
        <w:t xml:space="preserve">a </w:t>
      </w:r>
      <w:r>
        <w:t xml:space="preserve">period of at least six months </w:t>
      </w:r>
      <w:r w:rsidR="00662901">
        <w:t xml:space="preserve">between Gazetting and commencement </w:t>
      </w:r>
      <w:r>
        <w:t xml:space="preserve">of the mandatory phase out. </w:t>
      </w:r>
      <w:r w:rsidR="00093751">
        <w:t xml:space="preserve">Allowing more time than six months would allow </w:t>
      </w:r>
      <w:r w:rsidR="00DB43D2">
        <w:t xml:space="preserve">consumers and retailers </w:t>
      </w:r>
      <w:r w:rsidR="00093751">
        <w:t xml:space="preserve">more </w:t>
      </w:r>
      <w:r w:rsidR="00DB43D2">
        <w:t>time to make the necessary changes</w:t>
      </w:r>
      <w:r w:rsidR="00093751">
        <w:t>.</w:t>
      </w:r>
      <w:r w:rsidR="00DB43D2">
        <w:t xml:space="preserve"> </w:t>
      </w:r>
      <w:r>
        <w:t xml:space="preserve"> </w:t>
      </w:r>
    </w:p>
    <w:p w14:paraId="5696D2BD" w14:textId="77777777" w:rsidR="00B7069A" w:rsidRDefault="00B7069A">
      <w:pPr>
        <w:spacing w:after="0" w:line="240" w:lineRule="auto"/>
        <w:sectPr w:rsidR="00B7069A" w:rsidSect="00B12B66">
          <w:headerReference w:type="default" r:id="rId13"/>
          <w:footerReference w:type="default" r:id="rId14"/>
          <w:pgSz w:w="11906" w:h="16838"/>
          <w:pgMar w:top="1134" w:right="1418" w:bottom="992" w:left="1418" w:header="709" w:footer="709" w:gutter="0"/>
          <w:cols w:space="708"/>
          <w:docGrid w:linePitch="360"/>
        </w:sect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067"/>
      </w:tblGrid>
      <w:tr w:rsidR="00B7069A" w:rsidRPr="00076706" w14:paraId="4EB49FB0" w14:textId="77777777" w:rsidTr="00B7069A">
        <w:trPr>
          <w:trHeight w:val="141"/>
        </w:trPr>
        <w:tc>
          <w:tcPr>
            <w:tcW w:w="5000" w:type="pct"/>
            <w:tcBorders>
              <w:top w:val="single" w:sz="4" w:space="0" w:color="auto"/>
              <w:left w:val="single" w:sz="4" w:space="0" w:color="auto"/>
              <w:bottom w:val="single" w:sz="4" w:space="0" w:color="auto"/>
              <w:right w:val="single" w:sz="4" w:space="0" w:color="auto"/>
            </w:tcBorders>
            <w:shd w:val="clear" w:color="auto" w:fill="99CDDD"/>
            <w:hideMark/>
          </w:tcPr>
          <w:p w14:paraId="4A0C2357" w14:textId="77777777" w:rsidR="00B7069A" w:rsidRPr="00076706" w:rsidRDefault="00B7069A">
            <w:pPr>
              <w:pStyle w:val="Heading3"/>
              <w:rPr>
                <w:lang w:eastAsia="en-AU"/>
              </w:rPr>
            </w:pPr>
            <w:bookmarkStart w:id="55" w:name="_Toc526429628"/>
            <w:r w:rsidRPr="00076706">
              <w:br w:type="page"/>
            </w:r>
            <w:bookmarkStart w:id="56" w:name="_Toc528052391"/>
            <w:bookmarkStart w:id="57" w:name="_Toc528670879"/>
            <w:r w:rsidRPr="00076706">
              <w:rPr>
                <w:lang w:eastAsia="en-AU"/>
              </w:rPr>
              <w:t>Summary table of costs and benefits of the preferred approach</w:t>
            </w:r>
            <w:bookmarkEnd w:id="55"/>
            <w:bookmarkEnd w:id="56"/>
            <w:bookmarkEnd w:id="57"/>
          </w:p>
        </w:tc>
      </w:tr>
    </w:tbl>
    <w:p w14:paraId="025F100A" w14:textId="77777777" w:rsidR="00B7069A" w:rsidRDefault="00B7069A" w:rsidP="00B7069A">
      <w:pPr>
        <w:pStyle w:val="spacer"/>
        <w:keepNext/>
        <w:rPr>
          <w:sz w:val="20"/>
          <w:szCs w:val="20"/>
        </w:rPr>
      </w:pPr>
    </w:p>
    <w:tbl>
      <w:tblPr>
        <w:tblpPr w:leftFromText="180" w:rightFromText="180" w:vertAnchor="text" w:tblpX="6" w:tblpY="1"/>
        <w:tblOverlap w:val="never"/>
        <w:tblW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273"/>
        <w:gridCol w:w="4536"/>
        <w:gridCol w:w="2126"/>
        <w:gridCol w:w="1134"/>
      </w:tblGrid>
      <w:tr w:rsidR="00B7069A" w14:paraId="2A4C2EAF" w14:textId="77777777" w:rsidTr="00B7069A">
        <w:trPr>
          <w:trHeight w:val="732"/>
        </w:trPr>
        <w:tc>
          <w:tcPr>
            <w:tcW w:w="1273" w:type="dxa"/>
            <w:tcBorders>
              <w:top w:val="single" w:sz="2" w:space="0" w:color="auto"/>
              <w:left w:val="single" w:sz="2" w:space="0" w:color="auto"/>
              <w:bottom w:val="single" w:sz="2" w:space="0" w:color="auto"/>
              <w:right w:val="single" w:sz="2" w:space="0" w:color="auto"/>
            </w:tcBorders>
            <w:shd w:val="clear" w:color="auto" w:fill="99CDDD"/>
            <w:hideMark/>
          </w:tcPr>
          <w:p w14:paraId="13F6EEBB" w14:textId="77777777" w:rsidR="00B7069A" w:rsidRDefault="00B7069A">
            <w:pPr>
              <w:pStyle w:val="TableText"/>
              <w:keepNext/>
              <w:autoSpaceDE/>
              <w:adjustRightInd/>
              <w:spacing w:line="240" w:lineRule="auto"/>
              <w:rPr>
                <w:rFonts w:eastAsia="Calibri" w:cs="Arial"/>
                <w:szCs w:val="20"/>
              </w:rPr>
            </w:pPr>
            <w:r>
              <w:rPr>
                <w:rFonts w:eastAsia="Calibri" w:cs="Arial"/>
                <w:b/>
                <w:szCs w:val="20"/>
              </w:rPr>
              <w:t>Affected parties</w:t>
            </w:r>
            <w:r>
              <w:rPr>
                <w:rFonts w:eastAsia="Calibri" w:cs="Arial"/>
                <w:szCs w:val="20"/>
              </w:rPr>
              <w:t xml:space="preserve"> </w:t>
            </w:r>
            <w:r>
              <w:rPr>
                <w:rFonts w:eastAsia="Calibri" w:cs="Arial"/>
                <w:i/>
                <w:szCs w:val="20"/>
              </w:rPr>
              <w:t>(identify)</w:t>
            </w:r>
          </w:p>
        </w:tc>
        <w:tc>
          <w:tcPr>
            <w:tcW w:w="4536" w:type="dxa"/>
            <w:tcBorders>
              <w:top w:val="single" w:sz="2" w:space="0" w:color="auto"/>
              <w:left w:val="single" w:sz="2" w:space="0" w:color="auto"/>
              <w:bottom w:val="single" w:sz="2" w:space="0" w:color="auto"/>
              <w:right w:val="single" w:sz="2" w:space="0" w:color="auto"/>
            </w:tcBorders>
            <w:shd w:val="clear" w:color="auto" w:fill="99CDDD"/>
            <w:hideMark/>
          </w:tcPr>
          <w:p w14:paraId="03313E07" w14:textId="77777777" w:rsidR="00B7069A" w:rsidRDefault="00B7069A">
            <w:pPr>
              <w:pStyle w:val="TableText"/>
              <w:keepNext/>
              <w:autoSpaceDE/>
              <w:adjustRightInd/>
              <w:spacing w:line="240" w:lineRule="auto"/>
              <w:rPr>
                <w:rFonts w:eastAsia="Calibri" w:cs="Arial"/>
                <w:i/>
                <w:szCs w:val="20"/>
              </w:rPr>
            </w:pPr>
            <w:r>
              <w:rPr>
                <w:rFonts w:eastAsia="Calibri" w:cs="Arial"/>
                <w:b/>
                <w:szCs w:val="20"/>
              </w:rPr>
              <w:t>Comment</w:t>
            </w:r>
            <w:r>
              <w:rPr>
                <w:rFonts w:eastAsia="Calibri" w:cs="Arial"/>
                <w:i/>
                <w:szCs w:val="20"/>
              </w:rPr>
              <w:t xml:space="preserve"> </w:t>
            </w:r>
          </w:p>
          <w:p w14:paraId="13253E9B" w14:textId="77777777" w:rsidR="00B7069A" w:rsidRDefault="00B7069A">
            <w:pPr>
              <w:pStyle w:val="TableText"/>
              <w:keepNext/>
              <w:autoSpaceDE/>
              <w:adjustRightInd/>
              <w:spacing w:line="240" w:lineRule="auto"/>
              <w:rPr>
                <w:rFonts w:eastAsia="Calibri" w:cs="Arial"/>
                <w:szCs w:val="20"/>
              </w:rPr>
            </w:pPr>
            <w:r>
              <w:rPr>
                <w:rFonts w:eastAsia="Calibri" w:cs="Arial"/>
                <w:i/>
                <w:sz w:val="16"/>
                <w:szCs w:val="16"/>
              </w:rPr>
              <w:t>nature of cost or benefit (</w:t>
            </w:r>
            <w:proofErr w:type="spellStart"/>
            <w:r>
              <w:rPr>
                <w:rFonts w:eastAsia="Calibri" w:cs="Arial"/>
                <w:i/>
                <w:sz w:val="16"/>
                <w:szCs w:val="16"/>
              </w:rPr>
              <w:t>eg</w:t>
            </w:r>
            <w:proofErr w:type="spellEnd"/>
            <w:r>
              <w:rPr>
                <w:rFonts w:eastAsia="Calibri" w:cs="Arial"/>
                <w:i/>
                <w:sz w:val="16"/>
                <w:szCs w:val="16"/>
              </w:rPr>
              <w:t xml:space="preserve"> ongoing, one-off), evidence and assumption (</w:t>
            </w:r>
            <w:proofErr w:type="spellStart"/>
            <w:r>
              <w:rPr>
                <w:rFonts w:eastAsia="Calibri" w:cs="Arial"/>
                <w:i/>
                <w:sz w:val="16"/>
                <w:szCs w:val="16"/>
              </w:rPr>
              <w:t>eg</w:t>
            </w:r>
            <w:proofErr w:type="spellEnd"/>
            <w:r>
              <w:rPr>
                <w:rFonts w:eastAsia="Calibri" w:cs="Arial"/>
                <w:i/>
                <w:sz w:val="16"/>
                <w:szCs w:val="16"/>
              </w:rPr>
              <w:t xml:space="preserve"> compliance rates), risks</w:t>
            </w:r>
          </w:p>
        </w:tc>
        <w:tc>
          <w:tcPr>
            <w:tcW w:w="2126" w:type="dxa"/>
            <w:tcBorders>
              <w:top w:val="single" w:sz="2" w:space="0" w:color="auto"/>
              <w:left w:val="single" w:sz="2" w:space="0" w:color="auto"/>
              <w:bottom w:val="single" w:sz="2" w:space="0" w:color="auto"/>
              <w:right w:val="single" w:sz="2" w:space="0" w:color="auto"/>
            </w:tcBorders>
            <w:shd w:val="clear" w:color="auto" w:fill="99CDDD"/>
            <w:hideMark/>
          </w:tcPr>
          <w:p w14:paraId="16DF6C4C" w14:textId="77777777" w:rsidR="00B7069A" w:rsidRDefault="00B7069A">
            <w:pPr>
              <w:pStyle w:val="TableText"/>
              <w:keepNext/>
              <w:autoSpaceDE/>
              <w:adjustRightInd/>
              <w:spacing w:line="240" w:lineRule="auto"/>
              <w:rPr>
                <w:rFonts w:eastAsia="Calibri" w:cs="Arial"/>
                <w:b/>
                <w:szCs w:val="20"/>
              </w:rPr>
            </w:pPr>
            <w:r>
              <w:rPr>
                <w:rFonts w:eastAsia="Calibri" w:cs="Arial"/>
                <w:b/>
                <w:szCs w:val="20"/>
              </w:rPr>
              <w:t>Impact</w:t>
            </w:r>
          </w:p>
          <w:p w14:paraId="144A5BA1" w14:textId="77777777" w:rsidR="00B7069A" w:rsidRDefault="00B7069A">
            <w:pPr>
              <w:pStyle w:val="TableText"/>
              <w:keepNext/>
              <w:autoSpaceDE/>
              <w:adjustRightInd/>
              <w:spacing w:line="240" w:lineRule="auto"/>
              <w:rPr>
                <w:rFonts w:eastAsia="Calibri" w:cs="Arial"/>
                <w:i/>
                <w:sz w:val="16"/>
                <w:szCs w:val="16"/>
              </w:rPr>
            </w:pPr>
            <w:r>
              <w:rPr>
                <w:rFonts w:eastAsia="Calibri" w:cs="Arial"/>
                <w:i/>
                <w:sz w:val="16"/>
                <w:szCs w:val="16"/>
              </w:rPr>
              <w:t xml:space="preserve">$m present value, for monetised impacts; high, medium or low for non-monetised impacts  </w:t>
            </w:r>
          </w:p>
        </w:tc>
        <w:tc>
          <w:tcPr>
            <w:tcW w:w="1134" w:type="dxa"/>
            <w:tcBorders>
              <w:top w:val="single" w:sz="2" w:space="0" w:color="auto"/>
              <w:left w:val="single" w:sz="2" w:space="0" w:color="auto"/>
              <w:bottom w:val="single" w:sz="2" w:space="0" w:color="auto"/>
              <w:right w:val="single" w:sz="2" w:space="0" w:color="auto"/>
            </w:tcBorders>
            <w:shd w:val="clear" w:color="auto" w:fill="99CDDD"/>
            <w:hideMark/>
          </w:tcPr>
          <w:p w14:paraId="03A9F5ED" w14:textId="77777777" w:rsidR="00B7069A" w:rsidRDefault="00B7069A">
            <w:pPr>
              <w:pStyle w:val="TableText"/>
              <w:keepNext/>
              <w:autoSpaceDE/>
              <w:adjustRightInd/>
              <w:spacing w:line="240" w:lineRule="auto"/>
              <w:jc w:val="center"/>
              <w:rPr>
                <w:rFonts w:eastAsia="Calibri" w:cs="Arial"/>
                <w:szCs w:val="20"/>
              </w:rPr>
            </w:pPr>
            <w:r>
              <w:rPr>
                <w:rFonts w:eastAsia="Calibri" w:cs="Arial"/>
                <w:b/>
                <w:szCs w:val="20"/>
              </w:rPr>
              <w:t>Evidence</w:t>
            </w:r>
            <w:r>
              <w:rPr>
                <w:rFonts w:eastAsia="Calibri" w:cs="Arial"/>
                <w:szCs w:val="20"/>
              </w:rPr>
              <w:t xml:space="preserve"> </w:t>
            </w:r>
            <w:r>
              <w:rPr>
                <w:rFonts w:eastAsia="Calibri" w:cs="Arial"/>
                <w:b/>
                <w:szCs w:val="20"/>
              </w:rPr>
              <w:t>certainty</w:t>
            </w:r>
            <w:r>
              <w:rPr>
                <w:rFonts w:eastAsia="Calibri" w:cs="Arial"/>
                <w:szCs w:val="20"/>
              </w:rPr>
              <w:t xml:space="preserve"> </w:t>
            </w:r>
            <w:r>
              <w:rPr>
                <w:rFonts w:eastAsia="Calibri" w:cs="Arial"/>
                <w:i/>
                <w:szCs w:val="20"/>
              </w:rPr>
              <w:t>(</w:t>
            </w:r>
            <w:r>
              <w:rPr>
                <w:rFonts w:eastAsia="Calibri" w:cs="Arial"/>
                <w:i/>
                <w:sz w:val="16"/>
                <w:szCs w:val="16"/>
              </w:rPr>
              <w:t>High, medium or low)</w:t>
            </w:r>
          </w:p>
        </w:tc>
      </w:tr>
      <w:tr w:rsidR="00B7069A" w14:paraId="09CFE5BA" w14:textId="77777777" w:rsidTr="00B7069A">
        <w:trPr>
          <w:trHeight w:val="129"/>
        </w:trPr>
        <w:tc>
          <w:tcPr>
            <w:tcW w:w="9069" w:type="dxa"/>
            <w:gridSpan w:val="4"/>
            <w:tcBorders>
              <w:top w:val="nil"/>
              <w:left w:val="nil"/>
              <w:bottom w:val="nil"/>
              <w:right w:val="nil"/>
            </w:tcBorders>
          </w:tcPr>
          <w:p w14:paraId="47A7C225" w14:textId="77777777" w:rsidR="00B7069A" w:rsidRDefault="00B7069A">
            <w:pPr>
              <w:pStyle w:val="spacer"/>
              <w:keepNext/>
              <w:jc w:val="center"/>
              <w:rPr>
                <w:rFonts w:eastAsia="Calibri"/>
                <w:sz w:val="20"/>
                <w:szCs w:val="20"/>
              </w:rPr>
            </w:pPr>
          </w:p>
        </w:tc>
      </w:tr>
      <w:tr w:rsidR="00B7069A" w14:paraId="0C429701" w14:textId="77777777" w:rsidTr="00B7069A">
        <w:trPr>
          <w:trHeight w:val="253"/>
        </w:trPr>
        <w:tc>
          <w:tcPr>
            <w:tcW w:w="9069" w:type="dxa"/>
            <w:gridSpan w:val="4"/>
            <w:tcBorders>
              <w:top w:val="single" w:sz="2" w:space="0" w:color="auto"/>
              <w:left w:val="single" w:sz="2" w:space="0" w:color="auto"/>
              <w:bottom w:val="single" w:sz="2" w:space="0" w:color="auto"/>
              <w:right w:val="single" w:sz="2" w:space="0" w:color="auto"/>
            </w:tcBorders>
            <w:shd w:val="clear" w:color="auto" w:fill="99CDDD"/>
            <w:hideMark/>
          </w:tcPr>
          <w:p w14:paraId="07ACD3B6" w14:textId="77777777" w:rsidR="00B7069A" w:rsidRDefault="00B7069A">
            <w:pPr>
              <w:keepNext/>
              <w:spacing w:before="40" w:after="20" w:line="276" w:lineRule="auto"/>
              <w:jc w:val="center"/>
              <w:rPr>
                <w:rFonts w:eastAsia="Calibri" w:cs="Arial"/>
                <w:b/>
                <w:sz w:val="20"/>
              </w:rPr>
            </w:pPr>
            <w:r>
              <w:rPr>
                <w:rFonts w:eastAsia="Calibri" w:cs="Arial"/>
                <w:b/>
                <w:sz w:val="20"/>
              </w:rPr>
              <w:t>Additional costs of proposed approach, compared to taking no action</w:t>
            </w:r>
          </w:p>
        </w:tc>
      </w:tr>
      <w:tr w:rsidR="00704305" w14:paraId="1F6F3798" w14:textId="77777777" w:rsidTr="00A86235">
        <w:trPr>
          <w:cantSplit/>
          <w:trHeight w:val="253"/>
        </w:trPr>
        <w:tc>
          <w:tcPr>
            <w:tcW w:w="1273" w:type="dxa"/>
            <w:vMerge w:val="restart"/>
            <w:tcBorders>
              <w:top w:val="single" w:sz="2" w:space="0" w:color="auto"/>
              <w:left w:val="single" w:sz="2" w:space="0" w:color="auto"/>
              <w:bottom w:val="single" w:sz="2" w:space="0" w:color="auto"/>
              <w:right w:val="single" w:sz="2" w:space="0" w:color="auto"/>
            </w:tcBorders>
            <w:hideMark/>
          </w:tcPr>
          <w:p w14:paraId="71A7C971" w14:textId="77777777" w:rsidR="00B7069A" w:rsidRDefault="00B7069A">
            <w:pPr>
              <w:pStyle w:val="TableText"/>
              <w:keepNext/>
              <w:spacing w:line="276" w:lineRule="auto"/>
              <w:rPr>
                <w:rFonts w:eastAsia="Calibri" w:cs="Arial"/>
                <w:szCs w:val="20"/>
              </w:rPr>
            </w:pPr>
            <w:r>
              <w:rPr>
                <w:rFonts w:eastAsia="Calibri" w:cs="Arial"/>
                <w:szCs w:val="20"/>
              </w:rPr>
              <w:t>Regulated parties</w:t>
            </w:r>
          </w:p>
        </w:tc>
        <w:tc>
          <w:tcPr>
            <w:tcW w:w="4536" w:type="dxa"/>
            <w:tcBorders>
              <w:top w:val="single" w:sz="2" w:space="0" w:color="auto"/>
              <w:left w:val="single" w:sz="2" w:space="0" w:color="auto"/>
              <w:bottom w:val="single" w:sz="2" w:space="0" w:color="auto"/>
              <w:right w:val="single" w:sz="2" w:space="0" w:color="auto"/>
            </w:tcBorders>
            <w:hideMark/>
          </w:tcPr>
          <w:p w14:paraId="4CE7EA36" w14:textId="77777777" w:rsidR="00B7069A" w:rsidRDefault="00B7069A" w:rsidP="00A86235">
            <w:pPr>
              <w:pStyle w:val="TableText"/>
              <w:spacing w:line="276" w:lineRule="auto"/>
              <w:rPr>
                <w:rFonts w:eastAsia="Calibri" w:cs="Arial"/>
                <w:szCs w:val="20"/>
              </w:rPr>
            </w:pPr>
            <w:r>
              <w:rPr>
                <w:rFonts w:eastAsia="Calibri" w:cs="Arial"/>
                <w:szCs w:val="20"/>
              </w:rPr>
              <w:t>Retailers – costs of unused stock by phase-in date</w:t>
            </w:r>
          </w:p>
        </w:tc>
        <w:tc>
          <w:tcPr>
            <w:tcW w:w="2126" w:type="dxa"/>
            <w:tcBorders>
              <w:top w:val="single" w:sz="2" w:space="0" w:color="auto"/>
              <w:left w:val="single" w:sz="2" w:space="0" w:color="auto"/>
              <w:bottom w:val="single" w:sz="2" w:space="0" w:color="auto"/>
              <w:right w:val="single" w:sz="2" w:space="0" w:color="auto"/>
            </w:tcBorders>
            <w:vAlign w:val="center"/>
            <w:hideMark/>
          </w:tcPr>
          <w:p w14:paraId="781104B0" w14:textId="119C1F26" w:rsidR="00704305" w:rsidRDefault="00B7069A">
            <w:pPr>
              <w:pStyle w:val="TableText"/>
              <w:keepNext/>
              <w:spacing w:line="276" w:lineRule="auto"/>
              <w:rPr>
                <w:rFonts w:eastAsia="Calibri" w:cs="Arial"/>
                <w:szCs w:val="20"/>
              </w:rPr>
            </w:pPr>
            <w:r>
              <w:rPr>
                <w:rFonts w:eastAsia="Calibri" w:cs="Arial"/>
                <w:szCs w:val="20"/>
              </w:rPr>
              <w:t>Low</w:t>
            </w:r>
            <w:r w:rsidR="00704305">
              <w:rPr>
                <w:rStyle w:val="EndnoteReference"/>
                <w:rFonts w:eastAsia="Calibri"/>
              </w:rPr>
              <w:endnoteReference w:id="1"/>
            </w:r>
          </w:p>
        </w:tc>
        <w:tc>
          <w:tcPr>
            <w:tcW w:w="1134" w:type="dxa"/>
            <w:tcBorders>
              <w:top w:val="single" w:sz="2" w:space="0" w:color="auto"/>
              <w:left w:val="single" w:sz="2" w:space="0" w:color="auto"/>
              <w:bottom w:val="single" w:sz="2" w:space="0" w:color="auto"/>
              <w:right w:val="single" w:sz="2" w:space="0" w:color="auto"/>
            </w:tcBorders>
            <w:vAlign w:val="center"/>
            <w:hideMark/>
          </w:tcPr>
          <w:p w14:paraId="3FEDC36E" w14:textId="77777777" w:rsidR="00704305" w:rsidRDefault="00704305">
            <w:pPr>
              <w:pStyle w:val="TableText"/>
              <w:keepNext/>
              <w:spacing w:line="276" w:lineRule="auto"/>
              <w:rPr>
                <w:rFonts w:eastAsia="Calibri" w:cs="Arial"/>
                <w:szCs w:val="20"/>
              </w:rPr>
            </w:pPr>
            <w:r>
              <w:rPr>
                <w:rFonts w:eastAsia="Calibri" w:cs="Arial"/>
                <w:szCs w:val="20"/>
              </w:rPr>
              <w:t>Medium</w:t>
            </w:r>
          </w:p>
        </w:tc>
      </w:tr>
      <w:tr w:rsidR="00704305" w14:paraId="560A9D51" w14:textId="77777777" w:rsidTr="00A86235">
        <w:tc>
          <w:tcPr>
            <w:tcW w:w="9069" w:type="dxa"/>
            <w:vMerge/>
            <w:tcBorders>
              <w:top w:val="single" w:sz="2" w:space="0" w:color="auto"/>
              <w:left w:val="single" w:sz="2" w:space="0" w:color="auto"/>
              <w:bottom w:val="single" w:sz="2" w:space="0" w:color="auto"/>
              <w:right w:val="single" w:sz="2" w:space="0" w:color="auto"/>
            </w:tcBorders>
            <w:vAlign w:val="center"/>
            <w:hideMark/>
          </w:tcPr>
          <w:p w14:paraId="08B47386" w14:textId="77777777" w:rsidR="00704305" w:rsidRDefault="00704305">
            <w:pPr>
              <w:spacing w:after="0" w:line="240" w:lineRule="auto"/>
              <w:rPr>
                <w:rFonts w:eastAsia="Calibri" w:cs="Arial"/>
                <w:sz w:val="20"/>
                <w:lang w:eastAsia="en-AU"/>
              </w:rPr>
            </w:pPr>
          </w:p>
        </w:tc>
        <w:tc>
          <w:tcPr>
            <w:tcW w:w="4536" w:type="dxa"/>
            <w:tcBorders>
              <w:top w:val="single" w:sz="2" w:space="0" w:color="auto"/>
              <w:left w:val="single" w:sz="2" w:space="0" w:color="auto"/>
              <w:bottom w:val="single" w:sz="2" w:space="0" w:color="auto"/>
              <w:right w:val="single" w:sz="2" w:space="0" w:color="auto"/>
            </w:tcBorders>
            <w:hideMark/>
          </w:tcPr>
          <w:p w14:paraId="0DC0A317" w14:textId="77777777" w:rsidR="00704305" w:rsidRDefault="00704305">
            <w:pPr>
              <w:pStyle w:val="TableText"/>
              <w:keepNext/>
              <w:spacing w:line="276" w:lineRule="auto"/>
              <w:rPr>
                <w:rFonts w:eastAsia="Calibri" w:cs="Arial"/>
                <w:szCs w:val="20"/>
              </w:rPr>
            </w:pPr>
            <w:r>
              <w:rPr>
                <w:rFonts w:eastAsia="Calibri" w:cs="Arial"/>
                <w:szCs w:val="20"/>
              </w:rPr>
              <w:t xml:space="preserve">Retailers – staff training, consumer information, potential delays </w:t>
            </w:r>
          </w:p>
        </w:tc>
        <w:tc>
          <w:tcPr>
            <w:tcW w:w="2126" w:type="dxa"/>
            <w:tcBorders>
              <w:top w:val="single" w:sz="2" w:space="0" w:color="auto"/>
              <w:left w:val="single" w:sz="2" w:space="0" w:color="auto"/>
              <w:bottom w:val="single" w:sz="2" w:space="0" w:color="auto"/>
              <w:right w:val="single" w:sz="2" w:space="0" w:color="auto"/>
            </w:tcBorders>
            <w:vAlign w:val="center"/>
            <w:hideMark/>
          </w:tcPr>
          <w:p w14:paraId="323D60CE" w14:textId="77777777" w:rsidR="00704305" w:rsidRDefault="00704305">
            <w:pPr>
              <w:pStyle w:val="TableText"/>
              <w:keepNext/>
              <w:spacing w:line="276" w:lineRule="auto"/>
              <w:rPr>
                <w:rFonts w:eastAsia="Calibri" w:cs="Arial"/>
                <w:szCs w:val="20"/>
              </w:rPr>
            </w:pPr>
            <w:r>
              <w:rPr>
                <w:rFonts w:eastAsia="Calibri" w:cs="Arial"/>
                <w:szCs w:val="20"/>
              </w:rPr>
              <w:t>Medium during adjustment period</w:t>
            </w:r>
            <w:r>
              <w:rPr>
                <w:rStyle w:val="EndnoteReference"/>
                <w:rFonts w:eastAsia="Calibri"/>
              </w:rPr>
              <w:endnoteReference w:id="2"/>
            </w:r>
            <w:r>
              <w:rPr>
                <w:rFonts w:eastAsia="Calibri" w:cs="Arial"/>
                <w:szCs w:val="20"/>
              </w:rPr>
              <w:t xml:space="preserve"> Low thereafter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7B78232" w14:textId="77777777" w:rsidR="00704305" w:rsidRDefault="00704305">
            <w:pPr>
              <w:pStyle w:val="TableText"/>
              <w:keepNext/>
              <w:spacing w:line="276" w:lineRule="auto"/>
              <w:rPr>
                <w:rFonts w:eastAsia="Calibri" w:cs="Arial"/>
                <w:szCs w:val="20"/>
              </w:rPr>
            </w:pPr>
            <w:r>
              <w:rPr>
                <w:rFonts w:eastAsia="Calibri" w:cs="Arial"/>
                <w:szCs w:val="20"/>
              </w:rPr>
              <w:t>High</w:t>
            </w:r>
          </w:p>
        </w:tc>
      </w:tr>
      <w:tr w:rsidR="00704305" w14:paraId="642BD578" w14:textId="77777777" w:rsidTr="00B7069A">
        <w:trPr>
          <w:trHeight w:val="253"/>
        </w:trPr>
        <w:tc>
          <w:tcPr>
            <w:tcW w:w="9069" w:type="dxa"/>
            <w:vMerge/>
            <w:tcBorders>
              <w:top w:val="single" w:sz="2" w:space="0" w:color="auto"/>
              <w:left w:val="single" w:sz="2" w:space="0" w:color="auto"/>
              <w:bottom w:val="single" w:sz="2" w:space="0" w:color="auto"/>
              <w:right w:val="single" w:sz="2" w:space="0" w:color="auto"/>
            </w:tcBorders>
            <w:vAlign w:val="center"/>
            <w:hideMark/>
          </w:tcPr>
          <w:p w14:paraId="70420EA7" w14:textId="77777777" w:rsidR="00704305" w:rsidRDefault="00704305">
            <w:pPr>
              <w:spacing w:after="0" w:line="240" w:lineRule="auto"/>
              <w:rPr>
                <w:rFonts w:eastAsia="Calibri" w:cs="Arial"/>
                <w:sz w:val="20"/>
                <w:lang w:eastAsia="en-AU"/>
              </w:rPr>
            </w:pPr>
          </w:p>
        </w:tc>
        <w:tc>
          <w:tcPr>
            <w:tcW w:w="4536" w:type="dxa"/>
            <w:tcBorders>
              <w:top w:val="single" w:sz="2" w:space="0" w:color="auto"/>
              <w:left w:val="single" w:sz="2" w:space="0" w:color="auto"/>
              <w:bottom w:val="single" w:sz="2" w:space="0" w:color="auto"/>
              <w:right w:val="single" w:sz="2" w:space="0" w:color="auto"/>
            </w:tcBorders>
            <w:hideMark/>
          </w:tcPr>
          <w:p w14:paraId="313921E4" w14:textId="77777777" w:rsidR="00704305" w:rsidRDefault="00704305">
            <w:pPr>
              <w:pStyle w:val="TableText"/>
              <w:keepNext/>
              <w:spacing w:line="276" w:lineRule="auto"/>
              <w:rPr>
                <w:rFonts w:eastAsia="Calibri" w:cs="Arial"/>
                <w:szCs w:val="20"/>
              </w:rPr>
            </w:pPr>
            <w:r>
              <w:rPr>
                <w:rFonts w:eastAsia="Calibri" w:cs="Arial"/>
                <w:szCs w:val="20"/>
              </w:rPr>
              <w:t>Importers / manufacturers – Loss of business in medium-weight (50-70 micron) shopping bags</w:t>
            </w:r>
          </w:p>
        </w:tc>
        <w:tc>
          <w:tcPr>
            <w:tcW w:w="2126" w:type="dxa"/>
            <w:tcBorders>
              <w:top w:val="single" w:sz="2" w:space="0" w:color="auto"/>
              <w:left w:val="single" w:sz="2" w:space="0" w:color="auto"/>
              <w:bottom w:val="single" w:sz="2" w:space="0" w:color="auto"/>
              <w:right w:val="single" w:sz="2" w:space="0" w:color="auto"/>
            </w:tcBorders>
            <w:vAlign w:val="center"/>
            <w:hideMark/>
          </w:tcPr>
          <w:p w14:paraId="77D6002A" w14:textId="77777777" w:rsidR="00704305" w:rsidRDefault="00704305">
            <w:pPr>
              <w:pStyle w:val="TableText"/>
              <w:keepNext/>
              <w:spacing w:line="276" w:lineRule="auto"/>
              <w:rPr>
                <w:rFonts w:eastAsia="Calibri" w:cs="Arial"/>
                <w:szCs w:val="20"/>
              </w:rPr>
            </w:pPr>
            <w:r>
              <w:rPr>
                <w:rFonts w:eastAsia="Calibri" w:cs="Arial"/>
                <w:szCs w:val="20"/>
              </w:rPr>
              <w:t>$500,000p.a.</w:t>
            </w:r>
            <w:r>
              <w:rPr>
                <w:rStyle w:val="EndnoteReference"/>
                <w:rFonts w:eastAsia="Calibri"/>
              </w:rPr>
              <w:endnoteReference w:id="3"/>
            </w:r>
          </w:p>
        </w:tc>
        <w:tc>
          <w:tcPr>
            <w:tcW w:w="1134" w:type="dxa"/>
            <w:tcBorders>
              <w:top w:val="single" w:sz="2" w:space="0" w:color="auto"/>
              <w:left w:val="single" w:sz="2" w:space="0" w:color="auto"/>
              <w:bottom w:val="single" w:sz="2" w:space="0" w:color="auto"/>
              <w:right w:val="single" w:sz="2" w:space="0" w:color="auto"/>
            </w:tcBorders>
            <w:vAlign w:val="center"/>
            <w:hideMark/>
          </w:tcPr>
          <w:p w14:paraId="67D15161" w14:textId="77777777" w:rsidR="00704305" w:rsidRDefault="00704305">
            <w:pPr>
              <w:pStyle w:val="TableText"/>
              <w:keepNext/>
              <w:spacing w:line="276" w:lineRule="auto"/>
              <w:rPr>
                <w:rFonts w:eastAsia="Calibri" w:cs="Arial"/>
                <w:szCs w:val="20"/>
              </w:rPr>
            </w:pPr>
            <w:r>
              <w:rPr>
                <w:rFonts w:eastAsia="Calibri" w:cs="Arial"/>
                <w:szCs w:val="20"/>
              </w:rPr>
              <w:t>Medium</w:t>
            </w:r>
            <w:r>
              <w:rPr>
                <w:rStyle w:val="EndnoteReference"/>
                <w:rFonts w:eastAsia="Calibri"/>
              </w:rPr>
              <w:endnoteReference w:id="4"/>
            </w:r>
          </w:p>
        </w:tc>
      </w:tr>
      <w:tr w:rsidR="00704305" w14:paraId="26CFC4DF" w14:textId="77777777" w:rsidTr="00A86235">
        <w:trPr>
          <w:cantSplit/>
        </w:trPr>
        <w:tc>
          <w:tcPr>
            <w:tcW w:w="9069" w:type="dxa"/>
            <w:vMerge/>
            <w:tcBorders>
              <w:top w:val="single" w:sz="2" w:space="0" w:color="auto"/>
              <w:left w:val="single" w:sz="2" w:space="0" w:color="auto"/>
              <w:bottom w:val="single" w:sz="2" w:space="0" w:color="auto"/>
              <w:right w:val="single" w:sz="2" w:space="0" w:color="auto"/>
            </w:tcBorders>
            <w:vAlign w:val="center"/>
            <w:hideMark/>
          </w:tcPr>
          <w:p w14:paraId="00A957A1" w14:textId="77777777" w:rsidR="00704305" w:rsidRDefault="00704305">
            <w:pPr>
              <w:spacing w:after="0" w:line="240" w:lineRule="auto"/>
              <w:rPr>
                <w:rFonts w:eastAsia="Calibri" w:cs="Arial"/>
                <w:sz w:val="20"/>
                <w:lang w:eastAsia="en-AU"/>
              </w:rPr>
            </w:pPr>
          </w:p>
        </w:tc>
        <w:tc>
          <w:tcPr>
            <w:tcW w:w="4536" w:type="dxa"/>
            <w:tcBorders>
              <w:top w:val="single" w:sz="2" w:space="0" w:color="auto"/>
              <w:left w:val="single" w:sz="2" w:space="0" w:color="auto"/>
              <w:bottom w:val="single" w:sz="2" w:space="0" w:color="auto"/>
              <w:right w:val="single" w:sz="2" w:space="0" w:color="auto"/>
            </w:tcBorders>
            <w:hideMark/>
          </w:tcPr>
          <w:p w14:paraId="7B9378B4" w14:textId="77777777" w:rsidR="00704305" w:rsidRDefault="00704305">
            <w:pPr>
              <w:pStyle w:val="TableText"/>
              <w:keepNext/>
              <w:spacing w:line="276" w:lineRule="auto"/>
              <w:rPr>
                <w:rFonts w:eastAsia="Calibri" w:cs="Arial"/>
                <w:szCs w:val="20"/>
              </w:rPr>
            </w:pPr>
            <w:r>
              <w:rPr>
                <w:rFonts w:eastAsia="Calibri" w:cs="Arial"/>
                <w:szCs w:val="20"/>
              </w:rPr>
              <w:t>Consumers – purchasing thicker reusable bags</w:t>
            </w:r>
          </w:p>
        </w:tc>
        <w:tc>
          <w:tcPr>
            <w:tcW w:w="2126" w:type="dxa"/>
            <w:tcBorders>
              <w:top w:val="single" w:sz="2" w:space="0" w:color="auto"/>
              <w:left w:val="single" w:sz="2" w:space="0" w:color="auto"/>
              <w:bottom w:val="single" w:sz="2" w:space="0" w:color="auto"/>
              <w:right w:val="single" w:sz="2" w:space="0" w:color="auto"/>
            </w:tcBorders>
            <w:vAlign w:val="center"/>
            <w:hideMark/>
          </w:tcPr>
          <w:p w14:paraId="638A7A97" w14:textId="77777777" w:rsidR="00704305" w:rsidRDefault="00704305">
            <w:pPr>
              <w:pStyle w:val="TableText"/>
              <w:keepNext/>
              <w:spacing w:line="276" w:lineRule="auto"/>
              <w:rPr>
                <w:rFonts w:eastAsia="Calibri" w:cs="Arial"/>
                <w:szCs w:val="20"/>
              </w:rPr>
            </w:pPr>
            <w:r>
              <w:rPr>
                <w:rFonts w:eastAsia="Calibri" w:cs="Arial"/>
                <w:szCs w:val="20"/>
              </w:rPr>
              <w:t>Low</w:t>
            </w:r>
            <w:r>
              <w:rPr>
                <w:rStyle w:val="EndnoteReference"/>
                <w:rFonts w:eastAsia="Calibri"/>
              </w:rPr>
              <w:endnoteReference w:id="5"/>
            </w:r>
            <w:r>
              <w:rPr>
                <w:rFonts w:eastAsia="Calibri" w:cs="Arial"/>
                <w:szCs w:val="20"/>
              </w:rPr>
              <w:t xml:space="preserve"> (although higher impact for lower-income consumers)</w:t>
            </w:r>
          </w:p>
        </w:tc>
        <w:tc>
          <w:tcPr>
            <w:tcW w:w="1134" w:type="dxa"/>
            <w:tcBorders>
              <w:top w:val="single" w:sz="2" w:space="0" w:color="auto"/>
              <w:left w:val="single" w:sz="2" w:space="0" w:color="auto"/>
              <w:bottom w:val="single" w:sz="2" w:space="0" w:color="auto"/>
              <w:right w:val="single" w:sz="2" w:space="0" w:color="auto"/>
            </w:tcBorders>
            <w:vAlign w:val="center"/>
            <w:hideMark/>
          </w:tcPr>
          <w:p w14:paraId="528DD922" w14:textId="77777777" w:rsidR="00704305" w:rsidRDefault="00704305">
            <w:pPr>
              <w:pStyle w:val="TableText"/>
              <w:keepNext/>
              <w:spacing w:line="276" w:lineRule="auto"/>
              <w:rPr>
                <w:rFonts w:eastAsia="Calibri" w:cs="Arial"/>
                <w:szCs w:val="20"/>
              </w:rPr>
            </w:pPr>
            <w:r>
              <w:rPr>
                <w:rFonts w:eastAsia="Calibri" w:cs="Arial"/>
                <w:szCs w:val="20"/>
              </w:rPr>
              <w:t>High</w:t>
            </w:r>
          </w:p>
        </w:tc>
      </w:tr>
      <w:tr w:rsidR="00704305" w14:paraId="71EE1F36" w14:textId="77777777" w:rsidTr="00B7069A">
        <w:trPr>
          <w:trHeight w:val="253"/>
        </w:trPr>
        <w:tc>
          <w:tcPr>
            <w:tcW w:w="9069" w:type="dxa"/>
            <w:vMerge/>
            <w:tcBorders>
              <w:top w:val="single" w:sz="2" w:space="0" w:color="auto"/>
              <w:left w:val="single" w:sz="2" w:space="0" w:color="auto"/>
              <w:bottom w:val="single" w:sz="2" w:space="0" w:color="auto"/>
              <w:right w:val="single" w:sz="2" w:space="0" w:color="auto"/>
            </w:tcBorders>
            <w:vAlign w:val="center"/>
            <w:hideMark/>
          </w:tcPr>
          <w:p w14:paraId="0BC0587C" w14:textId="77777777" w:rsidR="00704305" w:rsidRDefault="00704305">
            <w:pPr>
              <w:spacing w:after="0" w:line="240" w:lineRule="auto"/>
              <w:rPr>
                <w:rFonts w:eastAsia="Calibri" w:cs="Arial"/>
                <w:sz w:val="20"/>
                <w:lang w:eastAsia="en-AU"/>
              </w:rPr>
            </w:pPr>
          </w:p>
        </w:tc>
        <w:tc>
          <w:tcPr>
            <w:tcW w:w="4536" w:type="dxa"/>
            <w:tcBorders>
              <w:top w:val="single" w:sz="2" w:space="0" w:color="auto"/>
              <w:left w:val="single" w:sz="2" w:space="0" w:color="auto"/>
              <w:bottom w:val="single" w:sz="2" w:space="0" w:color="auto"/>
              <w:right w:val="single" w:sz="2" w:space="0" w:color="auto"/>
            </w:tcBorders>
            <w:hideMark/>
          </w:tcPr>
          <w:p w14:paraId="6D0F4CBC" w14:textId="77777777" w:rsidR="00704305" w:rsidRDefault="00704305">
            <w:pPr>
              <w:pStyle w:val="TableText"/>
              <w:keepNext/>
              <w:spacing w:line="276" w:lineRule="auto"/>
              <w:rPr>
                <w:rFonts w:eastAsia="Calibri" w:cs="Arial"/>
                <w:szCs w:val="20"/>
              </w:rPr>
            </w:pPr>
            <w:r>
              <w:rPr>
                <w:rFonts w:eastAsia="Calibri" w:cs="Arial"/>
                <w:szCs w:val="20"/>
              </w:rPr>
              <w:t>Consumers – forming habit of taking reusable bags</w:t>
            </w:r>
          </w:p>
        </w:tc>
        <w:tc>
          <w:tcPr>
            <w:tcW w:w="2126" w:type="dxa"/>
            <w:tcBorders>
              <w:top w:val="single" w:sz="2" w:space="0" w:color="auto"/>
              <w:left w:val="single" w:sz="2" w:space="0" w:color="auto"/>
              <w:bottom w:val="single" w:sz="2" w:space="0" w:color="auto"/>
              <w:right w:val="single" w:sz="2" w:space="0" w:color="auto"/>
            </w:tcBorders>
            <w:vAlign w:val="center"/>
            <w:hideMark/>
          </w:tcPr>
          <w:p w14:paraId="7EFFB145" w14:textId="0CD5DA62" w:rsidR="00704305" w:rsidRDefault="00704305">
            <w:pPr>
              <w:pStyle w:val="TableText"/>
              <w:keepNext/>
              <w:spacing w:line="276" w:lineRule="auto"/>
              <w:rPr>
                <w:rFonts w:eastAsia="Calibri" w:cs="Arial"/>
                <w:szCs w:val="20"/>
              </w:rPr>
            </w:pPr>
            <w:r>
              <w:rPr>
                <w:rFonts w:eastAsia="Calibri" w:cs="Arial"/>
                <w:szCs w:val="20"/>
              </w:rPr>
              <w:t>Low</w:t>
            </w:r>
            <w:r>
              <w:rPr>
                <w:rStyle w:val="EndnoteReference"/>
                <w:rFonts w:eastAsia="Calibri"/>
              </w:rPr>
              <w:endnoteReference w:id="6"/>
            </w:r>
          </w:p>
        </w:tc>
        <w:tc>
          <w:tcPr>
            <w:tcW w:w="1134" w:type="dxa"/>
            <w:tcBorders>
              <w:top w:val="single" w:sz="2" w:space="0" w:color="auto"/>
              <w:left w:val="single" w:sz="2" w:space="0" w:color="auto"/>
              <w:bottom w:val="single" w:sz="2" w:space="0" w:color="auto"/>
              <w:right w:val="single" w:sz="2" w:space="0" w:color="auto"/>
            </w:tcBorders>
            <w:vAlign w:val="center"/>
            <w:hideMark/>
          </w:tcPr>
          <w:p w14:paraId="32409057" w14:textId="77777777" w:rsidR="00704305" w:rsidRDefault="00704305">
            <w:pPr>
              <w:pStyle w:val="TableText"/>
              <w:keepNext/>
              <w:spacing w:line="276" w:lineRule="auto"/>
              <w:rPr>
                <w:rFonts w:eastAsia="Calibri" w:cs="Arial"/>
                <w:szCs w:val="20"/>
              </w:rPr>
            </w:pPr>
            <w:r>
              <w:rPr>
                <w:rFonts w:eastAsia="Calibri" w:cs="Arial"/>
                <w:szCs w:val="20"/>
              </w:rPr>
              <w:t>High</w:t>
            </w:r>
            <w:r>
              <w:rPr>
                <w:rStyle w:val="EndnoteReference"/>
                <w:rFonts w:eastAsia="Calibri"/>
              </w:rPr>
              <w:endnoteReference w:id="7"/>
            </w:r>
          </w:p>
        </w:tc>
      </w:tr>
      <w:tr w:rsidR="00704305" w14:paraId="52507C9F" w14:textId="77777777" w:rsidTr="00B7069A">
        <w:trPr>
          <w:trHeight w:val="253"/>
        </w:trPr>
        <w:tc>
          <w:tcPr>
            <w:tcW w:w="9069" w:type="dxa"/>
            <w:vMerge/>
            <w:tcBorders>
              <w:top w:val="single" w:sz="2" w:space="0" w:color="auto"/>
              <w:left w:val="single" w:sz="2" w:space="0" w:color="auto"/>
              <w:bottom w:val="single" w:sz="2" w:space="0" w:color="auto"/>
              <w:right w:val="single" w:sz="2" w:space="0" w:color="auto"/>
            </w:tcBorders>
            <w:vAlign w:val="center"/>
            <w:hideMark/>
          </w:tcPr>
          <w:p w14:paraId="57305101" w14:textId="77777777" w:rsidR="00704305" w:rsidRDefault="00704305">
            <w:pPr>
              <w:spacing w:after="0" w:line="240" w:lineRule="auto"/>
              <w:rPr>
                <w:rFonts w:eastAsia="Calibri" w:cs="Arial"/>
                <w:sz w:val="20"/>
                <w:lang w:eastAsia="en-AU"/>
              </w:rPr>
            </w:pPr>
          </w:p>
        </w:tc>
        <w:tc>
          <w:tcPr>
            <w:tcW w:w="4536" w:type="dxa"/>
            <w:tcBorders>
              <w:top w:val="single" w:sz="2" w:space="0" w:color="auto"/>
              <w:left w:val="single" w:sz="2" w:space="0" w:color="auto"/>
              <w:bottom w:val="single" w:sz="2" w:space="0" w:color="auto"/>
              <w:right w:val="single" w:sz="2" w:space="0" w:color="auto"/>
            </w:tcBorders>
            <w:hideMark/>
          </w:tcPr>
          <w:p w14:paraId="73A06CE6" w14:textId="77777777" w:rsidR="00704305" w:rsidRDefault="00704305">
            <w:pPr>
              <w:pStyle w:val="TableText"/>
              <w:keepNext/>
              <w:spacing w:line="276" w:lineRule="auto"/>
              <w:rPr>
                <w:rFonts w:eastAsia="Calibri" w:cs="Arial"/>
                <w:szCs w:val="20"/>
              </w:rPr>
            </w:pPr>
            <w:r>
              <w:rPr>
                <w:rFonts w:eastAsia="Calibri" w:cs="Arial"/>
                <w:szCs w:val="20"/>
              </w:rPr>
              <w:t>Consumers – replacement bags for secondary uses</w:t>
            </w:r>
          </w:p>
        </w:tc>
        <w:tc>
          <w:tcPr>
            <w:tcW w:w="2126" w:type="dxa"/>
            <w:tcBorders>
              <w:top w:val="single" w:sz="2" w:space="0" w:color="auto"/>
              <w:left w:val="single" w:sz="2" w:space="0" w:color="auto"/>
              <w:bottom w:val="single" w:sz="2" w:space="0" w:color="auto"/>
              <w:right w:val="single" w:sz="2" w:space="0" w:color="auto"/>
            </w:tcBorders>
            <w:vAlign w:val="center"/>
            <w:hideMark/>
          </w:tcPr>
          <w:p w14:paraId="6C7EB614" w14:textId="77777777" w:rsidR="00704305" w:rsidRDefault="00704305">
            <w:pPr>
              <w:pStyle w:val="TableText"/>
              <w:keepNext/>
              <w:spacing w:line="276" w:lineRule="auto"/>
              <w:rPr>
                <w:rFonts w:eastAsia="Calibri" w:cs="Arial"/>
                <w:szCs w:val="20"/>
              </w:rPr>
            </w:pPr>
            <w:r>
              <w:rPr>
                <w:rFonts w:eastAsia="Calibri" w:cs="Arial"/>
                <w:szCs w:val="20"/>
              </w:rPr>
              <w:t>Low</w:t>
            </w:r>
            <w:r>
              <w:rPr>
                <w:rStyle w:val="EndnoteReference"/>
                <w:rFonts w:eastAsia="Calibri"/>
              </w:rPr>
              <w:endnoteReference w:id="8"/>
            </w:r>
          </w:p>
        </w:tc>
        <w:tc>
          <w:tcPr>
            <w:tcW w:w="1134" w:type="dxa"/>
            <w:tcBorders>
              <w:top w:val="single" w:sz="2" w:space="0" w:color="auto"/>
              <w:left w:val="single" w:sz="2" w:space="0" w:color="auto"/>
              <w:bottom w:val="single" w:sz="2" w:space="0" w:color="auto"/>
              <w:right w:val="single" w:sz="2" w:space="0" w:color="auto"/>
            </w:tcBorders>
            <w:vAlign w:val="center"/>
            <w:hideMark/>
          </w:tcPr>
          <w:p w14:paraId="541C074A" w14:textId="77777777" w:rsidR="00704305" w:rsidRDefault="00704305">
            <w:pPr>
              <w:pStyle w:val="TableText"/>
              <w:keepNext/>
              <w:spacing w:line="276" w:lineRule="auto"/>
              <w:rPr>
                <w:rFonts w:eastAsia="Calibri" w:cs="Arial"/>
                <w:szCs w:val="20"/>
              </w:rPr>
            </w:pPr>
            <w:r>
              <w:rPr>
                <w:rFonts w:eastAsia="Calibri" w:cs="Arial"/>
                <w:szCs w:val="20"/>
              </w:rPr>
              <w:t>High</w:t>
            </w:r>
          </w:p>
        </w:tc>
      </w:tr>
      <w:tr w:rsidR="00704305" w14:paraId="108CC7EA" w14:textId="77777777" w:rsidTr="00B7069A">
        <w:trPr>
          <w:trHeight w:val="253"/>
        </w:trPr>
        <w:tc>
          <w:tcPr>
            <w:tcW w:w="1273" w:type="dxa"/>
            <w:vMerge w:val="restart"/>
            <w:tcBorders>
              <w:top w:val="single" w:sz="2" w:space="0" w:color="auto"/>
              <w:left w:val="single" w:sz="2" w:space="0" w:color="auto"/>
              <w:bottom w:val="single" w:sz="2" w:space="0" w:color="auto"/>
              <w:right w:val="single" w:sz="2" w:space="0" w:color="auto"/>
            </w:tcBorders>
            <w:hideMark/>
          </w:tcPr>
          <w:p w14:paraId="74C9B853" w14:textId="77777777" w:rsidR="00704305" w:rsidRDefault="00704305">
            <w:pPr>
              <w:pStyle w:val="TableText"/>
              <w:keepNext/>
              <w:spacing w:line="276" w:lineRule="auto"/>
              <w:rPr>
                <w:rFonts w:eastAsia="Calibri" w:cs="Arial"/>
                <w:szCs w:val="20"/>
              </w:rPr>
            </w:pPr>
            <w:r>
              <w:rPr>
                <w:rFonts w:eastAsia="Calibri" w:cs="Arial"/>
                <w:szCs w:val="20"/>
              </w:rPr>
              <w:t>Regulators</w:t>
            </w:r>
          </w:p>
        </w:tc>
        <w:tc>
          <w:tcPr>
            <w:tcW w:w="4536" w:type="dxa"/>
            <w:tcBorders>
              <w:top w:val="single" w:sz="2" w:space="0" w:color="auto"/>
              <w:left w:val="single" w:sz="2" w:space="0" w:color="auto"/>
              <w:bottom w:val="single" w:sz="2" w:space="0" w:color="auto"/>
              <w:right w:val="single" w:sz="2" w:space="0" w:color="auto"/>
            </w:tcBorders>
            <w:hideMark/>
          </w:tcPr>
          <w:p w14:paraId="79B13CD0" w14:textId="7E6369BB" w:rsidR="00704305" w:rsidRDefault="00704305" w:rsidP="00C51529">
            <w:pPr>
              <w:pStyle w:val="TableText"/>
              <w:keepNext/>
              <w:spacing w:line="276" w:lineRule="auto"/>
              <w:rPr>
                <w:rFonts w:eastAsia="Calibri" w:cs="Arial"/>
                <w:szCs w:val="20"/>
              </w:rPr>
            </w:pPr>
            <w:r>
              <w:rPr>
                <w:rFonts w:eastAsia="Calibri" w:cs="Arial"/>
                <w:szCs w:val="20"/>
              </w:rPr>
              <w:t>Central Gov</w:t>
            </w:r>
            <w:r w:rsidR="00381296">
              <w:rPr>
                <w:rFonts w:eastAsia="Calibri" w:cs="Arial"/>
                <w:szCs w:val="20"/>
              </w:rPr>
              <w:t>ernmen</w:t>
            </w:r>
            <w:r>
              <w:rPr>
                <w:rFonts w:eastAsia="Calibri" w:cs="Arial"/>
                <w:szCs w:val="20"/>
              </w:rPr>
              <w:t>t – making the regulation</w:t>
            </w:r>
          </w:p>
        </w:tc>
        <w:tc>
          <w:tcPr>
            <w:tcW w:w="2126" w:type="dxa"/>
            <w:tcBorders>
              <w:top w:val="single" w:sz="2" w:space="0" w:color="auto"/>
              <w:left w:val="single" w:sz="2" w:space="0" w:color="auto"/>
              <w:bottom w:val="single" w:sz="2" w:space="0" w:color="auto"/>
              <w:right w:val="single" w:sz="2" w:space="0" w:color="auto"/>
            </w:tcBorders>
            <w:vAlign w:val="center"/>
            <w:hideMark/>
          </w:tcPr>
          <w:p w14:paraId="1F76F0B9" w14:textId="77777777" w:rsidR="00704305" w:rsidRDefault="00704305">
            <w:pPr>
              <w:pStyle w:val="TableText"/>
              <w:keepNext/>
              <w:spacing w:line="276" w:lineRule="auto"/>
              <w:rPr>
                <w:rFonts w:eastAsia="Calibri" w:cs="Arial"/>
                <w:szCs w:val="20"/>
              </w:rPr>
            </w:pPr>
            <w:r>
              <w:rPr>
                <w:rFonts w:eastAsia="Calibri" w:cs="Arial"/>
                <w:szCs w:val="20"/>
              </w:rPr>
              <w:t>Low</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0FDB81C" w14:textId="77777777" w:rsidR="00704305" w:rsidRDefault="00704305">
            <w:pPr>
              <w:pStyle w:val="TableText"/>
              <w:keepNext/>
              <w:spacing w:line="276" w:lineRule="auto"/>
              <w:rPr>
                <w:rFonts w:eastAsia="Calibri" w:cs="Arial"/>
                <w:szCs w:val="20"/>
              </w:rPr>
            </w:pPr>
            <w:r>
              <w:rPr>
                <w:rFonts w:eastAsia="Calibri" w:cs="Arial"/>
                <w:szCs w:val="20"/>
              </w:rPr>
              <w:t>High</w:t>
            </w:r>
          </w:p>
        </w:tc>
      </w:tr>
      <w:tr w:rsidR="00704305" w14:paraId="567E1DD0" w14:textId="77777777" w:rsidTr="00B7069A">
        <w:trPr>
          <w:trHeight w:val="253"/>
        </w:trPr>
        <w:tc>
          <w:tcPr>
            <w:tcW w:w="9069" w:type="dxa"/>
            <w:vMerge/>
            <w:tcBorders>
              <w:top w:val="single" w:sz="2" w:space="0" w:color="auto"/>
              <w:left w:val="single" w:sz="2" w:space="0" w:color="auto"/>
              <w:bottom w:val="single" w:sz="2" w:space="0" w:color="auto"/>
              <w:right w:val="single" w:sz="2" w:space="0" w:color="auto"/>
            </w:tcBorders>
            <w:vAlign w:val="center"/>
            <w:hideMark/>
          </w:tcPr>
          <w:p w14:paraId="03DE2943" w14:textId="77777777" w:rsidR="00704305" w:rsidRDefault="00704305">
            <w:pPr>
              <w:spacing w:after="0" w:line="240" w:lineRule="auto"/>
              <w:rPr>
                <w:rFonts w:eastAsia="Calibri" w:cs="Arial"/>
                <w:sz w:val="20"/>
                <w:lang w:eastAsia="en-AU"/>
              </w:rPr>
            </w:pPr>
          </w:p>
        </w:tc>
        <w:tc>
          <w:tcPr>
            <w:tcW w:w="4536" w:type="dxa"/>
            <w:tcBorders>
              <w:top w:val="single" w:sz="2" w:space="0" w:color="auto"/>
              <w:left w:val="single" w:sz="2" w:space="0" w:color="auto"/>
              <w:bottom w:val="single" w:sz="2" w:space="0" w:color="auto"/>
              <w:right w:val="single" w:sz="2" w:space="0" w:color="auto"/>
            </w:tcBorders>
            <w:hideMark/>
          </w:tcPr>
          <w:p w14:paraId="7CE1AD3A" w14:textId="75E74360" w:rsidR="00704305" w:rsidRDefault="00381296">
            <w:pPr>
              <w:pStyle w:val="TableText"/>
              <w:keepNext/>
              <w:spacing w:line="276" w:lineRule="auto"/>
              <w:rPr>
                <w:rFonts w:eastAsia="Calibri" w:cs="Arial"/>
                <w:szCs w:val="20"/>
              </w:rPr>
            </w:pPr>
            <w:r>
              <w:rPr>
                <w:rFonts w:eastAsia="Calibri" w:cs="Arial"/>
                <w:szCs w:val="20"/>
              </w:rPr>
              <w:t xml:space="preserve">Ministry for the Environment </w:t>
            </w:r>
            <w:r w:rsidR="00704305">
              <w:rPr>
                <w:rFonts w:eastAsia="Calibri" w:cs="Arial"/>
                <w:szCs w:val="20"/>
              </w:rPr>
              <w:t xml:space="preserve">– education, monitoring and enforcement – 1.9 FTE initially (0.5 FTE in </w:t>
            </w:r>
            <w:proofErr w:type="spellStart"/>
            <w:r w:rsidR="00704305">
              <w:rPr>
                <w:rFonts w:eastAsia="Calibri" w:cs="Arial"/>
                <w:szCs w:val="20"/>
              </w:rPr>
              <w:t>outyears</w:t>
            </w:r>
            <w:proofErr w:type="spellEnd"/>
            <w:r w:rsidR="00704305">
              <w:rPr>
                <w:rFonts w:eastAsia="Calibri" w:cs="Arial"/>
                <w:szCs w:val="20"/>
              </w:rPr>
              <w:t>)</w:t>
            </w:r>
          </w:p>
        </w:tc>
        <w:tc>
          <w:tcPr>
            <w:tcW w:w="2126" w:type="dxa"/>
            <w:tcBorders>
              <w:top w:val="single" w:sz="2" w:space="0" w:color="auto"/>
              <w:left w:val="single" w:sz="2" w:space="0" w:color="auto"/>
              <w:bottom w:val="single" w:sz="2" w:space="0" w:color="auto"/>
              <w:right w:val="single" w:sz="2" w:space="0" w:color="auto"/>
            </w:tcBorders>
            <w:vAlign w:val="center"/>
            <w:hideMark/>
          </w:tcPr>
          <w:p w14:paraId="78BF8B9E" w14:textId="77777777" w:rsidR="00704305" w:rsidRDefault="00704305">
            <w:pPr>
              <w:pStyle w:val="TableText"/>
              <w:keepNext/>
              <w:spacing w:line="276" w:lineRule="auto"/>
              <w:rPr>
                <w:rFonts w:eastAsia="Calibri" w:cs="Arial"/>
                <w:szCs w:val="20"/>
              </w:rPr>
            </w:pPr>
            <w:r>
              <w:rPr>
                <w:rFonts w:eastAsia="Calibri" w:cs="Arial"/>
                <w:szCs w:val="20"/>
              </w:rPr>
              <w:t>$190,000</w:t>
            </w:r>
            <w:r>
              <w:rPr>
                <w:rStyle w:val="EndnoteReference"/>
                <w:rFonts w:eastAsia="Calibri"/>
              </w:rPr>
              <w:endnoteReference w:id="9"/>
            </w:r>
          </w:p>
        </w:tc>
        <w:tc>
          <w:tcPr>
            <w:tcW w:w="1134" w:type="dxa"/>
            <w:tcBorders>
              <w:top w:val="single" w:sz="2" w:space="0" w:color="auto"/>
              <w:left w:val="single" w:sz="2" w:space="0" w:color="auto"/>
              <w:bottom w:val="single" w:sz="2" w:space="0" w:color="auto"/>
              <w:right w:val="single" w:sz="2" w:space="0" w:color="auto"/>
            </w:tcBorders>
            <w:vAlign w:val="center"/>
            <w:hideMark/>
          </w:tcPr>
          <w:p w14:paraId="675C2ED9" w14:textId="77777777" w:rsidR="00704305" w:rsidRDefault="00704305">
            <w:pPr>
              <w:pStyle w:val="TableText"/>
              <w:keepNext/>
              <w:spacing w:line="276" w:lineRule="auto"/>
              <w:rPr>
                <w:rFonts w:eastAsia="Calibri" w:cs="Arial"/>
                <w:szCs w:val="20"/>
              </w:rPr>
            </w:pPr>
            <w:r>
              <w:rPr>
                <w:rFonts w:eastAsia="Calibri" w:cs="Arial"/>
                <w:szCs w:val="20"/>
              </w:rPr>
              <w:t>High</w:t>
            </w:r>
          </w:p>
        </w:tc>
      </w:tr>
      <w:tr w:rsidR="00704305" w14:paraId="40E74AD3" w14:textId="77777777" w:rsidTr="00B7069A">
        <w:trPr>
          <w:trHeight w:val="253"/>
        </w:trPr>
        <w:tc>
          <w:tcPr>
            <w:tcW w:w="1273" w:type="dxa"/>
            <w:vMerge w:val="restart"/>
            <w:tcBorders>
              <w:top w:val="single" w:sz="2" w:space="0" w:color="auto"/>
              <w:left w:val="single" w:sz="2" w:space="0" w:color="auto"/>
              <w:bottom w:val="single" w:sz="2" w:space="0" w:color="auto"/>
              <w:right w:val="single" w:sz="2" w:space="0" w:color="auto"/>
            </w:tcBorders>
            <w:hideMark/>
          </w:tcPr>
          <w:p w14:paraId="3F4A8C61" w14:textId="77777777" w:rsidR="00704305" w:rsidRDefault="00704305">
            <w:pPr>
              <w:pStyle w:val="TableText"/>
              <w:keepNext/>
              <w:spacing w:line="276" w:lineRule="auto"/>
              <w:rPr>
                <w:rFonts w:eastAsia="Calibri" w:cs="Arial"/>
                <w:szCs w:val="20"/>
              </w:rPr>
            </w:pPr>
            <w:r>
              <w:rPr>
                <w:rFonts w:eastAsia="Calibri" w:cs="Arial"/>
                <w:szCs w:val="20"/>
              </w:rPr>
              <w:t xml:space="preserve">Other parties </w:t>
            </w:r>
          </w:p>
        </w:tc>
        <w:tc>
          <w:tcPr>
            <w:tcW w:w="4536" w:type="dxa"/>
            <w:tcBorders>
              <w:top w:val="single" w:sz="2" w:space="0" w:color="auto"/>
              <w:left w:val="single" w:sz="2" w:space="0" w:color="auto"/>
              <w:bottom w:val="single" w:sz="2" w:space="0" w:color="auto"/>
              <w:right w:val="single" w:sz="2" w:space="0" w:color="auto"/>
            </w:tcBorders>
            <w:hideMark/>
          </w:tcPr>
          <w:p w14:paraId="29F83A95" w14:textId="77777777" w:rsidR="00704305" w:rsidRDefault="00704305">
            <w:pPr>
              <w:pStyle w:val="TableText"/>
              <w:keepNext/>
              <w:spacing w:line="276" w:lineRule="auto"/>
              <w:rPr>
                <w:rFonts w:eastAsia="Calibri" w:cs="Arial"/>
                <w:szCs w:val="20"/>
              </w:rPr>
            </w:pPr>
            <w:r>
              <w:rPr>
                <w:rFonts w:eastAsia="Calibri" w:cs="Arial"/>
                <w:szCs w:val="20"/>
              </w:rPr>
              <w:t>Shopping bag manufacturers – adjusting to creating thicker bags</w:t>
            </w:r>
          </w:p>
        </w:tc>
        <w:tc>
          <w:tcPr>
            <w:tcW w:w="2126" w:type="dxa"/>
            <w:tcBorders>
              <w:top w:val="single" w:sz="2" w:space="0" w:color="auto"/>
              <w:left w:val="single" w:sz="2" w:space="0" w:color="auto"/>
              <w:bottom w:val="single" w:sz="2" w:space="0" w:color="auto"/>
              <w:right w:val="single" w:sz="2" w:space="0" w:color="auto"/>
            </w:tcBorders>
            <w:vAlign w:val="center"/>
            <w:hideMark/>
          </w:tcPr>
          <w:p w14:paraId="32EC3BB3" w14:textId="77777777" w:rsidR="00704305" w:rsidRDefault="00704305">
            <w:pPr>
              <w:pStyle w:val="TableText"/>
              <w:keepNext/>
              <w:spacing w:line="276" w:lineRule="auto"/>
              <w:rPr>
                <w:rFonts w:eastAsia="Calibri" w:cs="Arial"/>
                <w:szCs w:val="20"/>
              </w:rPr>
            </w:pPr>
            <w:r>
              <w:rPr>
                <w:rFonts w:eastAsia="Calibri" w:cs="Arial"/>
                <w:szCs w:val="20"/>
              </w:rPr>
              <w:t>Medium</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BBB0624" w14:textId="77777777" w:rsidR="00704305" w:rsidRDefault="00704305">
            <w:pPr>
              <w:pStyle w:val="TableText"/>
              <w:keepNext/>
              <w:spacing w:line="276" w:lineRule="auto"/>
              <w:rPr>
                <w:rFonts w:eastAsia="Calibri" w:cs="Arial"/>
                <w:szCs w:val="20"/>
              </w:rPr>
            </w:pPr>
            <w:r>
              <w:rPr>
                <w:rFonts w:eastAsia="Calibri" w:cs="Arial"/>
                <w:szCs w:val="20"/>
              </w:rPr>
              <w:t>Low</w:t>
            </w:r>
          </w:p>
        </w:tc>
      </w:tr>
      <w:tr w:rsidR="00704305" w14:paraId="6C918B22" w14:textId="77777777" w:rsidTr="00B7069A">
        <w:trPr>
          <w:trHeight w:val="253"/>
        </w:trPr>
        <w:tc>
          <w:tcPr>
            <w:tcW w:w="9069" w:type="dxa"/>
            <w:vMerge/>
            <w:tcBorders>
              <w:top w:val="single" w:sz="2" w:space="0" w:color="auto"/>
              <w:left w:val="single" w:sz="2" w:space="0" w:color="auto"/>
              <w:bottom w:val="single" w:sz="2" w:space="0" w:color="auto"/>
              <w:right w:val="single" w:sz="2" w:space="0" w:color="auto"/>
            </w:tcBorders>
            <w:vAlign w:val="center"/>
            <w:hideMark/>
          </w:tcPr>
          <w:p w14:paraId="042E5FE4" w14:textId="77777777" w:rsidR="00704305" w:rsidRDefault="00704305">
            <w:pPr>
              <w:spacing w:after="0" w:line="240" w:lineRule="auto"/>
              <w:rPr>
                <w:rFonts w:eastAsia="Calibri" w:cs="Arial"/>
                <w:sz w:val="20"/>
                <w:lang w:eastAsia="en-AU"/>
              </w:rPr>
            </w:pPr>
          </w:p>
        </w:tc>
        <w:tc>
          <w:tcPr>
            <w:tcW w:w="4536" w:type="dxa"/>
            <w:tcBorders>
              <w:top w:val="single" w:sz="2" w:space="0" w:color="auto"/>
              <w:left w:val="single" w:sz="2" w:space="0" w:color="auto"/>
              <w:bottom w:val="single" w:sz="2" w:space="0" w:color="auto"/>
              <w:right w:val="single" w:sz="2" w:space="0" w:color="auto"/>
            </w:tcBorders>
            <w:hideMark/>
          </w:tcPr>
          <w:p w14:paraId="02215C23" w14:textId="77777777" w:rsidR="00704305" w:rsidRDefault="00704305">
            <w:pPr>
              <w:pStyle w:val="TableText"/>
              <w:keepNext/>
              <w:spacing w:line="276" w:lineRule="auto"/>
              <w:rPr>
                <w:rFonts w:eastAsia="Calibri" w:cs="Arial"/>
                <w:szCs w:val="20"/>
              </w:rPr>
            </w:pPr>
            <w:r>
              <w:rPr>
                <w:rFonts w:eastAsia="Calibri" w:cs="Arial"/>
                <w:szCs w:val="20"/>
              </w:rPr>
              <w:t>Plastic bag importers – loss of revenue stream for thinner bags</w:t>
            </w:r>
          </w:p>
        </w:tc>
        <w:tc>
          <w:tcPr>
            <w:tcW w:w="2126" w:type="dxa"/>
            <w:tcBorders>
              <w:top w:val="single" w:sz="2" w:space="0" w:color="auto"/>
              <w:left w:val="single" w:sz="2" w:space="0" w:color="auto"/>
              <w:bottom w:val="single" w:sz="2" w:space="0" w:color="auto"/>
              <w:right w:val="single" w:sz="2" w:space="0" w:color="auto"/>
            </w:tcBorders>
            <w:vAlign w:val="center"/>
            <w:hideMark/>
          </w:tcPr>
          <w:p w14:paraId="54D867EE" w14:textId="77777777" w:rsidR="00704305" w:rsidRDefault="00704305">
            <w:pPr>
              <w:pStyle w:val="TableText"/>
              <w:keepNext/>
              <w:spacing w:line="276" w:lineRule="auto"/>
              <w:rPr>
                <w:rFonts w:eastAsia="Calibri" w:cs="Arial"/>
                <w:szCs w:val="20"/>
              </w:rPr>
            </w:pPr>
            <w:r>
              <w:rPr>
                <w:rFonts w:eastAsia="Calibri" w:cs="Arial"/>
                <w:szCs w:val="20"/>
              </w:rPr>
              <w:t>Medium</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D17FEAB" w14:textId="77777777" w:rsidR="00704305" w:rsidRDefault="00704305">
            <w:pPr>
              <w:pStyle w:val="TableText"/>
              <w:keepNext/>
              <w:spacing w:line="276" w:lineRule="auto"/>
              <w:rPr>
                <w:rFonts w:eastAsia="Calibri" w:cs="Arial"/>
                <w:szCs w:val="20"/>
              </w:rPr>
            </w:pPr>
            <w:r>
              <w:rPr>
                <w:rFonts w:eastAsia="Calibri" w:cs="Arial"/>
                <w:szCs w:val="20"/>
              </w:rPr>
              <w:t>Low</w:t>
            </w:r>
          </w:p>
        </w:tc>
      </w:tr>
      <w:tr w:rsidR="00704305" w14:paraId="1DA34CBF" w14:textId="77777777" w:rsidTr="00B7069A">
        <w:trPr>
          <w:trHeight w:val="253"/>
        </w:trPr>
        <w:tc>
          <w:tcPr>
            <w:tcW w:w="1273" w:type="dxa"/>
            <w:tcBorders>
              <w:top w:val="single" w:sz="2" w:space="0" w:color="auto"/>
              <w:left w:val="single" w:sz="2" w:space="0" w:color="auto"/>
              <w:bottom w:val="single" w:sz="2" w:space="0" w:color="auto"/>
              <w:right w:val="single" w:sz="2" w:space="0" w:color="auto"/>
            </w:tcBorders>
            <w:hideMark/>
          </w:tcPr>
          <w:p w14:paraId="26938D37" w14:textId="77777777" w:rsidR="00704305" w:rsidRDefault="00704305">
            <w:pPr>
              <w:pStyle w:val="TableText"/>
              <w:keepNext/>
              <w:spacing w:line="276" w:lineRule="auto"/>
              <w:rPr>
                <w:rFonts w:eastAsia="Calibri" w:cs="Arial"/>
                <w:b/>
                <w:szCs w:val="20"/>
              </w:rPr>
            </w:pPr>
            <w:r>
              <w:rPr>
                <w:rFonts w:eastAsia="Calibri" w:cs="Arial"/>
                <w:b/>
                <w:szCs w:val="20"/>
              </w:rPr>
              <w:t>Monetised costs</w:t>
            </w:r>
          </w:p>
        </w:tc>
        <w:tc>
          <w:tcPr>
            <w:tcW w:w="4536" w:type="dxa"/>
            <w:tcBorders>
              <w:top w:val="single" w:sz="2" w:space="0" w:color="auto"/>
              <w:left w:val="single" w:sz="2" w:space="0" w:color="auto"/>
              <w:bottom w:val="single" w:sz="2" w:space="0" w:color="auto"/>
              <w:right w:val="single" w:sz="2" w:space="0" w:color="auto"/>
            </w:tcBorders>
          </w:tcPr>
          <w:p w14:paraId="059D462F" w14:textId="77777777" w:rsidR="00704305" w:rsidRDefault="00704305">
            <w:pPr>
              <w:pStyle w:val="TableText"/>
              <w:keepNext/>
              <w:spacing w:line="276" w:lineRule="auto"/>
              <w:rPr>
                <w:rFonts w:eastAsia="Calibri" w:cs="Arial"/>
                <w:szCs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1EA34F49" w14:textId="77777777" w:rsidR="00704305" w:rsidRDefault="00704305">
            <w:pPr>
              <w:pStyle w:val="TableText"/>
              <w:keepNext/>
              <w:spacing w:line="276" w:lineRule="auto"/>
              <w:rPr>
                <w:rFonts w:eastAsia="Calibri" w:cs="Arial"/>
                <w:szCs w:val="20"/>
              </w:rPr>
            </w:pPr>
            <w:r>
              <w:rPr>
                <w:rFonts w:eastAsia="Calibri" w:cs="Arial"/>
                <w:szCs w:val="20"/>
              </w:rPr>
              <w:t>Y1: $690,000</w:t>
            </w:r>
          </w:p>
          <w:p w14:paraId="7A2562FB" w14:textId="6E265962" w:rsidR="00704305" w:rsidRDefault="00704305" w:rsidP="00D866F9">
            <w:pPr>
              <w:pStyle w:val="TableText"/>
              <w:keepNext/>
              <w:spacing w:line="276" w:lineRule="auto"/>
              <w:rPr>
                <w:rFonts w:eastAsia="Calibri" w:cs="Arial"/>
                <w:szCs w:val="20"/>
              </w:rPr>
            </w:pPr>
            <w:proofErr w:type="spellStart"/>
            <w:r>
              <w:rPr>
                <w:rFonts w:eastAsia="Calibri" w:cs="Arial"/>
                <w:szCs w:val="20"/>
              </w:rPr>
              <w:t>Outyears</w:t>
            </w:r>
            <w:proofErr w:type="spellEnd"/>
            <w:r>
              <w:rPr>
                <w:rFonts w:eastAsia="Calibri" w:cs="Arial"/>
                <w:szCs w:val="20"/>
              </w:rPr>
              <w:t>: $550,000</w:t>
            </w:r>
            <w:r w:rsidR="00D866F9">
              <w:rPr>
                <w:rFonts w:eastAsia="Calibri" w:cs="Arial"/>
                <w:szCs w:val="20"/>
              </w:rPr>
              <w:t xml:space="preserve"> </w:t>
            </w:r>
            <w:r>
              <w:rPr>
                <w:rFonts w:eastAsia="Calibri" w:cs="Arial"/>
                <w:szCs w:val="20"/>
              </w:rPr>
              <w:t>p</w:t>
            </w:r>
            <w:r w:rsidR="00D866F9">
              <w:rPr>
                <w:rFonts w:eastAsia="Calibri" w:cs="Arial"/>
                <w:szCs w:val="20"/>
              </w:rPr>
              <w:t xml:space="preserve">er </w:t>
            </w:r>
            <w:r>
              <w:rPr>
                <w:rFonts w:eastAsia="Calibri" w:cs="Arial"/>
                <w:szCs w:val="20"/>
              </w:rPr>
              <w:t>a</w:t>
            </w:r>
            <w:r w:rsidR="00D866F9">
              <w:rPr>
                <w:rFonts w:eastAsia="Calibri" w:cs="Arial"/>
                <w:szCs w:val="20"/>
              </w:rPr>
              <w:t>nnum</w:t>
            </w:r>
          </w:p>
        </w:tc>
        <w:tc>
          <w:tcPr>
            <w:tcW w:w="1134" w:type="dxa"/>
            <w:tcBorders>
              <w:top w:val="single" w:sz="2" w:space="0" w:color="auto"/>
              <w:left w:val="single" w:sz="2" w:space="0" w:color="auto"/>
              <w:bottom w:val="single" w:sz="2" w:space="0" w:color="auto"/>
              <w:right w:val="single" w:sz="2" w:space="0" w:color="auto"/>
            </w:tcBorders>
            <w:vAlign w:val="center"/>
          </w:tcPr>
          <w:p w14:paraId="0753319F" w14:textId="77777777" w:rsidR="00704305" w:rsidRDefault="00704305">
            <w:pPr>
              <w:pStyle w:val="TableText"/>
              <w:keepNext/>
              <w:spacing w:line="276" w:lineRule="auto"/>
              <w:rPr>
                <w:rFonts w:eastAsia="Calibri" w:cs="Arial"/>
                <w:szCs w:val="20"/>
              </w:rPr>
            </w:pPr>
          </w:p>
        </w:tc>
      </w:tr>
      <w:tr w:rsidR="00704305" w14:paraId="35F19AD6" w14:textId="77777777" w:rsidTr="00B7069A">
        <w:trPr>
          <w:trHeight w:val="253"/>
        </w:trPr>
        <w:tc>
          <w:tcPr>
            <w:tcW w:w="1273" w:type="dxa"/>
            <w:tcBorders>
              <w:top w:val="single" w:sz="2" w:space="0" w:color="auto"/>
              <w:left w:val="single" w:sz="2" w:space="0" w:color="auto"/>
              <w:bottom w:val="single" w:sz="2" w:space="0" w:color="auto"/>
              <w:right w:val="single" w:sz="2" w:space="0" w:color="auto"/>
            </w:tcBorders>
            <w:hideMark/>
          </w:tcPr>
          <w:p w14:paraId="1CC406C4" w14:textId="77777777" w:rsidR="00704305" w:rsidRDefault="00704305">
            <w:pPr>
              <w:pStyle w:val="TableText"/>
              <w:keepNext/>
              <w:spacing w:line="276" w:lineRule="auto"/>
              <w:rPr>
                <w:rFonts w:eastAsia="Calibri" w:cs="Arial"/>
                <w:b/>
                <w:szCs w:val="20"/>
              </w:rPr>
            </w:pPr>
            <w:r>
              <w:rPr>
                <w:rFonts w:eastAsia="Calibri" w:cs="Arial"/>
                <w:b/>
                <w:szCs w:val="20"/>
              </w:rPr>
              <w:t xml:space="preserve">Non-monetised costs </w:t>
            </w:r>
          </w:p>
        </w:tc>
        <w:tc>
          <w:tcPr>
            <w:tcW w:w="4536" w:type="dxa"/>
            <w:tcBorders>
              <w:top w:val="single" w:sz="2" w:space="0" w:color="auto"/>
              <w:left w:val="single" w:sz="2" w:space="0" w:color="auto"/>
              <w:bottom w:val="single" w:sz="2" w:space="0" w:color="auto"/>
              <w:right w:val="single" w:sz="2" w:space="0" w:color="auto"/>
            </w:tcBorders>
          </w:tcPr>
          <w:p w14:paraId="27445CB4" w14:textId="77777777" w:rsidR="00704305" w:rsidRDefault="00704305">
            <w:pPr>
              <w:pStyle w:val="TableText"/>
              <w:keepNext/>
              <w:spacing w:line="276" w:lineRule="auto"/>
              <w:rPr>
                <w:rFonts w:eastAsia="Calibri" w:cs="Arial"/>
                <w:i/>
                <w:szCs w:val="20"/>
              </w:rPr>
            </w:pPr>
          </w:p>
        </w:tc>
        <w:tc>
          <w:tcPr>
            <w:tcW w:w="2126" w:type="dxa"/>
            <w:tcBorders>
              <w:top w:val="single" w:sz="2" w:space="0" w:color="auto"/>
              <w:left w:val="single" w:sz="2" w:space="0" w:color="auto"/>
              <w:bottom w:val="single" w:sz="2" w:space="0" w:color="auto"/>
              <w:right w:val="single" w:sz="2" w:space="0" w:color="auto"/>
            </w:tcBorders>
            <w:vAlign w:val="center"/>
            <w:hideMark/>
          </w:tcPr>
          <w:p w14:paraId="04A53485" w14:textId="4FB5CE9D" w:rsidR="00704305" w:rsidRDefault="00704305">
            <w:pPr>
              <w:pStyle w:val="TableText"/>
              <w:keepNext/>
              <w:spacing w:line="276" w:lineRule="auto"/>
              <w:rPr>
                <w:rFonts w:eastAsia="Calibri" w:cs="Arial"/>
                <w:szCs w:val="20"/>
              </w:rPr>
            </w:pPr>
            <w:r>
              <w:rPr>
                <w:rFonts w:eastAsia="Calibri" w:cs="Arial"/>
                <w:szCs w:val="20"/>
              </w:rPr>
              <w:t>Low - Medium</w:t>
            </w:r>
          </w:p>
        </w:tc>
        <w:tc>
          <w:tcPr>
            <w:tcW w:w="1134" w:type="dxa"/>
            <w:tcBorders>
              <w:top w:val="single" w:sz="2" w:space="0" w:color="auto"/>
              <w:left w:val="single" w:sz="2" w:space="0" w:color="auto"/>
              <w:bottom w:val="single" w:sz="2" w:space="0" w:color="auto"/>
              <w:right w:val="single" w:sz="2" w:space="0" w:color="auto"/>
            </w:tcBorders>
            <w:vAlign w:val="center"/>
            <w:hideMark/>
          </w:tcPr>
          <w:p w14:paraId="50DC7E99" w14:textId="77777777" w:rsidR="00704305" w:rsidRDefault="00704305">
            <w:pPr>
              <w:pStyle w:val="TableText"/>
              <w:keepNext/>
              <w:spacing w:line="276" w:lineRule="auto"/>
              <w:rPr>
                <w:rFonts w:eastAsia="Calibri" w:cs="Arial"/>
                <w:szCs w:val="20"/>
              </w:rPr>
            </w:pPr>
            <w:r>
              <w:rPr>
                <w:rFonts w:eastAsia="Calibri" w:cs="Arial"/>
                <w:szCs w:val="20"/>
              </w:rPr>
              <w:t>Medium</w:t>
            </w:r>
          </w:p>
        </w:tc>
      </w:tr>
    </w:tbl>
    <w:p w14:paraId="10CDC2C3" w14:textId="77777777" w:rsidR="00704305" w:rsidRDefault="00704305" w:rsidP="00B7069A">
      <w:pPr>
        <w:pStyle w:val="spacer"/>
      </w:pPr>
    </w:p>
    <w:tbl>
      <w:tblPr>
        <w:tblpPr w:leftFromText="180" w:rightFromText="180" w:vertAnchor="text" w:tblpX="6" w:tblpY="1"/>
        <w:tblOverlap w:val="neve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3"/>
        <w:gridCol w:w="4536"/>
        <w:gridCol w:w="2126"/>
        <w:gridCol w:w="1136"/>
      </w:tblGrid>
      <w:tr w:rsidR="00704305" w14:paraId="08C17302" w14:textId="77777777" w:rsidTr="00B7069A">
        <w:trPr>
          <w:trHeight w:val="253"/>
        </w:trPr>
        <w:tc>
          <w:tcPr>
            <w:tcW w:w="9071" w:type="dxa"/>
            <w:gridSpan w:val="4"/>
            <w:tcBorders>
              <w:top w:val="single" w:sz="2" w:space="0" w:color="auto"/>
              <w:left w:val="single" w:sz="2" w:space="0" w:color="auto"/>
              <w:bottom w:val="single" w:sz="2" w:space="0" w:color="auto"/>
              <w:right w:val="single" w:sz="2" w:space="0" w:color="auto"/>
            </w:tcBorders>
            <w:shd w:val="clear" w:color="auto" w:fill="99CDDD"/>
            <w:hideMark/>
          </w:tcPr>
          <w:p w14:paraId="40B55D1A" w14:textId="77777777" w:rsidR="00704305" w:rsidRDefault="00704305">
            <w:pPr>
              <w:spacing w:before="40" w:after="20" w:line="276" w:lineRule="auto"/>
              <w:rPr>
                <w:rFonts w:eastAsia="Calibri" w:cs="Arial"/>
                <w:b/>
                <w:szCs w:val="22"/>
              </w:rPr>
            </w:pPr>
            <w:r>
              <w:rPr>
                <w:rFonts w:eastAsia="Calibri" w:cs="Arial"/>
                <w:b/>
                <w:szCs w:val="22"/>
              </w:rPr>
              <w:t>Expected benefits of proposed approach, compared to taking no action</w:t>
            </w:r>
          </w:p>
        </w:tc>
      </w:tr>
      <w:tr w:rsidR="00704305" w14:paraId="73F06A53" w14:textId="77777777" w:rsidTr="00B7069A">
        <w:trPr>
          <w:trHeight w:val="253"/>
        </w:trPr>
        <w:tc>
          <w:tcPr>
            <w:tcW w:w="1273" w:type="dxa"/>
            <w:vMerge w:val="restart"/>
            <w:tcBorders>
              <w:top w:val="single" w:sz="2" w:space="0" w:color="auto"/>
              <w:left w:val="single" w:sz="2" w:space="0" w:color="auto"/>
              <w:bottom w:val="single" w:sz="2" w:space="0" w:color="auto"/>
              <w:right w:val="single" w:sz="2" w:space="0" w:color="auto"/>
            </w:tcBorders>
            <w:hideMark/>
          </w:tcPr>
          <w:p w14:paraId="0065CEED" w14:textId="77777777" w:rsidR="00704305" w:rsidRDefault="00704305">
            <w:pPr>
              <w:pStyle w:val="TableText"/>
              <w:spacing w:line="276" w:lineRule="auto"/>
              <w:rPr>
                <w:rFonts w:eastAsia="Calibri" w:cs="Arial"/>
                <w:szCs w:val="20"/>
              </w:rPr>
            </w:pPr>
            <w:r>
              <w:rPr>
                <w:rFonts w:eastAsia="Calibri" w:cs="Arial"/>
                <w:szCs w:val="20"/>
              </w:rPr>
              <w:t>Regulated parties</w:t>
            </w:r>
          </w:p>
        </w:tc>
        <w:tc>
          <w:tcPr>
            <w:tcW w:w="4536" w:type="dxa"/>
            <w:tcBorders>
              <w:top w:val="single" w:sz="2" w:space="0" w:color="auto"/>
              <w:left w:val="single" w:sz="2" w:space="0" w:color="auto"/>
              <w:bottom w:val="single" w:sz="2" w:space="0" w:color="auto"/>
              <w:right w:val="single" w:sz="2" w:space="0" w:color="auto"/>
            </w:tcBorders>
            <w:hideMark/>
          </w:tcPr>
          <w:p w14:paraId="5CBFFA3E" w14:textId="77777777" w:rsidR="00704305" w:rsidRDefault="00704305">
            <w:pPr>
              <w:pStyle w:val="TableText"/>
              <w:spacing w:line="276" w:lineRule="auto"/>
              <w:rPr>
                <w:rFonts w:eastAsia="Calibri" w:cs="Arial"/>
                <w:szCs w:val="20"/>
              </w:rPr>
            </w:pPr>
            <w:r>
              <w:rPr>
                <w:rFonts w:eastAsia="Calibri" w:cs="Arial"/>
                <w:szCs w:val="20"/>
              </w:rPr>
              <w:t xml:space="preserve">Retailers: No need to import single-use plastic </w:t>
            </w:r>
            <w:r>
              <w:rPr>
                <w:bCs/>
                <w:szCs w:val="20"/>
              </w:rPr>
              <w:t xml:space="preserve">shopping </w:t>
            </w:r>
            <w:r>
              <w:rPr>
                <w:rFonts w:eastAsia="Calibri" w:cs="Arial"/>
                <w:szCs w:val="20"/>
              </w:rPr>
              <w:t>bags for free distribution</w:t>
            </w:r>
          </w:p>
        </w:tc>
        <w:tc>
          <w:tcPr>
            <w:tcW w:w="2126" w:type="dxa"/>
            <w:tcBorders>
              <w:top w:val="single" w:sz="2" w:space="0" w:color="auto"/>
              <w:left w:val="single" w:sz="2" w:space="0" w:color="auto"/>
              <w:bottom w:val="single" w:sz="2" w:space="0" w:color="auto"/>
              <w:right w:val="single" w:sz="2" w:space="0" w:color="auto"/>
            </w:tcBorders>
            <w:vAlign w:val="center"/>
            <w:hideMark/>
          </w:tcPr>
          <w:p w14:paraId="4BEFF371" w14:textId="77777777" w:rsidR="00704305" w:rsidRDefault="00704305">
            <w:pPr>
              <w:pStyle w:val="TableText"/>
              <w:spacing w:line="276" w:lineRule="auto"/>
              <w:rPr>
                <w:rFonts w:eastAsia="Calibri" w:cs="Arial"/>
                <w:szCs w:val="20"/>
              </w:rPr>
            </w:pPr>
            <w:r>
              <w:rPr>
                <w:rFonts w:eastAsia="Calibri" w:cs="Arial"/>
                <w:szCs w:val="20"/>
              </w:rPr>
              <w:t>$15 million</w:t>
            </w:r>
            <w:r>
              <w:rPr>
                <w:rStyle w:val="EndnoteReference"/>
                <w:rFonts w:eastAsia="Calibri"/>
              </w:rPr>
              <w:endnoteReference w:id="10"/>
            </w:r>
          </w:p>
        </w:tc>
        <w:tc>
          <w:tcPr>
            <w:tcW w:w="1136" w:type="dxa"/>
            <w:tcBorders>
              <w:top w:val="single" w:sz="2" w:space="0" w:color="auto"/>
              <w:left w:val="single" w:sz="2" w:space="0" w:color="auto"/>
              <w:bottom w:val="single" w:sz="2" w:space="0" w:color="auto"/>
              <w:right w:val="single" w:sz="2" w:space="0" w:color="auto"/>
            </w:tcBorders>
            <w:vAlign w:val="center"/>
            <w:hideMark/>
          </w:tcPr>
          <w:p w14:paraId="4F5B12E3" w14:textId="77777777" w:rsidR="00704305" w:rsidRDefault="00704305">
            <w:pPr>
              <w:pStyle w:val="TableText"/>
              <w:spacing w:line="276" w:lineRule="auto"/>
              <w:rPr>
                <w:rFonts w:eastAsia="Calibri" w:cs="Arial"/>
                <w:szCs w:val="20"/>
              </w:rPr>
            </w:pPr>
            <w:r>
              <w:rPr>
                <w:rFonts w:eastAsia="Calibri" w:cs="Arial"/>
                <w:szCs w:val="20"/>
              </w:rPr>
              <w:t>Medium</w:t>
            </w:r>
            <w:r>
              <w:rPr>
                <w:rStyle w:val="EndnoteReference"/>
                <w:rFonts w:eastAsia="Calibri"/>
              </w:rPr>
              <w:endnoteReference w:id="11"/>
            </w:r>
          </w:p>
        </w:tc>
      </w:tr>
      <w:tr w:rsidR="00704305" w14:paraId="189F2BE5" w14:textId="77777777" w:rsidTr="00B7069A">
        <w:trPr>
          <w:trHeight w:val="253"/>
        </w:trPr>
        <w:tc>
          <w:tcPr>
            <w:tcW w:w="9071" w:type="dxa"/>
            <w:vMerge/>
            <w:tcBorders>
              <w:top w:val="single" w:sz="2" w:space="0" w:color="auto"/>
              <w:left w:val="single" w:sz="2" w:space="0" w:color="auto"/>
              <w:bottom w:val="single" w:sz="2" w:space="0" w:color="auto"/>
              <w:right w:val="single" w:sz="2" w:space="0" w:color="auto"/>
            </w:tcBorders>
            <w:vAlign w:val="center"/>
            <w:hideMark/>
          </w:tcPr>
          <w:p w14:paraId="692BE684" w14:textId="77777777" w:rsidR="00704305" w:rsidRDefault="00704305">
            <w:pPr>
              <w:spacing w:after="0" w:line="240" w:lineRule="auto"/>
              <w:rPr>
                <w:rFonts w:eastAsia="Calibri" w:cs="Arial"/>
                <w:sz w:val="20"/>
                <w:lang w:eastAsia="en-AU"/>
              </w:rPr>
            </w:pPr>
          </w:p>
        </w:tc>
        <w:tc>
          <w:tcPr>
            <w:tcW w:w="4536" w:type="dxa"/>
            <w:tcBorders>
              <w:top w:val="single" w:sz="2" w:space="0" w:color="auto"/>
              <w:left w:val="single" w:sz="2" w:space="0" w:color="auto"/>
              <w:bottom w:val="single" w:sz="2" w:space="0" w:color="auto"/>
              <w:right w:val="single" w:sz="2" w:space="0" w:color="auto"/>
            </w:tcBorders>
            <w:hideMark/>
          </w:tcPr>
          <w:p w14:paraId="5437333D" w14:textId="77777777" w:rsidR="00704305" w:rsidRDefault="00704305">
            <w:pPr>
              <w:pStyle w:val="TableText"/>
              <w:spacing w:line="276" w:lineRule="auto"/>
              <w:rPr>
                <w:rFonts w:eastAsia="Calibri" w:cs="Arial"/>
                <w:szCs w:val="20"/>
              </w:rPr>
            </w:pPr>
            <w:r>
              <w:rPr>
                <w:rFonts w:eastAsia="Calibri" w:cs="Arial"/>
                <w:szCs w:val="20"/>
              </w:rPr>
              <w:t xml:space="preserve">Retailers – offering a new product line of thicker reusable </w:t>
            </w:r>
            <w:r>
              <w:rPr>
                <w:bCs/>
                <w:szCs w:val="20"/>
              </w:rPr>
              <w:t xml:space="preserve">shopping </w:t>
            </w:r>
            <w:r>
              <w:rPr>
                <w:rFonts w:eastAsia="Calibri" w:cs="Arial"/>
                <w:szCs w:val="20"/>
              </w:rPr>
              <w:t>bags</w:t>
            </w:r>
          </w:p>
        </w:tc>
        <w:tc>
          <w:tcPr>
            <w:tcW w:w="2126" w:type="dxa"/>
            <w:tcBorders>
              <w:top w:val="single" w:sz="2" w:space="0" w:color="auto"/>
              <w:left w:val="single" w:sz="2" w:space="0" w:color="auto"/>
              <w:bottom w:val="single" w:sz="2" w:space="0" w:color="auto"/>
              <w:right w:val="single" w:sz="2" w:space="0" w:color="auto"/>
            </w:tcBorders>
            <w:vAlign w:val="center"/>
            <w:hideMark/>
          </w:tcPr>
          <w:p w14:paraId="64B58A78" w14:textId="77777777" w:rsidR="00704305" w:rsidRDefault="00704305">
            <w:pPr>
              <w:pStyle w:val="TableText"/>
              <w:spacing w:line="276" w:lineRule="auto"/>
              <w:rPr>
                <w:rFonts w:eastAsia="Calibri" w:cs="Arial"/>
                <w:szCs w:val="20"/>
              </w:rPr>
            </w:pPr>
            <w:r>
              <w:rPr>
                <w:rFonts w:eastAsia="Calibri" w:cs="Arial"/>
                <w:szCs w:val="20"/>
              </w:rPr>
              <w:t>Low</w:t>
            </w:r>
            <w:r>
              <w:rPr>
                <w:rStyle w:val="EndnoteReference"/>
                <w:rFonts w:eastAsia="Calibri"/>
              </w:rPr>
              <w:endnoteReference w:id="12"/>
            </w:r>
          </w:p>
        </w:tc>
        <w:tc>
          <w:tcPr>
            <w:tcW w:w="1136" w:type="dxa"/>
            <w:tcBorders>
              <w:top w:val="single" w:sz="2" w:space="0" w:color="auto"/>
              <w:left w:val="single" w:sz="2" w:space="0" w:color="auto"/>
              <w:bottom w:val="single" w:sz="2" w:space="0" w:color="auto"/>
              <w:right w:val="single" w:sz="2" w:space="0" w:color="auto"/>
            </w:tcBorders>
            <w:vAlign w:val="center"/>
            <w:hideMark/>
          </w:tcPr>
          <w:p w14:paraId="238DF93C" w14:textId="77777777" w:rsidR="00704305" w:rsidRDefault="00704305">
            <w:pPr>
              <w:pStyle w:val="TableText"/>
              <w:spacing w:line="276" w:lineRule="auto"/>
              <w:rPr>
                <w:rFonts w:eastAsia="Calibri" w:cs="Arial"/>
                <w:szCs w:val="20"/>
              </w:rPr>
            </w:pPr>
            <w:r>
              <w:rPr>
                <w:rFonts w:eastAsia="Calibri" w:cs="Arial"/>
                <w:szCs w:val="20"/>
              </w:rPr>
              <w:t>Medium</w:t>
            </w:r>
          </w:p>
        </w:tc>
      </w:tr>
      <w:tr w:rsidR="00704305" w14:paraId="085765F2" w14:textId="77777777" w:rsidTr="00B7069A">
        <w:trPr>
          <w:trHeight w:val="253"/>
        </w:trPr>
        <w:tc>
          <w:tcPr>
            <w:tcW w:w="1273" w:type="dxa"/>
            <w:tcBorders>
              <w:top w:val="single" w:sz="2" w:space="0" w:color="auto"/>
              <w:left w:val="single" w:sz="2" w:space="0" w:color="auto"/>
              <w:bottom w:val="single" w:sz="2" w:space="0" w:color="auto"/>
              <w:right w:val="single" w:sz="2" w:space="0" w:color="auto"/>
            </w:tcBorders>
            <w:hideMark/>
          </w:tcPr>
          <w:p w14:paraId="2D63B367" w14:textId="77777777" w:rsidR="00704305" w:rsidRDefault="00704305">
            <w:pPr>
              <w:pStyle w:val="TableText"/>
              <w:spacing w:line="276" w:lineRule="auto"/>
              <w:rPr>
                <w:rFonts w:eastAsia="Calibri" w:cs="Arial"/>
                <w:szCs w:val="20"/>
              </w:rPr>
            </w:pPr>
            <w:r>
              <w:rPr>
                <w:rFonts w:eastAsia="Calibri" w:cs="Arial"/>
                <w:szCs w:val="20"/>
              </w:rPr>
              <w:t>Wider government</w:t>
            </w:r>
          </w:p>
        </w:tc>
        <w:tc>
          <w:tcPr>
            <w:tcW w:w="4536" w:type="dxa"/>
            <w:tcBorders>
              <w:top w:val="single" w:sz="2" w:space="0" w:color="auto"/>
              <w:left w:val="single" w:sz="2" w:space="0" w:color="auto"/>
              <w:bottom w:val="single" w:sz="2" w:space="0" w:color="auto"/>
              <w:right w:val="single" w:sz="2" w:space="0" w:color="auto"/>
            </w:tcBorders>
            <w:hideMark/>
          </w:tcPr>
          <w:p w14:paraId="64E64DA2" w14:textId="77777777" w:rsidR="00704305" w:rsidRDefault="00704305">
            <w:pPr>
              <w:pStyle w:val="TableText"/>
              <w:spacing w:line="276" w:lineRule="auto"/>
              <w:rPr>
                <w:rFonts w:eastAsia="Calibri" w:cs="Arial"/>
                <w:szCs w:val="20"/>
              </w:rPr>
            </w:pPr>
            <w:r>
              <w:rPr>
                <w:rFonts w:eastAsia="Calibri" w:cs="Arial"/>
                <w:szCs w:val="20"/>
              </w:rPr>
              <w:t xml:space="preserve">Local Government – improved waste management </w:t>
            </w:r>
            <w:proofErr w:type="spellStart"/>
            <w:r>
              <w:rPr>
                <w:rFonts w:eastAsia="Calibri" w:cs="Arial"/>
                <w:szCs w:val="20"/>
              </w:rPr>
              <w:t>eg</w:t>
            </w:r>
            <w:proofErr w:type="spellEnd"/>
            <w:r>
              <w:rPr>
                <w:rFonts w:eastAsia="Calibri" w:cs="Arial"/>
                <w:szCs w:val="20"/>
              </w:rPr>
              <w:t>, less contamination of recycling</w:t>
            </w:r>
          </w:p>
        </w:tc>
        <w:tc>
          <w:tcPr>
            <w:tcW w:w="2126" w:type="dxa"/>
            <w:tcBorders>
              <w:top w:val="single" w:sz="2" w:space="0" w:color="auto"/>
              <w:left w:val="single" w:sz="2" w:space="0" w:color="auto"/>
              <w:bottom w:val="single" w:sz="2" w:space="0" w:color="auto"/>
              <w:right w:val="single" w:sz="2" w:space="0" w:color="auto"/>
            </w:tcBorders>
            <w:vAlign w:val="center"/>
            <w:hideMark/>
          </w:tcPr>
          <w:p w14:paraId="723D2A2C" w14:textId="77777777" w:rsidR="00704305" w:rsidRDefault="00704305">
            <w:pPr>
              <w:pStyle w:val="TableText"/>
              <w:spacing w:line="276" w:lineRule="auto"/>
              <w:rPr>
                <w:rFonts w:eastAsia="Calibri" w:cs="Arial"/>
                <w:szCs w:val="20"/>
              </w:rPr>
            </w:pPr>
            <w:r>
              <w:rPr>
                <w:rFonts w:eastAsia="Calibri" w:cs="Arial"/>
                <w:szCs w:val="20"/>
              </w:rPr>
              <w:t xml:space="preserve">Low </w:t>
            </w:r>
          </w:p>
        </w:tc>
        <w:tc>
          <w:tcPr>
            <w:tcW w:w="1136" w:type="dxa"/>
            <w:tcBorders>
              <w:top w:val="single" w:sz="2" w:space="0" w:color="auto"/>
              <w:left w:val="single" w:sz="2" w:space="0" w:color="auto"/>
              <w:bottom w:val="single" w:sz="2" w:space="0" w:color="auto"/>
              <w:right w:val="single" w:sz="2" w:space="0" w:color="auto"/>
            </w:tcBorders>
            <w:vAlign w:val="center"/>
            <w:hideMark/>
          </w:tcPr>
          <w:p w14:paraId="2F87D086" w14:textId="77777777" w:rsidR="00704305" w:rsidRDefault="00704305">
            <w:pPr>
              <w:pStyle w:val="TableText"/>
              <w:spacing w:line="276" w:lineRule="auto"/>
              <w:rPr>
                <w:rFonts w:eastAsia="Calibri" w:cs="Arial"/>
                <w:szCs w:val="20"/>
              </w:rPr>
            </w:pPr>
            <w:r>
              <w:rPr>
                <w:rFonts w:eastAsia="Calibri" w:cs="Arial"/>
                <w:szCs w:val="20"/>
              </w:rPr>
              <w:t>Low-medium</w:t>
            </w:r>
            <w:r>
              <w:rPr>
                <w:rStyle w:val="EndnoteReference"/>
                <w:rFonts w:eastAsia="Calibri"/>
              </w:rPr>
              <w:endnoteReference w:id="13"/>
            </w:r>
          </w:p>
        </w:tc>
      </w:tr>
      <w:tr w:rsidR="00B7069A" w14:paraId="57A608D2" w14:textId="77777777" w:rsidTr="00B7069A">
        <w:trPr>
          <w:trHeight w:val="253"/>
        </w:trPr>
        <w:tc>
          <w:tcPr>
            <w:tcW w:w="1273" w:type="dxa"/>
            <w:tcBorders>
              <w:top w:val="single" w:sz="2" w:space="0" w:color="auto"/>
              <w:left w:val="single" w:sz="2" w:space="0" w:color="auto"/>
              <w:bottom w:val="single" w:sz="2" w:space="0" w:color="auto"/>
              <w:right w:val="single" w:sz="2" w:space="0" w:color="auto"/>
            </w:tcBorders>
            <w:hideMark/>
          </w:tcPr>
          <w:p w14:paraId="1BEEB069" w14:textId="77777777" w:rsidR="00704305" w:rsidRDefault="00704305">
            <w:pPr>
              <w:pStyle w:val="TableText"/>
              <w:spacing w:line="276" w:lineRule="auto"/>
              <w:rPr>
                <w:rFonts w:eastAsia="Calibri" w:cs="Arial"/>
                <w:szCs w:val="20"/>
              </w:rPr>
            </w:pPr>
            <w:r>
              <w:rPr>
                <w:rFonts w:eastAsia="Calibri" w:cs="Arial"/>
                <w:szCs w:val="20"/>
              </w:rPr>
              <w:t xml:space="preserve">Other parties </w:t>
            </w:r>
          </w:p>
        </w:tc>
        <w:tc>
          <w:tcPr>
            <w:tcW w:w="4536" w:type="dxa"/>
            <w:tcBorders>
              <w:top w:val="single" w:sz="2" w:space="0" w:color="auto"/>
              <w:left w:val="single" w:sz="2" w:space="0" w:color="auto"/>
              <w:bottom w:val="single" w:sz="2" w:space="0" w:color="auto"/>
              <w:right w:val="single" w:sz="2" w:space="0" w:color="auto"/>
            </w:tcBorders>
            <w:hideMark/>
          </w:tcPr>
          <w:p w14:paraId="2EF2682A" w14:textId="77777777" w:rsidR="00704305" w:rsidRDefault="00704305">
            <w:pPr>
              <w:pStyle w:val="TableText"/>
              <w:spacing w:line="276" w:lineRule="auto"/>
              <w:rPr>
                <w:rFonts w:eastAsia="Calibri" w:cs="Arial"/>
                <w:szCs w:val="20"/>
              </w:rPr>
            </w:pPr>
            <w:r>
              <w:rPr>
                <w:rFonts w:eastAsia="Calibri" w:cs="Arial"/>
                <w:szCs w:val="20"/>
              </w:rPr>
              <w:t>Plastic bag importers – new revenue stream for thicker bags</w:t>
            </w:r>
          </w:p>
        </w:tc>
        <w:tc>
          <w:tcPr>
            <w:tcW w:w="2126" w:type="dxa"/>
            <w:tcBorders>
              <w:top w:val="single" w:sz="2" w:space="0" w:color="auto"/>
              <w:left w:val="single" w:sz="2" w:space="0" w:color="auto"/>
              <w:bottom w:val="single" w:sz="2" w:space="0" w:color="auto"/>
              <w:right w:val="single" w:sz="2" w:space="0" w:color="auto"/>
            </w:tcBorders>
            <w:vAlign w:val="center"/>
            <w:hideMark/>
          </w:tcPr>
          <w:p w14:paraId="2492D9B1" w14:textId="77777777" w:rsidR="00704305" w:rsidRDefault="00704305">
            <w:pPr>
              <w:pStyle w:val="TableText"/>
              <w:spacing w:line="276" w:lineRule="auto"/>
              <w:rPr>
                <w:rFonts w:eastAsia="Calibri" w:cs="Arial"/>
                <w:szCs w:val="20"/>
              </w:rPr>
            </w:pPr>
            <w:r>
              <w:rPr>
                <w:rFonts w:eastAsia="Calibri" w:cs="Arial"/>
                <w:szCs w:val="20"/>
              </w:rPr>
              <w:t>Medium</w:t>
            </w:r>
          </w:p>
        </w:tc>
        <w:tc>
          <w:tcPr>
            <w:tcW w:w="1136" w:type="dxa"/>
            <w:tcBorders>
              <w:top w:val="single" w:sz="2" w:space="0" w:color="auto"/>
              <w:left w:val="single" w:sz="2" w:space="0" w:color="auto"/>
              <w:bottom w:val="single" w:sz="2" w:space="0" w:color="auto"/>
              <w:right w:val="single" w:sz="2" w:space="0" w:color="auto"/>
            </w:tcBorders>
            <w:vAlign w:val="center"/>
            <w:hideMark/>
          </w:tcPr>
          <w:p w14:paraId="30B62B40" w14:textId="744A1BFE" w:rsidR="00704305" w:rsidRDefault="00704305">
            <w:pPr>
              <w:pStyle w:val="TableText"/>
              <w:spacing w:line="276" w:lineRule="auto"/>
              <w:rPr>
                <w:rFonts w:eastAsia="Calibri" w:cs="Arial"/>
                <w:szCs w:val="20"/>
              </w:rPr>
            </w:pPr>
            <w:r>
              <w:rPr>
                <w:rFonts w:eastAsia="Calibri" w:cs="Arial"/>
                <w:szCs w:val="20"/>
              </w:rPr>
              <w:t>Low</w:t>
            </w:r>
            <w:r>
              <w:rPr>
                <w:rStyle w:val="EndnoteReference"/>
                <w:rFonts w:eastAsia="Calibri"/>
              </w:rPr>
              <w:endnoteReference w:id="14"/>
            </w:r>
          </w:p>
        </w:tc>
      </w:tr>
      <w:tr w:rsidR="00B7069A" w14:paraId="4DCF443E" w14:textId="77777777" w:rsidTr="00B7069A">
        <w:trPr>
          <w:trHeight w:val="253"/>
        </w:trPr>
        <w:tc>
          <w:tcPr>
            <w:tcW w:w="1273" w:type="dxa"/>
            <w:tcBorders>
              <w:top w:val="single" w:sz="2" w:space="0" w:color="auto"/>
              <w:left w:val="single" w:sz="2" w:space="0" w:color="auto"/>
              <w:bottom w:val="single" w:sz="2" w:space="0" w:color="auto"/>
              <w:right w:val="single" w:sz="2" w:space="0" w:color="auto"/>
            </w:tcBorders>
            <w:hideMark/>
          </w:tcPr>
          <w:p w14:paraId="17AD4093" w14:textId="6C5B7339" w:rsidR="00B7069A" w:rsidRDefault="00B7069A">
            <w:pPr>
              <w:pStyle w:val="TableText"/>
              <w:spacing w:line="276" w:lineRule="auto"/>
              <w:rPr>
                <w:rFonts w:eastAsia="Calibri" w:cs="Arial"/>
                <w:b/>
                <w:szCs w:val="20"/>
              </w:rPr>
            </w:pPr>
            <w:r>
              <w:rPr>
                <w:rFonts w:eastAsia="Calibri" w:cs="Arial"/>
                <w:b/>
                <w:szCs w:val="20"/>
              </w:rPr>
              <w:t>Total Monetised Benefit</w:t>
            </w:r>
            <w:r w:rsidR="00C51529">
              <w:rPr>
                <w:rFonts w:eastAsia="Calibri" w:cs="Arial"/>
                <w:b/>
                <w:szCs w:val="20"/>
              </w:rPr>
              <w:t>s</w:t>
            </w:r>
          </w:p>
        </w:tc>
        <w:tc>
          <w:tcPr>
            <w:tcW w:w="4536" w:type="dxa"/>
            <w:tcBorders>
              <w:top w:val="single" w:sz="2" w:space="0" w:color="auto"/>
              <w:left w:val="single" w:sz="2" w:space="0" w:color="auto"/>
              <w:bottom w:val="single" w:sz="2" w:space="0" w:color="auto"/>
              <w:right w:val="single" w:sz="2" w:space="0" w:color="auto"/>
            </w:tcBorders>
          </w:tcPr>
          <w:p w14:paraId="6C930A89" w14:textId="77777777" w:rsidR="00B7069A" w:rsidRDefault="00B7069A">
            <w:pPr>
              <w:pStyle w:val="TableText"/>
              <w:spacing w:line="276" w:lineRule="auto"/>
              <w:rPr>
                <w:rFonts w:eastAsia="Calibri" w:cs="Arial"/>
                <w:szCs w:val="20"/>
              </w:rPr>
            </w:pPr>
          </w:p>
        </w:tc>
        <w:tc>
          <w:tcPr>
            <w:tcW w:w="2126" w:type="dxa"/>
            <w:tcBorders>
              <w:top w:val="single" w:sz="2" w:space="0" w:color="auto"/>
              <w:left w:val="single" w:sz="2" w:space="0" w:color="auto"/>
              <w:bottom w:val="single" w:sz="2" w:space="0" w:color="auto"/>
              <w:right w:val="single" w:sz="2" w:space="0" w:color="auto"/>
            </w:tcBorders>
            <w:vAlign w:val="center"/>
            <w:hideMark/>
          </w:tcPr>
          <w:p w14:paraId="60082061" w14:textId="77777777" w:rsidR="00B7069A" w:rsidRDefault="00B7069A">
            <w:pPr>
              <w:pStyle w:val="TableText"/>
              <w:spacing w:line="276" w:lineRule="auto"/>
              <w:rPr>
                <w:rFonts w:eastAsia="Calibri" w:cs="Arial"/>
                <w:szCs w:val="20"/>
              </w:rPr>
            </w:pPr>
            <w:r>
              <w:rPr>
                <w:rFonts w:eastAsia="Calibri" w:cs="Arial"/>
                <w:szCs w:val="20"/>
              </w:rPr>
              <w:t>$15 million</w:t>
            </w:r>
          </w:p>
        </w:tc>
        <w:tc>
          <w:tcPr>
            <w:tcW w:w="1136" w:type="dxa"/>
            <w:tcBorders>
              <w:top w:val="single" w:sz="2" w:space="0" w:color="auto"/>
              <w:left w:val="single" w:sz="2" w:space="0" w:color="auto"/>
              <w:bottom w:val="single" w:sz="2" w:space="0" w:color="auto"/>
              <w:right w:val="single" w:sz="2" w:space="0" w:color="auto"/>
            </w:tcBorders>
            <w:vAlign w:val="center"/>
            <w:hideMark/>
          </w:tcPr>
          <w:p w14:paraId="32CF17C2" w14:textId="77777777" w:rsidR="00B7069A" w:rsidRDefault="00B7069A">
            <w:pPr>
              <w:pStyle w:val="TableText"/>
              <w:spacing w:line="276" w:lineRule="auto"/>
              <w:rPr>
                <w:rFonts w:eastAsia="Calibri" w:cs="Arial"/>
                <w:szCs w:val="20"/>
              </w:rPr>
            </w:pPr>
            <w:r>
              <w:rPr>
                <w:rFonts w:eastAsia="Calibri" w:cs="Arial"/>
                <w:szCs w:val="20"/>
              </w:rPr>
              <w:t>Medium</w:t>
            </w:r>
          </w:p>
        </w:tc>
      </w:tr>
      <w:tr w:rsidR="00B7069A" w14:paraId="104DBFD5" w14:textId="77777777" w:rsidTr="00B7069A">
        <w:trPr>
          <w:trHeight w:val="253"/>
        </w:trPr>
        <w:tc>
          <w:tcPr>
            <w:tcW w:w="1273" w:type="dxa"/>
            <w:tcBorders>
              <w:top w:val="single" w:sz="2" w:space="0" w:color="auto"/>
              <w:left w:val="single" w:sz="2" w:space="0" w:color="auto"/>
              <w:bottom w:val="single" w:sz="2" w:space="0" w:color="auto"/>
              <w:right w:val="single" w:sz="2" w:space="0" w:color="auto"/>
            </w:tcBorders>
            <w:hideMark/>
          </w:tcPr>
          <w:p w14:paraId="2379E567" w14:textId="77777777" w:rsidR="00B7069A" w:rsidRDefault="00B7069A">
            <w:pPr>
              <w:pStyle w:val="TableText"/>
              <w:spacing w:line="276" w:lineRule="auto"/>
              <w:rPr>
                <w:rFonts w:eastAsia="Calibri" w:cs="Arial"/>
                <w:b/>
                <w:szCs w:val="20"/>
              </w:rPr>
            </w:pPr>
            <w:r>
              <w:rPr>
                <w:rFonts w:eastAsia="Calibri" w:cs="Arial"/>
                <w:b/>
                <w:szCs w:val="20"/>
              </w:rPr>
              <w:t>Non-monetised benefits</w:t>
            </w:r>
          </w:p>
        </w:tc>
        <w:tc>
          <w:tcPr>
            <w:tcW w:w="4536" w:type="dxa"/>
            <w:tcBorders>
              <w:top w:val="single" w:sz="2" w:space="0" w:color="auto"/>
              <w:left w:val="single" w:sz="2" w:space="0" w:color="auto"/>
              <w:bottom w:val="single" w:sz="2" w:space="0" w:color="auto"/>
              <w:right w:val="single" w:sz="2" w:space="0" w:color="auto"/>
            </w:tcBorders>
          </w:tcPr>
          <w:p w14:paraId="166262F5" w14:textId="77777777" w:rsidR="00B7069A" w:rsidRDefault="00B7069A">
            <w:pPr>
              <w:pStyle w:val="TableText"/>
              <w:spacing w:line="276" w:lineRule="auto"/>
              <w:rPr>
                <w:rFonts w:eastAsia="Calibri" w:cs="Arial"/>
                <w:szCs w:val="20"/>
              </w:rPr>
            </w:pPr>
          </w:p>
        </w:tc>
        <w:tc>
          <w:tcPr>
            <w:tcW w:w="2126" w:type="dxa"/>
            <w:tcBorders>
              <w:top w:val="single" w:sz="2" w:space="0" w:color="auto"/>
              <w:left w:val="single" w:sz="2" w:space="0" w:color="auto"/>
              <w:bottom w:val="single" w:sz="2" w:space="0" w:color="auto"/>
              <w:right w:val="single" w:sz="2" w:space="0" w:color="auto"/>
            </w:tcBorders>
            <w:vAlign w:val="center"/>
            <w:hideMark/>
          </w:tcPr>
          <w:p w14:paraId="577B0FDE" w14:textId="77777777" w:rsidR="00B7069A" w:rsidRDefault="00B7069A">
            <w:pPr>
              <w:pStyle w:val="TableText"/>
              <w:spacing w:line="276" w:lineRule="auto"/>
              <w:rPr>
                <w:rFonts w:eastAsia="Calibri" w:cs="Arial"/>
                <w:szCs w:val="20"/>
              </w:rPr>
            </w:pPr>
            <w:r>
              <w:rPr>
                <w:rFonts w:eastAsia="Calibri" w:cs="Arial"/>
                <w:szCs w:val="20"/>
              </w:rPr>
              <w:t>Medium</w:t>
            </w:r>
          </w:p>
        </w:tc>
        <w:tc>
          <w:tcPr>
            <w:tcW w:w="1136" w:type="dxa"/>
            <w:tcBorders>
              <w:top w:val="single" w:sz="2" w:space="0" w:color="auto"/>
              <w:left w:val="single" w:sz="2" w:space="0" w:color="auto"/>
              <w:bottom w:val="single" w:sz="2" w:space="0" w:color="auto"/>
              <w:right w:val="single" w:sz="2" w:space="0" w:color="auto"/>
            </w:tcBorders>
            <w:vAlign w:val="center"/>
            <w:hideMark/>
          </w:tcPr>
          <w:p w14:paraId="271CA0B3" w14:textId="77777777" w:rsidR="00B7069A" w:rsidRDefault="00B7069A">
            <w:pPr>
              <w:pStyle w:val="TableText"/>
              <w:spacing w:line="276" w:lineRule="auto"/>
              <w:rPr>
                <w:rFonts w:eastAsia="Calibri" w:cs="Arial"/>
                <w:szCs w:val="20"/>
              </w:rPr>
            </w:pPr>
            <w:r>
              <w:rPr>
                <w:rFonts w:eastAsia="Calibri" w:cs="Arial"/>
                <w:szCs w:val="20"/>
              </w:rPr>
              <w:t>Low</w:t>
            </w:r>
          </w:p>
        </w:tc>
      </w:tr>
    </w:tbl>
    <w:p w14:paraId="6FD978DA" w14:textId="485F39C9" w:rsidR="003E331B" w:rsidRDefault="003E331B" w:rsidP="00DB43D2">
      <w:pPr>
        <w:pStyle w:val="BodyText"/>
      </w:pPr>
    </w:p>
    <w:p w14:paraId="0838B26F" w14:textId="77777777" w:rsidR="00B7069A" w:rsidRPr="00124045" w:rsidRDefault="00B7069A" w:rsidP="00DB43D2">
      <w:pPr>
        <w:pStyle w:val="BodyText"/>
      </w:pPr>
    </w:p>
    <w:p w14:paraId="4306880A" w14:textId="77777777" w:rsidR="00B7069A" w:rsidRDefault="00B7069A" w:rsidP="007C039F">
      <w:pPr>
        <w:pStyle w:val="Heading3"/>
        <w:rPr>
          <w:lang w:val="en-NZ"/>
        </w:rPr>
        <w:sectPr w:rsidR="00B7069A" w:rsidSect="00B12B66">
          <w:pgSz w:w="11906" w:h="16838"/>
          <w:pgMar w:top="1134" w:right="1418" w:bottom="992" w:left="1418" w:header="709" w:footer="709" w:gutter="0"/>
          <w:cols w:space="708"/>
          <w:docGrid w:linePitch="360"/>
        </w:sectPr>
      </w:pPr>
      <w:bookmarkStart w:id="58" w:name="_Toc526429629"/>
      <w:bookmarkStart w:id="59" w:name="_Toc5280523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771C" w:rsidRPr="0049467D" w14:paraId="305DCF93" w14:textId="77777777" w:rsidTr="00A42D23">
        <w:trPr>
          <w:trHeight w:val="193"/>
        </w:trPr>
        <w:tc>
          <w:tcPr>
            <w:tcW w:w="5000" w:type="pct"/>
            <w:shd w:val="clear" w:color="auto" w:fill="99CDDD"/>
            <w:hideMark/>
          </w:tcPr>
          <w:p w14:paraId="4B4BA74B" w14:textId="08D73485" w:rsidR="007B771C" w:rsidRPr="0049467D" w:rsidRDefault="007B771C" w:rsidP="007C039F">
            <w:pPr>
              <w:pStyle w:val="Heading3"/>
              <w:rPr>
                <w:lang w:val="en-NZ"/>
              </w:rPr>
            </w:pPr>
            <w:bookmarkStart w:id="60" w:name="_Toc528670880"/>
            <w:r w:rsidRPr="0049467D">
              <w:rPr>
                <w:lang w:val="en-NZ"/>
              </w:rPr>
              <w:t>What other impacts is this approach likely to have?</w:t>
            </w:r>
            <w:bookmarkEnd w:id="58"/>
            <w:bookmarkEnd w:id="59"/>
            <w:bookmarkEnd w:id="60"/>
          </w:p>
        </w:tc>
      </w:tr>
    </w:tbl>
    <w:p w14:paraId="19F10063" w14:textId="77777777" w:rsidR="007B771C" w:rsidRDefault="00925738" w:rsidP="004C5780">
      <w:pPr>
        <w:spacing w:before="120"/>
      </w:pPr>
      <w:r>
        <w:t>Adopting the proposed options will have additional environmental impacts, which are not captured in the cost-benefit analysis</w:t>
      </w:r>
      <w:r w:rsidR="006F155D">
        <w:t xml:space="preserve"> above</w:t>
      </w:r>
      <w:r>
        <w:t xml:space="preserve">. If a mandatory phase out is adopted, the </w:t>
      </w:r>
      <w:r w:rsidR="00543228">
        <w:t>750</w:t>
      </w:r>
      <w:r>
        <w:t xml:space="preserve"> million – 1</w:t>
      </w:r>
      <w:r w:rsidR="006E0A29">
        <w:t>,</w:t>
      </w:r>
      <w:r w:rsidR="00543228">
        <w:t>570 million</w:t>
      </w:r>
      <w:r>
        <w:t xml:space="preserve"> single-use plastic shopping bags that are currently estimated to be </w:t>
      </w:r>
      <w:r w:rsidR="00AD6460">
        <w:t xml:space="preserve">used </w:t>
      </w:r>
      <w:r>
        <w:t>annually in New Zealand will no longer end up in landfills, rivers and the marine environment. This will have numerous e</w:t>
      </w:r>
      <w:r w:rsidR="00AD6460">
        <w:t>cological and aesthetic benefits</w:t>
      </w:r>
      <w:r>
        <w:t xml:space="preserve">. </w:t>
      </w:r>
    </w:p>
    <w:p w14:paraId="4DA8A277" w14:textId="4FE244E3" w:rsidR="00925738" w:rsidRDefault="00925738" w:rsidP="007B771C">
      <w:r>
        <w:t xml:space="preserve">In addition, if plastic </w:t>
      </w:r>
      <w:r w:rsidR="00D55357">
        <w:rPr>
          <w:bCs/>
        </w:rPr>
        <w:t xml:space="preserve">shopping </w:t>
      </w:r>
      <w:r>
        <w:t xml:space="preserve">bags are successfully phased out with broad public support, </w:t>
      </w:r>
      <w:r w:rsidR="00465ECE">
        <w:t xml:space="preserve">it </w:t>
      </w:r>
      <w:r>
        <w:t>will help to build experience in, and support for</w:t>
      </w:r>
      <w:r w:rsidR="00465ECE">
        <w:t>,</w:t>
      </w:r>
      <w:r>
        <w:t xml:space="preserve"> a broader move to a circular economy.  </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80" w:firstRow="0" w:lastRow="0" w:firstColumn="1" w:lastColumn="0" w:noHBand="0" w:noVBand="1"/>
      </w:tblPr>
      <w:tblGrid>
        <w:gridCol w:w="9071"/>
      </w:tblGrid>
      <w:tr w:rsidR="007B771C" w:rsidRPr="000A2B04" w14:paraId="5CCE0B14" w14:textId="77777777" w:rsidTr="00A42D23">
        <w:trPr>
          <w:trHeight w:val="520"/>
        </w:trPr>
        <w:tc>
          <w:tcPr>
            <w:tcW w:w="9071" w:type="dxa"/>
            <w:shd w:val="clear" w:color="auto" w:fill="99CDDD"/>
          </w:tcPr>
          <w:p w14:paraId="596D9A87" w14:textId="77777777" w:rsidR="007B771C" w:rsidRPr="000A2B04" w:rsidRDefault="007B771C" w:rsidP="007C039F">
            <w:pPr>
              <w:pStyle w:val="Heading3"/>
              <w:rPr>
                <w:color w:val="002060"/>
                <w:lang w:eastAsia="en-AU"/>
              </w:rPr>
            </w:pPr>
            <w:bookmarkStart w:id="61" w:name="_Toc526429630"/>
            <w:bookmarkStart w:id="62" w:name="_Toc528052393"/>
            <w:bookmarkStart w:id="63" w:name="_Toc528670881"/>
            <w:r w:rsidRPr="006172F1">
              <w:rPr>
                <w:lang w:eastAsia="en-AU"/>
              </w:rPr>
              <w:t>Is the preferred option compatible with the Government’s ‘Expectations for the design of regulatory systems’?</w:t>
            </w:r>
            <w:bookmarkEnd w:id="61"/>
            <w:bookmarkEnd w:id="62"/>
            <w:bookmarkEnd w:id="63"/>
          </w:p>
        </w:tc>
      </w:tr>
    </w:tbl>
    <w:p w14:paraId="678BD687" w14:textId="77777777" w:rsidR="007B771C" w:rsidRDefault="007B771C" w:rsidP="007B771C">
      <w:pPr>
        <w:pStyle w:val="spacer"/>
      </w:pPr>
    </w:p>
    <w:p w14:paraId="7AB1F831" w14:textId="77777777" w:rsidR="007B771C" w:rsidRDefault="007B771C" w:rsidP="007B771C">
      <w:r>
        <w:t xml:space="preserve">The preferred options in this RIS are compatible with the Government’s ‘Expectations for the design of regulatory systems’. While the preferred options will bring new costs to consumers, in the long term they help to eliminate the </w:t>
      </w:r>
      <w:r w:rsidR="00543228">
        <w:t>inefficient use</w:t>
      </w:r>
      <w:r>
        <w:t xml:space="preserve"> of resources expended on a product that is used once before being discarded. </w:t>
      </w:r>
    </w:p>
    <w:p w14:paraId="39BBF7DF" w14:textId="77777777" w:rsidR="007B771C" w:rsidRPr="0005691A" w:rsidRDefault="007B771C" w:rsidP="007C039F">
      <w:pPr>
        <w:pStyle w:val="Heading2"/>
      </w:pPr>
      <w:bookmarkStart w:id="64" w:name="_Toc528670882"/>
      <w:r w:rsidRPr="0005691A">
        <w:t>Section 6:  Implementation and operation</w:t>
      </w:r>
      <w:bookmarkEnd w:id="64"/>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7B771C" w:rsidRPr="000A2B04" w14:paraId="397D5CF7" w14:textId="77777777" w:rsidTr="00A42D23">
        <w:trPr>
          <w:trHeight w:val="77"/>
        </w:trPr>
        <w:tc>
          <w:tcPr>
            <w:tcW w:w="9048" w:type="dxa"/>
            <w:shd w:val="clear" w:color="auto" w:fill="99CDDD"/>
          </w:tcPr>
          <w:p w14:paraId="7B20EEFD" w14:textId="77777777" w:rsidR="007B771C" w:rsidRPr="000A2B04" w:rsidRDefault="007B771C" w:rsidP="007C039F">
            <w:pPr>
              <w:pStyle w:val="Heading3"/>
              <w:rPr>
                <w:color w:val="002060"/>
                <w:lang w:eastAsia="en-AU"/>
              </w:rPr>
            </w:pPr>
            <w:r w:rsidRPr="000A2B04">
              <w:rPr>
                <w:color w:val="002060"/>
                <w:lang w:eastAsia="en-AU"/>
              </w:rPr>
              <w:br w:type="page"/>
            </w:r>
            <w:bookmarkStart w:id="65" w:name="_Toc526429632"/>
            <w:bookmarkStart w:id="66" w:name="_Toc528052395"/>
            <w:bookmarkStart w:id="67" w:name="_Toc528670883"/>
            <w:r w:rsidRPr="006172F1">
              <w:rPr>
                <w:lang w:eastAsia="en-AU"/>
              </w:rPr>
              <w:t>How will the new arrangements work in practice?</w:t>
            </w:r>
            <w:bookmarkEnd w:id="65"/>
            <w:bookmarkEnd w:id="66"/>
            <w:bookmarkEnd w:id="67"/>
          </w:p>
        </w:tc>
      </w:tr>
    </w:tbl>
    <w:p w14:paraId="19644FB7" w14:textId="69AE3292" w:rsidR="007B771C" w:rsidRPr="00610BD2" w:rsidRDefault="006F155D" w:rsidP="00C51529">
      <w:pPr>
        <w:spacing w:before="120"/>
        <w:rPr>
          <w:b/>
          <w:bCs/>
          <w:lang w:val="en-NZ"/>
        </w:rPr>
      </w:pPr>
      <w:r>
        <w:rPr>
          <w:b/>
          <w:bCs/>
          <w:lang w:val="en-NZ"/>
        </w:rPr>
        <w:t>R</w:t>
      </w:r>
      <w:r w:rsidR="007B771C" w:rsidRPr="00610BD2">
        <w:rPr>
          <w:b/>
          <w:bCs/>
          <w:lang w:val="en-NZ"/>
        </w:rPr>
        <w:t xml:space="preserve">egulations under the WMA </w:t>
      </w:r>
    </w:p>
    <w:p w14:paraId="3852ED1B" w14:textId="77777777" w:rsidR="007B771C" w:rsidRPr="00610BD2" w:rsidRDefault="007B771C" w:rsidP="00A75BB3">
      <w:pPr>
        <w:spacing w:after="120"/>
        <w:rPr>
          <w:lang w:val="en-NZ"/>
        </w:rPr>
      </w:pPr>
      <w:r>
        <w:rPr>
          <w:lang w:val="en-NZ"/>
        </w:rPr>
        <w:t xml:space="preserve">The preferred options will be implemented by making regulations under the WMA. </w:t>
      </w:r>
      <w:r w:rsidRPr="00610BD2">
        <w:rPr>
          <w:lang w:val="en-NZ"/>
        </w:rPr>
        <w:t>To make any regulations under the WMA, the Minister for the Environment must be satisfied that certain tes</w:t>
      </w:r>
      <w:r>
        <w:rPr>
          <w:lang w:val="en-NZ"/>
        </w:rPr>
        <w:t xml:space="preserve">ts have been met. </w:t>
      </w:r>
      <w:r w:rsidR="006F155D">
        <w:rPr>
          <w:lang w:val="en-NZ"/>
        </w:rPr>
        <w:t>T</w:t>
      </w:r>
      <w:r w:rsidRPr="00610BD2">
        <w:rPr>
          <w:lang w:val="en-NZ"/>
        </w:rPr>
        <w:t>he Minister must be satisfied that:</w:t>
      </w:r>
      <w:r w:rsidRPr="00610BD2">
        <w:rPr>
          <w:vertAlign w:val="superscript"/>
          <w:lang w:val="en-NZ"/>
        </w:rPr>
        <w:footnoteReference w:id="19"/>
      </w:r>
    </w:p>
    <w:p w14:paraId="605F058A" w14:textId="77777777" w:rsidR="007B771C" w:rsidRPr="00610BD2" w:rsidRDefault="007B771C" w:rsidP="00A75BB3">
      <w:pPr>
        <w:numPr>
          <w:ilvl w:val="0"/>
          <w:numId w:val="16"/>
        </w:numPr>
        <w:tabs>
          <w:tab w:val="left" w:pos="397"/>
        </w:tabs>
        <w:spacing w:after="120"/>
        <w:rPr>
          <w:lang w:val="en-NZ"/>
        </w:rPr>
      </w:pPr>
      <w:r w:rsidRPr="00610BD2">
        <w:rPr>
          <w:lang w:val="en-NZ"/>
        </w:rPr>
        <w:t>a reasonably practicable alternative to the specified materials subject to the control or prohibition is available</w:t>
      </w:r>
    </w:p>
    <w:p w14:paraId="38646C14" w14:textId="77777777" w:rsidR="007B771C" w:rsidRPr="00610BD2" w:rsidRDefault="007B771C" w:rsidP="00A75BB3">
      <w:pPr>
        <w:numPr>
          <w:ilvl w:val="0"/>
          <w:numId w:val="16"/>
        </w:numPr>
        <w:tabs>
          <w:tab w:val="left" w:pos="397"/>
        </w:tabs>
        <w:spacing w:after="120"/>
        <w:rPr>
          <w:lang w:val="en-NZ"/>
        </w:rPr>
      </w:pPr>
      <w:r w:rsidRPr="00610BD2">
        <w:rPr>
          <w:lang w:val="en-NZ"/>
        </w:rPr>
        <w:t>the benefits expected from the regulations are greater than the costs</w:t>
      </w:r>
    </w:p>
    <w:p w14:paraId="7F931926" w14:textId="77777777" w:rsidR="007B771C" w:rsidRPr="00610BD2" w:rsidRDefault="007B771C" w:rsidP="00A75BB3">
      <w:pPr>
        <w:numPr>
          <w:ilvl w:val="0"/>
          <w:numId w:val="16"/>
        </w:numPr>
        <w:tabs>
          <w:tab w:val="left" w:pos="397"/>
        </w:tabs>
        <w:spacing w:after="120"/>
        <w:rPr>
          <w:lang w:val="en-NZ"/>
        </w:rPr>
      </w:pPr>
      <w:r w:rsidRPr="00610BD2">
        <w:rPr>
          <w:lang w:val="en-NZ"/>
        </w:rPr>
        <w:t>the regulations are consistent with New Zealand’s international obligations</w:t>
      </w:r>
    </w:p>
    <w:p w14:paraId="4938B77F" w14:textId="77777777" w:rsidR="007B771C" w:rsidRDefault="007B771C" w:rsidP="00A75BB3">
      <w:pPr>
        <w:numPr>
          <w:ilvl w:val="0"/>
          <w:numId w:val="16"/>
        </w:numPr>
        <w:tabs>
          <w:tab w:val="left" w:pos="397"/>
        </w:tabs>
        <w:spacing w:after="120"/>
        <w:rPr>
          <w:lang w:val="en-NZ"/>
        </w:rPr>
      </w:pPr>
      <w:proofErr w:type="gramStart"/>
      <w:r w:rsidRPr="00610BD2">
        <w:rPr>
          <w:lang w:val="en-NZ"/>
        </w:rPr>
        <w:t>the</w:t>
      </w:r>
      <w:proofErr w:type="gramEnd"/>
      <w:r w:rsidRPr="00610BD2">
        <w:rPr>
          <w:lang w:val="en-NZ"/>
        </w:rPr>
        <w:t xml:space="preserve"> regulations are consis</w:t>
      </w:r>
      <w:r w:rsidR="006E0A29">
        <w:rPr>
          <w:lang w:val="en-NZ"/>
        </w:rPr>
        <w:t xml:space="preserve">tent with the purpose and </w:t>
      </w:r>
      <w:r w:rsidR="00662901">
        <w:rPr>
          <w:lang w:val="en-NZ"/>
        </w:rPr>
        <w:t xml:space="preserve">relevant </w:t>
      </w:r>
      <w:r w:rsidR="006E0A29">
        <w:rPr>
          <w:lang w:val="en-NZ"/>
        </w:rPr>
        <w:t>P</w:t>
      </w:r>
      <w:r w:rsidR="00662901">
        <w:rPr>
          <w:lang w:val="en-NZ"/>
        </w:rPr>
        <w:t>art</w:t>
      </w:r>
      <w:r w:rsidR="006E0A29">
        <w:rPr>
          <w:lang w:val="en-NZ"/>
        </w:rPr>
        <w:t xml:space="preserve"> of the WMA.</w:t>
      </w:r>
    </w:p>
    <w:p w14:paraId="1FE4642C" w14:textId="77777777" w:rsidR="007B771C" w:rsidRPr="00610BD2" w:rsidRDefault="007B771C" w:rsidP="007B771C">
      <w:pPr>
        <w:rPr>
          <w:lang w:val="en-NZ"/>
        </w:rPr>
      </w:pPr>
      <w:r>
        <w:rPr>
          <w:lang w:val="en-NZ"/>
        </w:rPr>
        <w:t xml:space="preserve">The Ministry for the Environment will lead the process of creating these regulations. </w:t>
      </w:r>
    </w:p>
    <w:p w14:paraId="17E3A814" w14:textId="77777777" w:rsidR="006F155D" w:rsidRDefault="006F155D" w:rsidP="007B771C">
      <w:pPr>
        <w:rPr>
          <w:b/>
          <w:bCs/>
          <w:lang w:val="en-NZ"/>
        </w:rPr>
      </w:pPr>
      <w:r>
        <w:rPr>
          <w:b/>
          <w:bCs/>
          <w:lang w:val="en-NZ"/>
        </w:rPr>
        <w:t>Enforcement</w:t>
      </w:r>
    </w:p>
    <w:p w14:paraId="31A6389D" w14:textId="0E2DDDBB" w:rsidR="0000314D" w:rsidRPr="0000314D" w:rsidRDefault="0000314D" w:rsidP="0000314D">
      <w:pPr>
        <w:rPr>
          <w:lang w:val="en-NZ"/>
        </w:rPr>
      </w:pPr>
      <w:r w:rsidRPr="0000314D">
        <w:rPr>
          <w:lang w:val="en-NZ"/>
        </w:rPr>
        <w:t>The Ministry will work with retailers and importers to assist with implement</w:t>
      </w:r>
      <w:r w:rsidR="00F721DB">
        <w:rPr>
          <w:lang w:val="en-NZ"/>
        </w:rPr>
        <w:t>ing</w:t>
      </w:r>
      <w:r w:rsidRPr="0000314D">
        <w:rPr>
          <w:lang w:val="en-NZ"/>
        </w:rPr>
        <w:t xml:space="preserve"> the phase out. For example, the Ministry can facilitate collection of surplus new stock as clean feedstock for New Zealand-based recycling operations. The new regulations would not preclude surplus stock being sold or distributed for purposes other than carrying away sold goods (</w:t>
      </w:r>
      <w:proofErr w:type="spellStart"/>
      <w:r w:rsidRPr="0000314D">
        <w:rPr>
          <w:lang w:val="en-NZ"/>
        </w:rPr>
        <w:t>eg</w:t>
      </w:r>
      <w:proofErr w:type="spellEnd"/>
      <w:r w:rsidRPr="0000314D">
        <w:rPr>
          <w:lang w:val="en-NZ"/>
        </w:rPr>
        <w:t xml:space="preserve">, rubbish bin liners, feedstock for recycling).        </w:t>
      </w:r>
    </w:p>
    <w:p w14:paraId="50D6B38E" w14:textId="1BDA3A1E" w:rsidR="0000314D" w:rsidRPr="0000314D" w:rsidRDefault="0000314D" w:rsidP="0000314D">
      <w:pPr>
        <w:rPr>
          <w:lang w:val="en-NZ"/>
        </w:rPr>
      </w:pPr>
      <w:r w:rsidRPr="0000314D">
        <w:rPr>
          <w:lang w:val="en-NZ"/>
        </w:rPr>
        <w:t>Industry and local government submissions called for the Government to play a role in providing guidance to consumers and retailers about alternatives including standards, life cycle impacts and appropriate applications for certified compostable or biodegradable bags. The Ministry will include this information in guidance given to stakeholders during the phase</w:t>
      </w:r>
      <w:r w:rsidR="002927E0">
        <w:rPr>
          <w:lang w:val="en-NZ"/>
        </w:rPr>
        <w:t>-</w:t>
      </w:r>
      <w:r w:rsidRPr="0000314D">
        <w:rPr>
          <w:lang w:val="en-NZ"/>
        </w:rPr>
        <w:t>out period.</w:t>
      </w:r>
    </w:p>
    <w:p w14:paraId="57B3243A" w14:textId="42F208F9" w:rsidR="0000314D" w:rsidRPr="0000314D" w:rsidRDefault="0000314D" w:rsidP="0000314D">
      <w:pPr>
        <w:rPr>
          <w:lang w:val="en-NZ"/>
        </w:rPr>
      </w:pPr>
      <w:r>
        <w:rPr>
          <w:lang w:val="en-NZ"/>
        </w:rPr>
        <w:t xml:space="preserve">Relevant offences are set by statute. </w:t>
      </w:r>
      <w:r w:rsidRPr="0000314D">
        <w:rPr>
          <w:lang w:val="en-NZ"/>
        </w:rPr>
        <w:t>If the regulation proceeds, any person knowingly contravening the regulation will be liable, on conviction in court, for a fine not exceeding $100,000 (Waste Minimisation Act 2008 section 65(1</w:t>
      </w:r>
      <w:proofErr w:type="gramStart"/>
      <w:r w:rsidRPr="0000314D">
        <w:rPr>
          <w:lang w:val="en-NZ"/>
        </w:rPr>
        <w:t>)(</w:t>
      </w:r>
      <w:proofErr w:type="gramEnd"/>
      <w:r w:rsidRPr="0000314D">
        <w:rPr>
          <w:lang w:val="en-NZ"/>
        </w:rPr>
        <w:t xml:space="preserve">d)). In order to investigate offences, the </w:t>
      </w:r>
      <w:r>
        <w:rPr>
          <w:lang w:val="en-NZ"/>
        </w:rPr>
        <w:t>WMA</w:t>
      </w:r>
      <w:r w:rsidRPr="0000314D">
        <w:rPr>
          <w:lang w:val="en-NZ"/>
        </w:rPr>
        <w:t xml:space="preserve"> empowers enforcement officers to seize goods and inspect properties in certain circumstances. However, we anticipate that ongoing enforcement activities will primarily consist of responding to complaints from the public and taking appropriate actions. </w:t>
      </w:r>
    </w:p>
    <w:p w14:paraId="1861A728" w14:textId="5D12FDE3" w:rsidR="0000314D" w:rsidRPr="0000314D" w:rsidRDefault="0000314D" w:rsidP="0000314D">
      <w:pPr>
        <w:rPr>
          <w:lang w:val="en-NZ"/>
        </w:rPr>
      </w:pPr>
      <w:r w:rsidRPr="0000314D">
        <w:rPr>
          <w:lang w:val="en-NZ"/>
        </w:rPr>
        <w:t>Enforcement officers appointed under section 76 of the Waste Minimisation Act 2008 would be responsible for monitoring and enforc</w:t>
      </w:r>
      <w:r w:rsidR="0019474B">
        <w:rPr>
          <w:lang w:val="en-NZ"/>
        </w:rPr>
        <w:t>ing</w:t>
      </w:r>
      <w:r w:rsidRPr="0000314D">
        <w:rPr>
          <w:lang w:val="en-NZ"/>
        </w:rPr>
        <w:t xml:space="preserve"> the regulations. This activity is proposed to be resourced through the Ministry’s baseline funding; a budget proposal is currently underway that covers this and other activities. The Ministry proposes 1.9 full time equivalent staff (FTEs) in the 2019/20</w:t>
      </w:r>
      <w:r w:rsidR="00A4518B">
        <w:rPr>
          <w:lang w:val="en-NZ"/>
        </w:rPr>
        <w:t xml:space="preserve"> financial year</w:t>
      </w:r>
      <w:r w:rsidRPr="0000314D">
        <w:rPr>
          <w:lang w:val="en-NZ"/>
        </w:rPr>
        <w:t xml:space="preserve"> and 0.5 FTEs in the </w:t>
      </w:r>
      <w:proofErr w:type="spellStart"/>
      <w:r w:rsidRPr="0000314D">
        <w:rPr>
          <w:lang w:val="en-NZ"/>
        </w:rPr>
        <w:t>outyears</w:t>
      </w:r>
      <w:proofErr w:type="spellEnd"/>
      <w:r w:rsidRPr="0000314D">
        <w:rPr>
          <w:lang w:val="en-NZ"/>
        </w:rPr>
        <w:t xml:space="preserve"> up to 2022/23.</w:t>
      </w:r>
      <w:r>
        <w:rPr>
          <w:lang w:val="en-NZ"/>
        </w:rPr>
        <w:t xml:space="preserve"> </w:t>
      </w:r>
      <w:r>
        <w:rPr>
          <w:rFonts w:cs="Arial"/>
          <w:iCs/>
          <w:color w:val="000000" w:themeColor="text1"/>
        </w:rPr>
        <w:t>Our experience with enforc</w:t>
      </w:r>
      <w:r w:rsidR="00A4518B">
        <w:rPr>
          <w:rFonts w:cs="Arial"/>
          <w:iCs/>
          <w:color w:val="000000" w:themeColor="text1"/>
        </w:rPr>
        <w:t>ing</w:t>
      </w:r>
      <w:r>
        <w:rPr>
          <w:rFonts w:cs="Arial"/>
          <w:iCs/>
          <w:color w:val="000000" w:themeColor="text1"/>
        </w:rPr>
        <w:t xml:space="preserve"> the waste levy is that early years require the most effort as regulations bed down.</w:t>
      </w:r>
    </w:p>
    <w:p w14:paraId="13BD903A" w14:textId="1BD5D251" w:rsidR="00EA3144" w:rsidRPr="0000314D" w:rsidRDefault="006F155D" w:rsidP="0000314D">
      <w:pPr>
        <w:rPr>
          <w:lang w:val="en-NZ"/>
        </w:rPr>
      </w:pPr>
      <w:r w:rsidRPr="002320FC">
        <w:rPr>
          <w:lang w:val="en-NZ"/>
        </w:rPr>
        <w:t xml:space="preserve">The </w:t>
      </w:r>
      <w:r w:rsidR="002320FC" w:rsidRPr="002320FC">
        <w:rPr>
          <w:lang w:val="en-NZ"/>
        </w:rPr>
        <w:t>Ministry for the Environment</w:t>
      </w:r>
      <w:r w:rsidR="00662901">
        <w:rPr>
          <w:lang w:val="en-NZ"/>
        </w:rPr>
        <w:t xml:space="preserve">’s </w:t>
      </w:r>
      <w:r w:rsidRPr="002320FC">
        <w:rPr>
          <w:lang w:val="en-NZ"/>
        </w:rPr>
        <w:t xml:space="preserve">ongoing activities will primarily consist of responding to complaints from the public and taking appropriate actions. </w:t>
      </w:r>
    </w:p>
    <w:p w14:paraId="6A52B78A" w14:textId="77777777" w:rsidR="007B771C" w:rsidRPr="00610BD2" w:rsidRDefault="007B771C" w:rsidP="00AC2995">
      <w:pPr>
        <w:keepNext/>
        <w:rPr>
          <w:b/>
          <w:bCs/>
          <w:lang w:val="en-NZ"/>
        </w:rPr>
      </w:pPr>
      <w:r w:rsidRPr="00610BD2">
        <w:rPr>
          <w:b/>
          <w:bCs/>
          <w:lang w:val="en-NZ"/>
        </w:rPr>
        <w:t>Education and publicity</w:t>
      </w:r>
    </w:p>
    <w:p w14:paraId="02582B5D" w14:textId="77777777" w:rsidR="002320FC" w:rsidRDefault="002320FC" w:rsidP="002320FC">
      <w:pPr>
        <w:rPr>
          <w:lang w:val="en-NZ"/>
        </w:rPr>
      </w:pPr>
      <w:r w:rsidRPr="00610BD2">
        <w:rPr>
          <w:lang w:val="en-NZ"/>
        </w:rPr>
        <w:t>To help consumers understand the</w:t>
      </w:r>
      <w:r>
        <w:rPr>
          <w:lang w:val="en-NZ"/>
        </w:rPr>
        <w:t xml:space="preserve"> regulations, </w:t>
      </w:r>
      <w:r w:rsidRPr="00610BD2">
        <w:rPr>
          <w:lang w:val="en-NZ"/>
        </w:rPr>
        <w:t>the reasons for a phase-out</w:t>
      </w:r>
      <w:r>
        <w:rPr>
          <w:lang w:val="en-NZ"/>
        </w:rPr>
        <w:t>,</w:t>
      </w:r>
      <w:r w:rsidRPr="00610BD2">
        <w:rPr>
          <w:lang w:val="en-NZ"/>
        </w:rPr>
        <w:t xml:space="preserve"> and to normalise reusable bag behaviour, </w:t>
      </w:r>
      <w:r>
        <w:rPr>
          <w:lang w:val="en-NZ"/>
        </w:rPr>
        <w:t xml:space="preserve">the Ministry for the Environment will launch an education and publicity campaign, once the regulations have been finalised. This will be launched across the country, to ensure maximum possible rates of compliance.    </w:t>
      </w:r>
    </w:p>
    <w:p w14:paraId="0B84366D" w14:textId="75324441" w:rsidR="002320FC" w:rsidRPr="00A250B3" w:rsidRDefault="002320FC" w:rsidP="007B771C">
      <w:pPr>
        <w:rPr>
          <w:lang w:val="en-NZ"/>
        </w:rPr>
      </w:pPr>
      <w:r w:rsidRPr="002320FC">
        <w:rPr>
          <w:lang w:val="en-NZ"/>
        </w:rPr>
        <w:t xml:space="preserve">More specifically, retailers will incur costs if they still have </w:t>
      </w:r>
      <w:r w:rsidR="00D55357">
        <w:rPr>
          <w:lang w:val="en-NZ"/>
        </w:rPr>
        <w:t xml:space="preserve">targeted </w:t>
      </w:r>
      <w:r w:rsidRPr="002320FC">
        <w:rPr>
          <w:lang w:val="en-NZ"/>
        </w:rPr>
        <w:t xml:space="preserve">plastic </w:t>
      </w:r>
      <w:r w:rsidR="00D55357">
        <w:rPr>
          <w:bCs/>
        </w:rPr>
        <w:t xml:space="preserve">shopping </w:t>
      </w:r>
      <w:r w:rsidRPr="002320FC">
        <w:rPr>
          <w:lang w:val="en-NZ"/>
        </w:rPr>
        <w:t>bags in stock when the regulations enter into force. These costs can be minimised through good communications with retailers, including small businesses. There is a small risk that a smaller retailer may be caught unawares and come to the attention of the enforcement officer. If there is a proof of purchase, the enforcement officer would be obliged to investigate the retailer, and a prosecution could ensue. It will</w:t>
      </w:r>
      <w:r w:rsidR="00B0073B">
        <w:rPr>
          <w:lang w:val="en-NZ"/>
        </w:rPr>
        <w:t>,</w:t>
      </w:r>
      <w:r w:rsidRPr="002320FC">
        <w:rPr>
          <w:lang w:val="en-NZ"/>
        </w:rPr>
        <w:t xml:space="preserve"> therefore</w:t>
      </w:r>
      <w:r w:rsidR="00B0073B">
        <w:rPr>
          <w:lang w:val="en-NZ"/>
        </w:rPr>
        <w:t>,</w:t>
      </w:r>
      <w:r w:rsidRPr="002320FC">
        <w:rPr>
          <w:lang w:val="en-NZ"/>
        </w:rPr>
        <w:t xml:space="preserve"> be important to communicate the regulations to all retailers well ahead of the entry into force date. </w:t>
      </w: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7B771C" w:rsidRPr="000A2B04" w14:paraId="1F187B29" w14:textId="77777777" w:rsidTr="00A42D23">
        <w:trPr>
          <w:trHeight w:val="132"/>
        </w:trPr>
        <w:tc>
          <w:tcPr>
            <w:tcW w:w="9048" w:type="dxa"/>
            <w:shd w:val="clear" w:color="auto" w:fill="99CDDD"/>
          </w:tcPr>
          <w:p w14:paraId="351FC6C0" w14:textId="59232C00" w:rsidR="007B771C" w:rsidRPr="000A2B04" w:rsidRDefault="006E0A29" w:rsidP="007C039F">
            <w:pPr>
              <w:pStyle w:val="Heading3"/>
              <w:rPr>
                <w:color w:val="002060"/>
                <w:lang w:eastAsia="en-AU"/>
              </w:rPr>
            </w:pPr>
            <w:r>
              <w:rPr>
                <w:b w:val="0"/>
              </w:rPr>
              <w:br w:type="page"/>
            </w:r>
            <w:r w:rsidR="007B771C" w:rsidRPr="000A2B04">
              <w:rPr>
                <w:color w:val="002060"/>
                <w:lang w:eastAsia="en-AU"/>
              </w:rPr>
              <w:br w:type="page"/>
            </w:r>
            <w:bookmarkStart w:id="68" w:name="_Toc526429633"/>
            <w:bookmarkStart w:id="69" w:name="_Toc528052396"/>
            <w:bookmarkStart w:id="70" w:name="_Toc528670884"/>
            <w:r w:rsidR="007B771C" w:rsidRPr="006172F1">
              <w:rPr>
                <w:lang w:eastAsia="en-AU"/>
              </w:rPr>
              <w:t>What are the implementation risks?</w:t>
            </w:r>
            <w:bookmarkEnd w:id="68"/>
            <w:bookmarkEnd w:id="69"/>
            <w:bookmarkEnd w:id="70"/>
          </w:p>
        </w:tc>
      </w:tr>
      <w:tr w:rsidR="007B771C" w:rsidRPr="0049467D" w14:paraId="2C28B35B" w14:textId="77777777" w:rsidTr="00A42D23">
        <w:trPr>
          <w:trHeight w:val="520"/>
        </w:trPr>
        <w:tc>
          <w:tcPr>
            <w:tcW w:w="9048" w:type="dxa"/>
            <w:shd w:val="clear" w:color="auto" w:fill="EBF5F8"/>
          </w:tcPr>
          <w:p w14:paraId="09398B58" w14:textId="77777777" w:rsidR="007B771C" w:rsidRPr="009274CD" w:rsidRDefault="007B771C" w:rsidP="00A42D23">
            <w:pPr>
              <w:pStyle w:val="Bullet-list"/>
              <w:spacing w:before="60" w:after="120" w:line="276" w:lineRule="auto"/>
              <w:ind w:left="284" w:hanging="284"/>
              <w:rPr>
                <w:i/>
                <w:color w:val="000000" w:themeColor="text1"/>
              </w:rPr>
            </w:pPr>
            <w:r w:rsidRPr="009274CD">
              <w:rPr>
                <w:i/>
                <w:color w:val="000000" w:themeColor="text1"/>
              </w:rPr>
              <w:t>What issues concerning implementation have been raised through consultation and how will these be addressed?</w:t>
            </w:r>
          </w:p>
          <w:p w14:paraId="7FA37253" w14:textId="77777777" w:rsidR="007B771C" w:rsidRPr="009274CD" w:rsidRDefault="007B771C" w:rsidP="00A42D23">
            <w:pPr>
              <w:pStyle w:val="Bullet-list"/>
              <w:spacing w:after="120" w:line="276" w:lineRule="auto"/>
              <w:ind w:left="284" w:hanging="284"/>
              <w:rPr>
                <w:i/>
                <w:color w:val="000000" w:themeColor="text1"/>
              </w:rPr>
            </w:pPr>
            <w:r w:rsidRPr="009274CD">
              <w:rPr>
                <w:i/>
                <w:color w:val="000000" w:themeColor="text1"/>
              </w:rPr>
              <w:t xml:space="preserve">What are the underlying assumptions or uncertainties, for example about stakeholder motivations and capabilities? </w:t>
            </w:r>
          </w:p>
          <w:p w14:paraId="3C65E5AB" w14:textId="77777777" w:rsidR="007B771C" w:rsidRPr="0049467D" w:rsidRDefault="007B771C" w:rsidP="00A42D23">
            <w:pPr>
              <w:pStyle w:val="Bullet-list"/>
              <w:spacing w:after="120" w:line="276" w:lineRule="auto"/>
              <w:ind w:left="284" w:hanging="284"/>
              <w:rPr>
                <w:i/>
              </w:rPr>
            </w:pPr>
            <w:r w:rsidRPr="009274CD">
              <w:rPr>
                <w:i/>
                <w:color w:val="000000" w:themeColor="text1"/>
              </w:rPr>
              <w:t>How will risks be mitigated?</w:t>
            </w:r>
          </w:p>
        </w:tc>
      </w:tr>
    </w:tbl>
    <w:p w14:paraId="3075628E" w14:textId="77777777" w:rsidR="007C039F" w:rsidRPr="007C039F" w:rsidRDefault="007C039F" w:rsidP="006E0A29">
      <w:pPr>
        <w:spacing w:before="120" w:after="120"/>
        <w:rPr>
          <w:szCs w:val="22"/>
          <w:lang w:eastAsia="en-AU"/>
        </w:rPr>
      </w:pPr>
      <w:r w:rsidRPr="007C039F">
        <w:rPr>
          <w:szCs w:val="22"/>
          <w:lang w:eastAsia="en-AU"/>
        </w:rPr>
        <w:t>The risks from the proposed regulatory measure will be mitigated by a range of non-regulatory support mechanisms.</w:t>
      </w:r>
    </w:p>
    <w:p w14:paraId="2252B9C7" w14:textId="77777777" w:rsidR="007C039F" w:rsidRPr="009274CD" w:rsidRDefault="007C039F" w:rsidP="009274CD">
      <w:pPr>
        <w:spacing w:after="120" w:line="240" w:lineRule="auto"/>
        <w:rPr>
          <w:rFonts w:cs="Arial"/>
          <w:i/>
          <w:color w:val="000000" w:themeColor="text1"/>
          <w:szCs w:val="22"/>
        </w:rPr>
      </w:pPr>
      <w:r w:rsidRPr="009274CD">
        <w:rPr>
          <w:rFonts w:cs="Arial"/>
          <w:color w:val="000000" w:themeColor="text1"/>
          <w:szCs w:val="22"/>
        </w:rPr>
        <w:t>Potential net costs to consumers relate to costs to purchase new multi-use bags, inconvenience when consumers forget to bring re-usable bags with them when shopping, and loss of a ‘free’ option for short-term second uses (</w:t>
      </w:r>
      <w:proofErr w:type="spellStart"/>
      <w:r w:rsidRPr="009274CD">
        <w:rPr>
          <w:rFonts w:cs="Arial"/>
          <w:color w:val="000000" w:themeColor="text1"/>
          <w:szCs w:val="22"/>
        </w:rPr>
        <w:t>eg</w:t>
      </w:r>
      <w:proofErr w:type="spellEnd"/>
      <w:r w:rsidRPr="009274CD">
        <w:rPr>
          <w:rFonts w:cs="Arial"/>
          <w:color w:val="000000" w:themeColor="text1"/>
          <w:szCs w:val="22"/>
        </w:rPr>
        <w:t>, bin liners). Net costs are not considered to be large, as higher costs for multi-use bags are offset by their functional lifetime and consumers already pay some $15 million a year for ‘free’ bags through the cost of their purchases. These risks will be mitigated by early information on alternatives and cooperation with retailers offering incentives and groups providing free reusable alternatives.</w:t>
      </w:r>
    </w:p>
    <w:p w14:paraId="5AADD91D" w14:textId="16A5DCD6" w:rsidR="00764307" w:rsidRDefault="007C039F" w:rsidP="009274CD">
      <w:pPr>
        <w:spacing w:after="120" w:line="240" w:lineRule="auto"/>
        <w:rPr>
          <w:lang w:eastAsia="en-AU"/>
        </w:rPr>
      </w:pPr>
      <w:r w:rsidRPr="009274CD">
        <w:rPr>
          <w:rFonts w:cs="Arial"/>
          <w:color w:val="000000" w:themeColor="text1"/>
          <w:szCs w:val="22"/>
        </w:rPr>
        <w:t>Potential net costs to businesses relate primarily to adjustments to adapt to changing market demand, as discussed in more detail in earlier sections. These risks will be mitigated by early notice of changes and an appropriate time frame for phase out.</w:t>
      </w:r>
      <w:r>
        <w:rPr>
          <w:rFonts w:cs="Arial"/>
          <w:color w:val="000000" w:themeColor="text1"/>
          <w:szCs w:val="22"/>
        </w:rPr>
        <w:t xml:space="preserve"> </w:t>
      </w:r>
      <w:r w:rsidR="00764307">
        <w:rPr>
          <w:lang w:eastAsia="en-AU"/>
        </w:rPr>
        <w:t>Submissions from business</w:t>
      </w:r>
      <w:r w:rsidR="00C51529">
        <w:rPr>
          <w:lang w:eastAsia="en-AU"/>
        </w:rPr>
        <w:t>es</w:t>
      </w:r>
      <w:r w:rsidR="00764307">
        <w:rPr>
          <w:lang w:eastAsia="en-AU"/>
        </w:rPr>
        <w:t xml:space="preserve"> provided information on the likely timeframes required for suppliers and retailers to run through existing stock. This is reflected</w:t>
      </w:r>
      <w:r>
        <w:rPr>
          <w:lang w:eastAsia="en-AU"/>
        </w:rPr>
        <w:t xml:space="preserve">, on balance with the public call for prompt implementation, </w:t>
      </w:r>
      <w:r w:rsidR="00764307">
        <w:rPr>
          <w:lang w:eastAsia="en-AU"/>
        </w:rPr>
        <w:t xml:space="preserve">in the </w:t>
      </w:r>
      <w:r w:rsidR="00EA3144">
        <w:rPr>
          <w:lang w:eastAsia="en-AU"/>
        </w:rPr>
        <w:t xml:space="preserve">proposal for a </w:t>
      </w:r>
      <w:r w:rsidR="00764307">
        <w:rPr>
          <w:lang w:eastAsia="en-AU"/>
        </w:rPr>
        <w:t>phase</w:t>
      </w:r>
      <w:r w:rsidR="006E367C">
        <w:rPr>
          <w:lang w:eastAsia="en-AU"/>
        </w:rPr>
        <w:t>-</w:t>
      </w:r>
      <w:r w:rsidR="00764307">
        <w:rPr>
          <w:lang w:eastAsia="en-AU"/>
        </w:rPr>
        <w:t xml:space="preserve">out period </w:t>
      </w:r>
      <w:r w:rsidR="00EA3144">
        <w:rPr>
          <w:lang w:eastAsia="en-AU"/>
        </w:rPr>
        <w:t xml:space="preserve">of either </w:t>
      </w:r>
      <w:r w:rsidR="00692F3F">
        <w:rPr>
          <w:lang w:eastAsia="en-AU"/>
        </w:rPr>
        <w:t>six</w:t>
      </w:r>
      <w:r w:rsidR="00764307">
        <w:rPr>
          <w:lang w:eastAsia="en-AU"/>
        </w:rPr>
        <w:t xml:space="preserve"> </w:t>
      </w:r>
      <w:r w:rsidR="00EA3144">
        <w:rPr>
          <w:lang w:eastAsia="en-AU"/>
        </w:rPr>
        <w:t xml:space="preserve">or </w:t>
      </w:r>
      <w:r w:rsidR="00692F3F">
        <w:rPr>
          <w:lang w:eastAsia="en-AU"/>
        </w:rPr>
        <w:t>nine</w:t>
      </w:r>
      <w:r w:rsidR="00764307">
        <w:rPr>
          <w:lang w:eastAsia="en-AU"/>
        </w:rPr>
        <w:t xml:space="preserve"> months.</w:t>
      </w:r>
    </w:p>
    <w:p w14:paraId="5A6F14DC" w14:textId="560C1FC9" w:rsidR="007C039F" w:rsidRPr="00AF5F4C" w:rsidRDefault="007C039F" w:rsidP="007C039F">
      <w:pPr>
        <w:spacing w:after="120" w:line="240" w:lineRule="auto"/>
        <w:rPr>
          <w:rFonts w:cs="Arial"/>
          <w:i/>
          <w:color w:val="000000" w:themeColor="text1"/>
          <w:szCs w:val="22"/>
        </w:rPr>
      </w:pPr>
      <w:r w:rsidRPr="00AF5F4C">
        <w:rPr>
          <w:rFonts w:cs="Arial"/>
          <w:color w:val="000000" w:themeColor="text1"/>
          <w:szCs w:val="22"/>
        </w:rPr>
        <w:t>The sheer number of shopping transactions and retail outlets means there is a high likelihood for potential non-compliance. Penalties cannot be levied without conviction in court which requires a high test for evidence with limited resources for enforcement. This risk will be mitigated by early information on the nature of the regulations, relying on concerned citizens to report suspected breaches and ensuring resources for response and enforcement as required.</w:t>
      </w:r>
    </w:p>
    <w:p w14:paraId="72802844" w14:textId="77777777" w:rsidR="00764307" w:rsidRDefault="006C0C55" w:rsidP="007B771C">
      <w:pPr>
        <w:rPr>
          <w:lang w:eastAsia="en-AU"/>
        </w:rPr>
      </w:pPr>
      <w:r>
        <w:rPr>
          <w:lang w:eastAsia="en-AU"/>
        </w:rPr>
        <w:t>Consultation revealed widespread support for a mandatory phase out amongst the general public</w:t>
      </w:r>
      <w:r w:rsidR="00764307">
        <w:rPr>
          <w:lang w:eastAsia="en-AU"/>
        </w:rPr>
        <w:t>, businesses, local authorities and NGOs</w:t>
      </w:r>
      <w:r>
        <w:rPr>
          <w:lang w:eastAsia="en-AU"/>
        </w:rPr>
        <w:t xml:space="preserve">. This implies that compliance with the phase out will be </w:t>
      </w:r>
      <w:r w:rsidR="006677FC">
        <w:rPr>
          <w:lang w:eastAsia="en-AU"/>
        </w:rPr>
        <w:t>widespread and instances of non-compliance will be quickly reported</w:t>
      </w:r>
      <w:r w:rsidR="00764307">
        <w:rPr>
          <w:lang w:eastAsia="en-AU"/>
        </w:rPr>
        <w:t>.</w:t>
      </w:r>
      <w:r w:rsidR="00AC2995">
        <w:rPr>
          <w:lang w:eastAsia="en-AU"/>
        </w:rPr>
        <w:t xml:space="preserve"> </w:t>
      </w:r>
      <w:r w:rsidR="00764307">
        <w:rPr>
          <w:lang w:eastAsia="en-AU"/>
        </w:rPr>
        <w:t>T</w:t>
      </w:r>
      <w:r w:rsidR="006677FC">
        <w:rPr>
          <w:lang w:eastAsia="en-AU"/>
        </w:rPr>
        <w:t xml:space="preserve">he risks of inadvertent non-compliance by consumers and smaller retailers will be mitigated through an education and information </w:t>
      </w:r>
      <w:r w:rsidR="00372E9B">
        <w:rPr>
          <w:lang w:eastAsia="en-AU"/>
        </w:rPr>
        <w:t>programme</w:t>
      </w:r>
      <w:r w:rsidR="006677FC">
        <w:rPr>
          <w:lang w:eastAsia="en-AU"/>
        </w:rPr>
        <w:t xml:space="preserve">.  </w:t>
      </w:r>
    </w:p>
    <w:p w14:paraId="4293C1B7" w14:textId="77777777" w:rsidR="00760858" w:rsidRDefault="00764307" w:rsidP="007B771C">
      <w:pPr>
        <w:rPr>
          <w:lang w:eastAsia="en-AU"/>
        </w:rPr>
      </w:pPr>
      <w:r>
        <w:rPr>
          <w:lang w:eastAsia="en-AU"/>
        </w:rPr>
        <w:t xml:space="preserve">Submissions from business and councils highlighted the need for better information on </w:t>
      </w:r>
      <w:r w:rsidR="00372E9B">
        <w:rPr>
          <w:lang w:eastAsia="en-AU"/>
        </w:rPr>
        <w:t xml:space="preserve">the environmental impacts of </w:t>
      </w:r>
      <w:r>
        <w:rPr>
          <w:lang w:eastAsia="en-AU"/>
        </w:rPr>
        <w:t xml:space="preserve">alternatives to </w:t>
      </w:r>
      <w:r w:rsidR="00372E9B">
        <w:rPr>
          <w:lang w:eastAsia="en-AU"/>
        </w:rPr>
        <w:t xml:space="preserve">reduce the risk of unintended consequences from choices that retailers made in good faith as a result of the mandatory phase out. </w:t>
      </w:r>
      <w:r w:rsidR="00EA3144" w:rsidRPr="00F553D7">
        <w:rPr>
          <w:lang w:eastAsia="en-AU"/>
        </w:rPr>
        <w:t>Unintended consequences for environmental impact may result if alternative shopping bags chosen by retailers and consumers have higher net life cycle impacts particularly if multi-use bags are not used to the end of their functional design lifetime. These risks will be mitigated by providing practical life cycle impact information to stakeholders for a wide range of options and cooperation with retailers offering inc</w:t>
      </w:r>
      <w:r w:rsidR="006E0A29" w:rsidRPr="00F553D7">
        <w:rPr>
          <w:lang w:eastAsia="en-AU"/>
        </w:rPr>
        <w:t>entives for repeat use of bags.</w:t>
      </w:r>
    </w:p>
    <w:p w14:paraId="3995AB92" w14:textId="61A018DC" w:rsidR="007B771C" w:rsidRPr="00F553D7" w:rsidRDefault="00760858" w:rsidP="007B771C">
      <w:pPr>
        <w:rPr>
          <w:lang w:eastAsia="en-AU"/>
        </w:rPr>
      </w:pPr>
      <w:r>
        <w:rPr>
          <w:lang w:eastAsia="en-AU"/>
        </w:rPr>
        <w:t xml:space="preserve">We can also monitor consumer behaviour, including through information received from the manager of the soft plastics recycling scheme, local government, and ongoing litter surveys. </w:t>
      </w:r>
    </w:p>
    <w:p w14:paraId="660B425C" w14:textId="45D0DC5A" w:rsidR="007B771C" w:rsidRPr="0005691A" w:rsidRDefault="007B771C" w:rsidP="007C039F">
      <w:pPr>
        <w:pStyle w:val="Heading2"/>
      </w:pPr>
      <w:bookmarkStart w:id="71" w:name="_Toc528670885"/>
      <w:r w:rsidRPr="0005691A">
        <w:t>Section 7:  Monitoring, evaluation and review</w:t>
      </w:r>
      <w:bookmarkEnd w:id="71"/>
    </w:p>
    <w:tbl>
      <w:tblPr>
        <w:tblW w:w="9048" w:type="dxa"/>
        <w:tblInd w:w="-5" w:type="dxa"/>
        <w:tblLayout w:type="fixed"/>
        <w:tblLook w:val="0480" w:firstRow="0" w:lastRow="0" w:firstColumn="1" w:lastColumn="0" w:noHBand="0" w:noVBand="1"/>
      </w:tblPr>
      <w:tblGrid>
        <w:gridCol w:w="9048"/>
      </w:tblGrid>
      <w:tr w:rsidR="007B771C" w:rsidRPr="0049467D" w14:paraId="196C2CA1" w14:textId="77777777" w:rsidTr="00A42D23">
        <w:trPr>
          <w:trHeight w:val="206"/>
        </w:trPr>
        <w:tc>
          <w:tcPr>
            <w:tcW w:w="9048" w:type="dxa"/>
            <w:tcBorders>
              <w:top w:val="single" w:sz="4" w:space="0" w:color="auto"/>
              <w:left w:val="single" w:sz="4" w:space="0" w:color="auto"/>
              <w:bottom w:val="single" w:sz="4" w:space="0" w:color="auto"/>
              <w:right w:val="single" w:sz="4" w:space="0" w:color="auto"/>
            </w:tcBorders>
            <w:shd w:val="clear" w:color="auto" w:fill="99CDDD"/>
          </w:tcPr>
          <w:p w14:paraId="58FDBDEE" w14:textId="77777777" w:rsidR="007B771C" w:rsidRPr="0049467D" w:rsidRDefault="007B771C" w:rsidP="007C039F">
            <w:pPr>
              <w:pStyle w:val="Heading3"/>
              <w:rPr>
                <w:lang w:eastAsia="en-AU"/>
              </w:rPr>
            </w:pPr>
            <w:r w:rsidRPr="0049467D">
              <w:rPr>
                <w:lang w:eastAsia="en-AU"/>
              </w:rPr>
              <w:br w:type="page"/>
            </w:r>
            <w:bookmarkStart w:id="72" w:name="_Toc526429635"/>
            <w:bookmarkStart w:id="73" w:name="_Toc528052398"/>
            <w:bookmarkStart w:id="74" w:name="_Toc528670886"/>
            <w:r w:rsidRPr="0049467D">
              <w:rPr>
                <w:lang w:eastAsia="en-AU"/>
              </w:rPr>
              <w:t>How will the impact of the new arrangements be monitored?</w:t>
            </w:r>
            <w:bookmarkEnd w:id="72"/>
            <w:bookmarkEnd w:id="73"/>
            <w:bookmarkEnd w:id="74"/>
          </w:p>
        </w:tc>
      </w:tr>
    </w:tbl>
    <w:p w14:paraId="65F8D5CE" w14:textId="77777777" w:rsidR="007B771C" w:rsidRPr="002A22DA" w:rsidRDefault="007B771C" w:rsidP="004C5780">
      <w:pPr>
        <w:spacing w:before="120"/>
        <w:rPr>
          <w:b/>
          <w:bCs/>
          <w:lang w:val="en-NZ"/>
        </w:rPr>
      </w:pPr>
      <w:r w:rsidRPr="002A22DA">
        <w:rPr>
          <w:b/>
          <w:bCs/>
          <w:lang w:val="en-NZ"/>
        </w:rPr>
        <w:t>Monitoring progress</w:t>
      </w:r>
    </w:p>
    <w:p w14:paraId="162F3E51" w14:textId="70696B0A" w:rsidR="00B32B89" w:rsidRPr="00B32B89" w:rsidRDefault="00B32B89" w:rsidP="00B32B89">
      <w:r w:rsidRPr="00B32B89">
        <w:t>The Ministry</w:t>
      </w:r>
      <w:r w:rsidR="006231FE">
        <w:t>,</w:t>
      </w:r>
      <w:r w:rsidRPr="00B32B89">
        <w:t xml:space="preserve"> </w:t>
      </w:r>
      <w:r w:rsidR="00372E9B">
        <w:t>a</w:t>
      </w:r>
      <w:r w:rsidRPr="00B32B89">
        <w:t xml:space="preserve">s the </w:t>
      </w:r>
      <w:r w:rsidR="00372E9B">
        <w:t xml:space="preserve">regulatory </w:t>
      </w:r>
      <w:r w:rsidRPr="00B32B89">
        <w:t>steward of New Zealand’s environment</w:t>
      </w:r>
      <w:r w:rsidR="006231FE">
        <w:t>,</w:t>
      </w:r>
      <w:r w:rsidR="00372E9B">
        <w:t xml:space="preserve"> seeks to</w:t>
      </w:r>
      <w:r w:rsidR="001F0C32">
        <w:t xml:space="preserve"> </w:t>
      </w:r>
      <w:r w:rsidRPr="00B32B89">
        <w:t>ensur</w:t>
      </w:r>
      <w:r w:rsidR="00372E9B">
        <w:t>e</w:t>
      </w:r>
      <w:r w:rsidRPr="00B32B89">
        <w:t xml:space="preserve"> New Zealand’s continued prosperity does not compromise the needs of future generations</w:t>
      </w:r>
      <w:r w:rsidR="00372E9B">
        <w:t xml:space="preserve"> and </w:t>
      </w:r>
      <w:r w:rsidR="006231FE">
        <w:t>t</w:t>
      </w:r>
      <w:r w:rsidRPr="00B32B89">
        <w:t>hat environmental regulation achiev</w:t>
      </w:r>
      <w:r w:rsidR="00372E9B">
        <w:t>es</w:t>
      </w:r>
      <w:r w:rsidRPr="00B32B89">
        <w:t xml:space="preserve"> this aim as effectively and efficiently as possible.  </w:t>
      </w:r>
    </w:p>
    <w:p w14:paraId="2D767448" w14:textId="0BE21FED" w:rsidR="00B32B89" w:rsidRPr="00766220" w:rsidRDefault="00B32B89" w:rsidP="00766220">
      <w:r w:rsidRPr="00766220">
        <w:t xml:space="preserve">In the </w:t>
      </w:r>
      <w:r w:rsidR="006231FE">
        <w:t>r</w:t>
      </w:r>
      <w:r w:rsidRPr="00766220">
        <w:t xml:space="preserve">esource </w:t>
      </w:r>
      <w:r w:rsidR="006231FE">
        <w:t>e</w:t>
      </w:r>
      <w:r w:rsidRPr="00766220">
        <w:t xml:space="preserve">fficiency regulatory system, the Ministry for the Environment is focused on </w:t>
      </w:r>
      <w:r w:rsidR="00766220" w:rsidRPr="00766220">
        <w:t xml:space="preserve">providing direction </w:t>
      </w:r>
      <w:r w:rsidR="00915BFD">
        <w:t>on</w:t>
      </w:r>
      <w:r w:rsidR="00766220" w:rsidRPr="00766220">
        <w:t xml:space="preserve"> transition</w:t>
      </w:r>
      <w:r w:rsidR="00915BFD">
        <w:t>ing</w:t>
      </w:r>
      <w:r w:rsidR="00766220" w:rsidRPr="00766220">
        <w:t xml:space="preserve"> to a circular economy. </w:t>
      </w:r>
      <w:r w:rsidR="00372E9B">
        <w:t>A</w:t>
      </w:r>
      <w:r w:rsidR="00766220" w:rsidRPr="00766220">
        <w:t xml:space="preserve"> mandatory phase-out on </w:t>
      </w:r>
      <w:r w:rsidR="00D55357">
        <w:t xml:space="preserve">single-use </w:t>
      </w:r>
      <w:r w:rsidR="00766220" w:rsidRPr="00766220">
        <w:t xml:space="preserve">plastic </w:t>
      </w:r>
      <w:r w:rsidR="00D55357">
        <w:rPr>
          <w:bCs/>
        </w:rPr>
        <w:t xml:space="preserve">shopping </w:t>
      </w:r>
      <w:r w:rsidR="00766220" w:rsidRPr="00766220">
        <w:t xml:space="preserve">bags </w:t>
      </w:r>
      <w:r w:rsidR="00372E9B">
        <w:t xml:space="preserve">would provide </w:t>
      </w:r>
      <w:r w:rsidR="00D55357">
        <w:t xml:space="preserve">an important community engagement </w:t>
      </w:r>
      <w:r w:rsidR="00372E9B">
        <w:t xml:space="preserve">contribution to </w:t>
      </w:r>
      <w:r w:rsidR="00766220" w:rsidRPr="00766220">
        <w:t xml:space="preserve">this focus.  </w:t>
      </w:r>
    </w:p>
    <w:p w14:paraId="3457B33E" w14:textId="6DE40DE1" w:rsidR="006C0C55" w:rsidRPr="006C0C55" w:rsidRDefault="00915BFD" w:rsidP="00502E20">
      <w:pPr>
        <w:rPr>
          <w:iCs/>
          <w:lang w:val="en-NZ"/>
        </w:rPr>
      </w:pPr>
      <w:r>
        <w:rPr>
          <w:lang w:val="en-NZ"/>
        </w:rPr>
        <w:t>T</w:t>
      </w:r>
      <w:r w:rsidR="00A478E4" w:rsidRPr="006C0C55">
        <w:rPr>
          <w:lang w:val="en-NZ"/>
        </w:rPr>
        <w:t xml:space="preserve">o </w:t>
      </w:r>
      <w:r w:rsidR="004D4F51">
        <w:rPr>
          <w:lang w:val="en-NZ"/>
        </w:rPr>
        <w:t xml:space="preserve">understand </w:t>
      </w:r>
      <w:r w:rsidR="00A478E4" w:rsidRPr="006C0C55">
        <w:rPr>
          <w:lang w:val="en-NZ"/>
        </w:rPr>
        <w:t xml:space="preserve">the success of the </w:t>
      </w:r>
      <w:r w:rsidR="00766220" w:rsidRPr="006C0C55">
        <w:rPr>
          <w:lang w:val="en-NZ"/>
        </w:rPr>
        <w:t xml:space="preserve">mandatory phase out, </w:t>
      </w:r>
      <w:r w:rsidR="00A478E4" w:rsidRPr="006C0C55">
        <w:rPr>
          <w:lang w:val="en-NZ"/>
        </w:rPr>
        <w:t xml:space="preserve">the Ministry </w:t>
      </w:r>
      <w:r w:rsidR="00766220" w:rsidRPr="006C0C55">
        <w:rPr>
          <w:lang w:val="en-NZ"/>
        </w:rPr>
        <w:t xml:space="preserve">for the Environment </w:t>
      </w:r>
      <w:r w:rsidR="00A478E4" w:rsidRPr="006C0C55">
        <w:rPr>
          <w:lang w:val="en-NZ"/>
        </w:rPr>
        <w:t>considers that monitoring and evaluati</w:t>
      </w:r>
      <w:r>
        <w:rPr>
          <w:lang w:val="en-NZ"/>
        </w:rPr>
        <w:t>ng</w:t>
      </w:r>
      <w:r w:rsidR="00A478E4" w:rsidRPr="006C0C55">
        <w:rPr>
          <w:lang w:val="en-NZ"/>
        </w:rPr>
        <w:t xml:space="preserve"> the implementation of the </w:t>
      </w:r>
      <w:r w:rsidR="004D4F51">
        <w:rPr>
          <w:lang w:val="en-NZ"/>
        </w:rPr>
        <w:t xml:space="preserve">proposed regulations </w:t>
      </w:r>
      <w:r w:rsidR="00A478E4" w:rsidRPr="006C0C55">
        <w:rPr>
          <w:lang w:val="en-NZ"/>
        </w:rPr>
        <w:t>will include</w:t>
      </w:r>
      <w:r w:rsidR="007713EF">
        <w:rPr>
          <w:lang w:val="en-NZ"/>
        </w:rPr>
        <w:t xml:space="preserve"> </w:t>
      </w:r>
      <w:r w:rsidR="006C0C55" w:rsidRPr="006C0C55">
        <w:rPr>
          <w:iCs/>
          <w:lang w:val="en-NZ"/>
        </w:rPr>
        <w:t>b</w:t>
      </w:r>
      <w:r w:rsidR="00A478E4" w:rsidRPr="006C0C55">
        <w:rPr>
          <w:iCs/>
          <w:lang w:val="en-NZ"/>
        </w:rPr>
        <w:t>aseline and</w:t>
      </w:r>
      <w:r w:rsidR="0083744A">
        <w:rPr>
          <w:iCs/>
          <w:lang w:val="en-NZ"/>
        </w:rPr>
        <w:t xml:space="preserve"> ongoing</w:t>
      </w:r>
      <w:r w:rsidR="001F0C32">
        <w:rPr>
          <w:iCs/>
          <w:lang w:val="en-NZ"/>
        </w:rPr>
        <w:t xml:space="preserve"> </w:t>
      </w:r>
      <w:r w:rsidR="00A478E4" w:rsidRPr="006C0C55">
        <w:rPr>
          <w:iCs/>
          <w:lang w:val="en-NZ"/>
        </w:rPr>
        <w:t xml:space="preserve">monitoring of </w:t>
      </w:r>
      <w:r w:rsidR="006C0C55" w:rsidRPr="006C0C55">
        <w:rPr>
          <w:iCs/>
          <w:lang w:val="en-NZ"/>
        </w:rPr>
        <w:t xml:space="preserve">the number of plastic </w:t>
      </w:r>
      <w:r w:rsidR="00D55357">
        <w:rPr>
          <w:bCs/>
        </w:rPr>
        <w:t xml:space="preserve">shopping </w:t>
      </w:r>
      <w:r w:rsidR="006C0C55" w:rsidRPr="006C0C55">
        <w:rPr>
          <w:iCs/>
          <w:lang w:val="en-NZ"/>
        </w:rPr>
        <w:t xml:space="preserve">bags (under </w:t>
      </w:r>
      <w:r w:rsidR="00D55357">
        <w:rPr>
          <w:iCs/>
          <w:lang w:val="en-NZ"/>
        </w:rPr>
        <w:t>7</w:t>
      </w:r>
      <w:r w:rsidR="006C0C55" w:rsidRPr="006C0C55">
        <w:rPr>
          <w:iCs/>
          <w:lang w:val="en-NZ"/>
        </w:rPr>
        <w:t>0 microns in thickness)</w:t>
      </w:r>
      <w:r w:rsidR="007713EF">
        <w:rPr>
          <w:iCs/>
          <w:lang w:val="en-NZ"/>
        </w:rPr>
        <w:t xml:space="preserve"> including</w:t>
      </w:r>
    </w:p>
    <w:p w14:paraId="23841722" w14:textId="1B76F4E4" w:rsidR="004D4F51" w:rsidRDefault="004D4F51" w:rsidP="00502E20">
      <w:pPr>
        <w:numPr>
          <w:ilvl w:val="0"/>
          <w:numId w:val="29"/>
        </w:numPr>
        <w:rPr>
          <w:iCs/>
          <w:lang w:val="en-NZ"/>
        </w:rPr>
      </w:pPr>
      <w:r w:rsidRPr="006C0C55">
        <w:rPr>
          <w:iCs/>
          <w:lang w:val="en-NZ"/>
        </w:rPr>
        <w:t xml:space="preserve">plastic </w:t>
      </w:r>
      <w:r>
        <w:rPr>
          <w:bCs/>
        </w:rPr>
        <w:t xml:space="preserve">shopping </w:t>
      </w:r>
      <w:r w:rsidRPr="006C0C55">
        <w:rPr>
          <w:iCs/>
          <w:lang w:val="en-NZ"/>
        </w:rPr>
        <w:t xml:space="preserve">bags </w:t>
      </w:r>
      <w:r>
        <w:rPr>
          <w:iCs/>
          <w:lang w:val="en-NZ"/>
        </w:rPr>
        <w:t>designed for single use imported</w:t>
      </w:r>
      <w:r w:rsidRPr="006C0C55">
        <w:rPr>
          <w:lang w:val="en-NZ"/>
        </w:rPr>
        <w:t xml:space="preserve"> into the country</w:t>
      </w:r>
      <w:r>
        <w:rPr>
          <w:lang w:val="en-NZ"/>
        </w:rPr>
        <w:t xml:space="preserve"> (Statistics New Zealand baseline)</w:t>
      </w:r>
    </w:p>
    <w:p w14:paraId="1D784361" w14:textId="77777777" w:rsidR="006C0C55" w:rsidRPr="006C0C55" w:rsidRDefault="006C0C55" w:rsidP="00502E20">
      <w:pPr>
        <w:numPr>
          <w:ilvl w:val="0"/>
          <w:numId w:val="29"/>
        </w:numPr>
        <w:rPr>
          <w:iCs/>
          <w:lang w:val="en-NZ"/>
        </w:rPr>
      </w:pPr>
      <w:r w:rsidRPr="006C0C55">
        <w:rPr>
          <w:iCs/>
          <w:lang w:val="en-NZ"/>
        </w:rPr>
        <w:t>distributed by retailers to consumers</w:t>
      </w:r>
      <w:r w:rsidR="004D4F51">
        <w:rPr>
          <w:iCs/>
          <w:lang w:val="en-NZ"/>
        </w:rPr>
        <w:t xml:space="preserve"> (extension of current voluntary disclosure network)</w:t>
      </w:r>
    </w:p>
    <w:p w14:paraId="29BD936A" w14:textId="77777777" w:rsidR="007B771C" w:rsidRPr="006E0A29" w:rsidRDefault="007713EF" w:rsidP="007B771C">
      <w:pPr>
        <w:numPr>
          <w:ilvl w:val="0"/>
          <w:numId w:val="29"/>
        </w:numPr>
        <w:rPr>
          <w:iCs/>
          <w:lang w:val="en-NZ"/>
        </w:rPr>
      </w:pPr>
      <w:proofErr w:type="gramStart"/>
      <w:r>
        <w:rPr>
          <w:iCs/>
          <w:lang w:val="en-NZ"/>
        </w:rPr>
        <w:t>proportion</w:t>
      </w:r>
      <w:proofErr w:type="gramEnd"/>
      <w:r>
        <w:rPr>
          <w:iCs/>
          <w:lang w:val="en-NZ"/>
        </w:rPr>
        <w:t xml:space="preserve"> of plastic bags </w:t>
      </w:r>
      <w:r w:rsidR="006C0C55" w:rsidRPr="006C0C55">
        <w:rPr>
          <w:iCs/>
          <w:lang w:val="en-NZ"/>
        </w:rPr>
        <w:t>found in the coastal environment</w:t>
      </w:r>
      <w:r w:rsidR="004D4F51">
        <w:rPr>
          <w:iCs/>
          <w:lang w:val="en-NZ"/>
        </w:rPr>
        <w:t xml:space="preserve"> (</w:t>
      </w:r>
      <w:r w:rsidR="004D4F51" w:rsidRPr="006C0C55">
        <w:rPr>
          <w:lang w:val="en-NZ"/>
        </w:rPr>
        <w:t>baseline and monitoring system for coastal litter by April 2021 through a Sustainable Coastlines project supported by the Waste Minimisation Fund</w:t>
      </w:r>
      <w:r w:rsidR="004D4F51" w:rsidRPr="002A22DA">
        <w:rPr>
          <w:vertAlign w:val="superscript"/>
          <w:lang w:val="en-NZ"/>
        </w:rPr>
        <w:footnoteReference w:id="20"/>
      </w:r>
      <w:r w:rsidR="004D4F51">
        <w:rPr>
          <w:iCs/>
          <w:lang w:val="en-NZ"/>
        </w:rPr>
        <w:t>)</w:t>
      </w:r>
      <w:r w:rsidR="006C0C55" w:rsidRPr="006C0C55">
        <w:rPr>
          <w:iCs/>
          <w:lang w:val="en-NZ"/>
        </w:rPr>
        <w:t xml:space="preserve">.  </w:t>
      </w: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7B771C" w:rsidRPr="0049467D" w14:paraId="212AFAFF" w14:textId="77777777" w:rsidTr="00A42D23">
        <w:trPr>
          <w:trHeight w:val="296"/>
        </w:trPr>
        <w:tc>
          <w:tcPr>
            <w:tcW w:w="9048" w:type="dxa"/>
            <w:shd w:val="clear" w:color="auto" w:fill="99CDDD"/>
          </w:tcPr>
          <w:p w14:paraId="68CD25AB" w14:textId="77777777" w:rsidR="007B771C" w:rsidRPr="0049467D" w:rsidRDefault="007B771C" w:rsidP="007C039F">
            <w:pPr>
              <w:pStyle w:val="Heading3"/>
              <w:rPr>
                <w:lang w:eastAsia="en-AU"/>
              </w:rPr>
            </w:pPr>
            <w:r w:rsidRPr="0049467D">
              <w:rPr>
                <w:lang w:eastAsia="en-AU"/>
              </w:rPr>
              <w:br w:type="page"/>
            </w:r>
            <w:bookmarkStart w:id="75" w:name="_Toc526429636"/>
            <w:bookmarkStart w:id="76" w:name="_Toc528052399"/>
            <w:bookmarkStart w:id="77" w:name="_Toc528670887"/>
            <w:r w:rsidRPr="0049467D">
              <w:rPr>
                <w:lang w:eastAsia="en-AU"/>
              </w:rPr>
              <w:t>When and how will the new arrangements be reviewed?</w:t>
            </w:r>
            <w:bookmarkEnd w:id="75"/>
            <w:bookmarkEnd w:id="76"/>
            <w:bookmarkEnd w:id="77"/>
            <w:r w:rsidRPr="0049467D">
              <w:rPr>
                <w:lang w:eastAsia="en-AU"/>
              </w:rPr>
              <w:t xml:space="preserve"> </w:t>
            </w:r>
          </w:p>
        </w:tc>
      </w:tr>
    </w:tbl>
    <w:p w14:paraId="08EBD55E" w14:textId="5741D26A" w:rsidR="006C0C55" w:rsidRPr="006C0C55" w:rsidRDefault="006C0C55" w:rsidP="004C5780">
      <w:pPr>
        <w:spacing w:before="120"/>
      </w:pPr>
      <w:r w:rsidRPr="006C0C55">
        <w:t xml:space="preserve">The Ministry for the Environment proposes to review the success of the mandatory phase out within three years </w:t>
      </w:r>
      <w:r w:rsidR="00C65D36">
        <w:t>of</w:t>
      </w:r>
      <w:r w:rsidR="00C65D36" w:rsidRPr="006C0C55">
        <w:t xml:space="preserve"> </w:t>
      </w:r>
      <w:r w:rsidRPr="006C0C55">
        <w:t>gazettal.   </w:t>
      </w:r>
    </w:p>
    <w:p w14:paraId="5A652A9F" w14:textId="77777777" w:rsidR="008B5052" w:rsidRDefault="008B5052">
      <w:pPr>
        <w:spacing w:after="0" w:line="240" w:lineRule="auto"/>
        <w:rPr>
          <w:b/>
          <w:color w:val="0082AB"/>
          <w:spacing w:val="20"/>
          <w:w w:val="90"/>
          <w:sz w:val="32"/>
          <w:szCs w:val="24"/>
        </w:rPr>
      </w:pPr>
    </w:p>
    <w:p w14:paraId="76210DCB" w14:textId="77777777" w:rsidR="008B5052" w:rsidRDefault="008B5052">
      <w:pPr>
        <w:spacing w:after="0" w:line="240" w:lineRule="auto"/>
        <w:rPr>
          <w:b/>
          <w:color w:val="0082AB"/>
          <w:spacing w:val="20"/>
          <w:w w:val="90"/>
          <w:sz w:val="32"/>
          <w:szCs w:val="24"/>
        </w:rPr>
      </w:pPr>
      <w:r>
        <w:br w:type="page"/>
      </w:r>
    </w:p>
    <w:p w14:paraId="6D1B247F" w14:textId="59D75F83" w:rsidR="00287A95" w:rsidRDefault="00CD5F2B" w:rsidP="00287A95">
      <w:pPr>
        <w:pStyle w:val="Heading1"/>
        <w:rPr>
          <w:color w:val="0082AB"/>
          <w:sz w:val="32"/>
          <w:szCs w:val="24"/>
        </w:rPr>
      </w:pPr>
      <w:bookmarkStart w:id="78" w:name="_Toc528670888"/>
      <w:bookmarkStart w:id="79" w:name="_Toc521579284"/>
      <w:r>
        <w:rPr>
          <w:color w:val="0082AB"/>
          <w:sz w:val="32"/>
          <w:szCs w:val="24"/>
        </w:rPr>
        <w:t>Appendix</w:t>
      </w:r>
      <w:r w:rsidR="00287A95" w:rsidRPr="00287A95">
        <w:rPr>
          <w:color w:val="0082AB"/>
          <w:sz w:val="32"/>
          <w:szCs w:val="24"/>
        </w:rPr>
        <w:t>: Excerpt from public consultation document on proposed mandatory phase out of single-use plastic shopping bags</w:t>
      </w:r>
      <w:bookmarkEnd w:id="78"/>
      <w:r w:rsidR="00287A95" w:rsidRPr="00287A95">
        <w:rPr>
          <w:color w:val="0082AB"/>
          <w:sz w:val="32"/>
          <w:szCs w:val="24"/>
        </w:rPr>
        <w:t xml:space="preserve"> </w:t>
      </w:r>
    </w:p>
    <w:p w14:paraId="455410CD" w14:textId="77777777" w:rsidR="00287A95" w:rsidRPr="00287A95" w:rsidRDefault="00287A95" w:rsidP="00287A95">
      <w:pPr>
        <w:pStyle w:val="Heading1"/>
        <w:rPr>
          <w:color w:val="0082AB"/>
          <w:sz w:val="32"/>
          <w:szCs w:val="24"/>
        </w:rPr>
      </w:pPr>
      <w:bookmarkStart w:id="80" w:name="_Toc528052401"/>
      <w:bookmarkStart w:id="81" w:name="_Toc528670889"/>
      <w:r w:rsidRPr="00287A95">
        <w:rPr>
          <w:color w:val="0082AB"/>
          <w:sz w:val="32"/>
          <w:szCs w:val="24"/>
        </w:rPr>
        <w:t>Assessment of options for New Zealand</w:t>
      </w:r>
      <w:bookmarkEnd w:id="79"/>
      <w:r>
        <w:rPr>
          <w:rStyle w:val="FootnoteReference"/>
          <w:szCs w:val="24"/>
        </w:rPr>
        <w:footnoteReference w:id="21"/>
      </w:r>
      <w:bookmarkEnd w:id="80"/>
      <w:bookmarkEnd w:id="81"/>
      <w:r w:rsidRPr="00287A95">
        <w:rPr>
          <w:color w:val="0082AB"/>
          <w:sz w:val="32"/>
          <w:szCs w:val="24"/>
        </w:rPr>
        <w:t xml:space="preserve"> </w:t>
      </w:r>
    </w:p>
    <w:p w14:paraId="45155B45" w14:textId="77777777" w:rsidR="00287A95" w:rsidRPr="00C51529" w:rsidRDefault="00287A95" w:rsidP="00287A95">
      <w:pPr>
        <w:pStyle w:val="BodyText"/>
        <w:rPr>
          <w:rFonts w:asciiTheme="minorHAnsi" w:hAnsiTheme="minorHAnsi" w:cstheme="minorHAnsi"/>
        </w:rPr>
      </w:pPr>
      <w:r w:rsidRPr="00C51529">
        <w:rPr>
          <w:rFonts w:asciiTheme="minorHAnsi" w:hAnsiTheme="minorHAnsi" w:cstheme="minorHAnsi"/>
        </w:rPr>
        <w:t>The following proposed criteria have been used to compare options to reduce the impacts of single-use plastic shopping bags in New</w:t>
      </w:r>
      <w:bookmarkStart w:id="82" w:name="_GoBack"/>
      <w:bookmarkEnd w:id="82"/>
      <w:r w:rsidRPr="00C51529">
        <w:rPr>
          <w:rFonts w:asciiTheme="minorHAnsi" w:hAnsiTheme="minorHAnsi" w:cstheme="minorHAnsi"/>
        </w:rPr>
        <w:t xml:space="preserve"> Zealand. Each option has been assessed as to whether it can:</w:t>
      </w:r>
    </w:p>
    <w:p w14:paraId="5F5B34E4" w14:textId="77777777" w:rsidR="00287A95" w:rsidRPr="00120295" w:rsidRDefault="00287A95" w:rsidP="00287A95">
      <w:pPr>
        <w:pStyle w:val="Bullet"/>
        <w:rPr>
          <w:b/>
          <w:bCs/>
        </w:rPr>
      </w:pPr>
      <w:r w:rsidRPr="00120295">
        <w:t xml:space="preserve">substantially advance the phase out of a single-use plastic product that contributes to litter, and the risks associated with marine plastics, while </w:t>
      </w:r>
      <w:r>
        <w:t>over</w:t>
      </w:r>
      <w:r w:rsidRPr="00120295">
        <w:t xml:space="preserve"> the longer term </w:t>
      </w:r>
      <w:r>
        <w:t xml:space="preserve">take </w:t>
      </w:r>
      <w:r w:rsidRPr="00120295">
        <w:t xml:space="preserve">a circular economy </w:t>
      </w:r>
      <w:r>
        <w:t xml:space="preserve">approach to design waste out of the system </w:t>
      </w:r>
      <w:r w:rsidRPr="00120295">
        <w:rPr>
          <w:i/>
        </w:rPr>
        <w:t xml:space="preserve">(primary purpose of intervention: triple weighting) </w:t>
      </w:r>
    </w:p>
    <w:p w14:paraId="4908EBF7" w14:textId="77777777" w:rsidR="00287A95" w:rsidRPr="00120295" w:rsidRDefault="00287A95" w:rsidP="00287A95">
      <w:pPr>
        <w:pStyle w:val="Bullet"/>
        <w:rPr>
          <w:b/>
          <w:bCs/>
        </w:rPr>
      </w:pPr>
      <w:r w:rsidRPr="00120295">
        <w:t xml:space="preserve">be implemented without placing undue costs on the community, business, or public funds </w:t>
      </w:r>
      <w:r w:rsidRPr="00120295">
        <w:rPr>
          <w:i/>
        </w:rPr>
        <w:t>(key regulatory principle: double weighting)</w:t>
      </w:r>
    </w:p>
    <w:p w14:paraId="76513419" w14:textId="77777777" w:rsidR="00287A95" w:rsidRPr="00120295" w:rsidRDefault="00287A95" w:rsidP="00287A95">
      <w:pPr>
        <w:pStyle w:val="Bullet"/>
        <w:rPr>
          <w:b/>
          <w:bCs/>
        </w:rPr>
      </w:pPr>
      <w:r w:rsidRPr="00120295">
        <w:t>be progressed under existing legislation</w:t>
      </w:r>
    </w:p>
    <w:p w14:paraId="2448AD54" w14:textId="77777777" w:rsidR="00287A95" w:rsidRPr="00120295" w:rsidRDefault="00287A95" w:rsidP="00287A95">
      <w:pPr>
        <w:pStyle w:val="Bullet"/>
        <w:rPr>
          <w:b/>
          <w:bCs/>
        </w:rPr>
      </w:pPr>
      <w:r w:rsidRPr="00120295">
        <w:t>provide a financial incentive to return used shopping bags for reuse or recycling</w:t>
      </w:r>
    </w:p>
    <w:p w14:paraId="132E27F1" w14:textId="77777777" w:rsidR="00287A95" w:rsidRPr="00120295" w:rsidRDefault="00287A95" w:rsidP="00287A95">
      <w:pPr>
        <w:pStyle w:val="Bullet"/>
      </w:pPr>
      <w:proofErr w:type="gramStart"/>
      <w:r w:rsidRPr="00120295">
        <w:t>transfer</w:t>
      </w:r>
      <w:proofErr w:type="gramEnd"/>
      <w:r w:rsidRPr="00120295">
        <w:t xml:space="preserve"> funds for community or environmental benefit.</w:t>
      </w:r>
    </w:p>
    <w:p w14:paraId="6CBEF368" w14:textId="77777777" w:rsidR="00287A95" w:rsidRPr="00120295" w:rsidRDefault="00287A95" w:rsidP="00287A95">
      <w:pPr>
        <w:pStyle w:val="Tableheading"/>
      </w:pPr>
      <w:bookmarkStart w:id="83" w:name="_Toc521052414"/>
      <w:r w:rsidRPr="00120295">
        <w:t xml:space="preserve">Table 7: </w:t>
      </w:r>
      <w:r w:rsidRPr="00120295">
        <w:tab/>
        <w:t>Summary of potential options to reduce the impacts of single-use plastic shopping bags</w:t>
      </w:r>
      <w:bookmarkEnd w:id="83"/>
      <w:r w:rsidRPr="00120295">
        <w:t xml:space="preserve"> </w:t>
      </w:r>
    </w:p>
    <w:tbl>
      <w:tblPr>
        <w:tblStyle w:val="TableGrid"/>
        <w:tblW w:w="8392"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ayout w:type="fixed"/>
        <w:tblLook w:val="04A0" w:firstRow="1" w:lastRow="0" w:firstColumn="1" w:lastColumn="0" w:noHBand="0" w:noVBand="1"/>
      </w:tblPr>
      <w:tblGrid>
        <w:gridCol w:w="4990"/>
        <w:gridCol w:w="3402"/>
      </w:tblGrid>
      <w:tr w:rsidR="00287A95" w:rsidRPr="008508DB" w14:paraId="3D4D785D" w14:textId="77777777" w:rsidTr="00287A95">
        <w:trPr>
          <w:tblHeader/>
        </w:trPr>
        <w:tc>
          <w:tcPr>
            <w:tcW w:w="4990" w:type="dxa"/>
            <w:shd w:val="clear" w:color="auto" w:fill="1C556C"/>
          </w:tcPr>
          <w:p w14:paraId="748CD916" w14:textId="77777777" w:rsidR="00287A95" w:rsidRPr="008508DB" w:rsidRDefault="00287A95" w:rsidP="00287A95">
            <w:pPr>
              <w:pStyle w:val="TableTextbold"/>
              <w:rPr>
                <w:rFonts w:asciiTheme="minorHAnsi" w:hAnsiTheme="minorHAnsi" w:cstheme="minorHAnsi"/>
                <w:color w:val="FFFFFF" w:themeColor="background1"/>
              </w:rPr>
            </w:pPr>
            <w:r w:rsidRPr="008508DB">
              <w:rPr>
                <w:rFonts w:asciiTheme="minorHAnsi" w:hAnsiTheme="minorHAnsi" w:cstheme="minorHAnsi"/>
                <w:color w:val="FFFFFF" w:themeColor="background1"/>
              </w:rPr>
              <w:t xml:space="preserve">Option </w:t>
            </w:r>
          </w:p>
        </w:tc>
        <w:tc>
          <w:tcPr>
            <w:tcW w:w="3402" w:type="dxa"/>
            <w:shd w:val="clear" w:color="auto" w:fill="1C556C"/>
          </w:tcPr>
          <w:p w14:paraId="5A710804" w14:textId="77777777" w:rsidR="00287A95" w:rsidRPr="008508DB" w:rsidRDefault="00287A95" w:rsidP="00287A95">
            <w:pPr>
              <w:pStyle w:val="TableTextbold"/>
              <w:rPr>
                <w:rFonts w:asciiTheme="minorHAnsi" w:hAnsiTheme="minorHAnsi" w:cstheme="minorHAnsi"/>
                <w:color w:val="FFFFFF" w:themeColor="background1"/>
              </w:rPr>
            </w:pPr>
            <w:r w:rsidRPr="008508DB">
              <w:rPr>
                <w:rFonts w:asciiTheme="minorHAnsi" w:hAnsiTheme="minorHAnsi" w:cstheme="minorHAnsi"/>
                <w:color w:val="FFFFFF" w:themeColor="background1"/>
              </w:rPr>
              <w:t>How</w:t>
            </w:r>
          </w:p>
        </w:tc>
      </w:tr>
      <w:tr w:rsidR="00287A95" w:rsidRPr="008508DB" w14:paraId="3A7D2ABD" w14:textId="77777777" w:rsidTr="00287A95">
        <w:tc>
          <w:tcPr>
            <w:tcW w:w="4990" w:type="dxa"/>
            <w:shd w:val="clear" w:color="auto" w:fill="auto"/>
          </w:tcPr>
          <w:p w14:paraId="600F6BBD" w14:textId="77777777" w:rsidR="00287A95" w:rsidRPr="008508DB" w:rsidRDefault="00287A95" w:rsidP="00287A95">
            <w:pPr>
              <w:keepNext/>
              <w:keepLines/>
              <w:numPr>
                <w:ilvl w:val="0"/>
                <w:numId w:val="45"/>
              </w:numPr>
              <w:spacing w:before="60" w:after="60" w:line="240" w:lineRule="atLeast"/>
              <w:jc w:val="left"/>
              <w:rPr>
                <w:rFonts w:asciiTheme="minorHAnsi" w:hAnsiTheme="minorHAnsi" w:cstheme="minorHAnsi"/>
                <w:b/>
                <w:sz w:val="18"/>
                <w:szCs w:val="16"/>
              </w:rPr>
            </w:pPr>
            <w:r w:rsidRPr="008508DB">
              <w:rPr>
                <w:rFonts w:asciiTheme="minorHAnsi" w:hAnsiTheme="minorHAnsi" w:cstheme="minorHAnsi"/>
                <w:b/>
                <w:sz w:val="18"/>
                <w:szCs w:val="16"/>
              </w:rPr>
              <w:t xml:space="preserve">Mandatory phase out of sale or distribution </w:t>
            </w:r>
          </w:p>
        </w:tc>
        <w:tc>
          <w:tcPr>
            <w:tcW w:w="3402" w:type="dxa"/>
            <w:shd w:val="clear" w:color="auto" w:fill="auto"/>
          </w:tcPr>
          <w:p w14:paraId="4AA51756" w14:textId="77777777" w:rsidR="00287A95" w:rsidRPr="008508DB" w:rsidRDefault="00287A95" w:rsidP="00287A95">
            <w:pPr>
              <w:pStyle w:val="TableText0"/>
              <w:rPr>
                <w:rFonts w:asciiTheme="minorHAnsi" w:hAnsiTheme="minorHAnsi" w:cstheme="minorHAnsi"/>
              </w:rPr>
            </w:pPr>
            <w:r w:rsidRPr="008508DB">
              <w:rPr>
                <w:rFonts w:asciiTheme="minorHAnsi" w:hAnsiTheme="minorHAnsi" w:cstheme="minorHAnsi"/>
              </w:rPr>
              <w:t>Regulations under WMA (s 23(1)(b))</w:t>
            </w:r>
            <w:r w:rsidRPr="008508DB">
              <w:rPr>
                <w:rFonts w:asciiTheme="minorHAnsi" w:hAnsiTheme="minorHAnsi" w:cstheme="minorHAnsi"/>
              </w:rPr>
              <w:tab/>
            </w:r>
          </w:p>
        </w:tc>
      </w:tr>
      <w:tr w:rsidR="00287A95" w:rsidRPr="008508DB" w14:paraId="3FF81EA6" w14:textId="77777777" w:rsidTr="00287A95">
        <w:tc>
          <w:tcPr>
            <w:tcW w:w="4990" w:type="dxa"/>
            <w:shd w:val="clear" w:color="auto" w:fill="auto"/>
          </w:tcPr>
          <w:p w14:paraId="6EDD6F19" w14:textId="77777777" w:rsidR="00287A95" w:rsidRPr="008508DB" w:rsidRDefault="00287A95" w:rsidP="00287A95">
            <w:pPr>
              <w:numPr>
                <w:ilvl w:val="0"/>
                <w:numId w:val="45"/>
              </w:numPr>
              <w:spacing w:before="60" w:after="60" w:line="240" w:lineRule="atLeast"/>
              <w:jc w:val="left"/>
              <w:rPr>
                <w:rFonts w:asciiTheme="minorHAnsi" w:hAnsiTheme="minorHAnsi" w:cstheme="minorHAnsi"/>
                <w:sz w:val="18"/>
                <w:szCs w:val="16"/>
              </w:rPr>
            </w:pPr>
            <w:r w:rsidRPr="008508DB">
              <w:rPr>
                <w:rFonts w:asciiTheme="minorHAnsi" w:hAnsiTheme="minorHAnsi" w:cstheme="minorHAnsi"/>
                <w:b/>
                <w:sz w:val="18"/>
                <w:szCs w:val="16"/>
              </w:rPr>
              <w:t>Levy, tax or minimum charge</w:t>
            </w:r>
            <w:r w:rsidRPr="008508DB">
              <w:rPr>
                <w:rFonts w:asciiTheme="minorHAnsi" w:hAnsiTheme="minorHAnsi" w:cstheme="minorHAnsi"/>
                <w:sz w:val="18"/>
                <w:szCs w:val="16"/>
              </w:rPr>
              <w:br/>
            </w:r>
            <w:r w:rsidRPr="008508DB">
              <w:rPr>
                <w:rFonts w:asciiTheme="minorHAnsi" w:hAnsiTheme="minorHAnsi" w:cstheme="minorHAnsi"/>
                <w:sz w:val="18"/>
                <w:szCs w:val="22"/>
                <w:lang w:val="en-NZ" w:eastAsia="en-NZ"/>
              </w:rPr>
              <w:t>2A – Levy at point of sale, collected by central government</w:t>
            </w:r>
          </w:p>
        </w:tc>
        <w:tc>
          <w:tcPr>
            <w:tcW w:w="3402" w:type="dxa"/>
            <w:shd w:val="clear" w:color="auto" w:fill="auto"/>
          </w:tcPr>
          <w:p w14:paraId="3FFBF523" w14:textId="77777777" w:rsidR="00287A95" w:rsidRPr="008508DB" w:rsidRDefault="00287A95" w:rsidP="00287A95">
            <w:pPr>
              <w:pStyle w:val="TableText0"/>
              <w:rPr>
                <w:rFonts w:asciiTheme="minorHAnsi" w:hAnsiTheme="minorHAnsi" w:cstheme="minorHAnsi"/>
              </w:rPr>
            </w:pPr>
            <w:r w:rsidRPr="008508DB">
              <w:rPr>
                <w:rFonts w:asciiTheme="minorHAnsi" w:hAnsiTheme="minorHAnsi" w:cstheme="minorHAnsi"/>
              </w:rPr>
              <w:t xml:space="preserve">New legislation: amend the WMA </w:t>
            </w:r>
          </w:p>
        </w:tc>
      </w:tr>
      <w:tr w:rsidR="00287A95" w:rsidRPr="008508DB" w14:paraId="024BF92A" w14:textId="77777777" w:rsidTr="00287A95">
        <w:tc>
          <w:tcPr>
            <w:tcW w:w="4990" w:type="dxa"/>
            <w:shd w:val="clear" w:color="auto" w:fill="auto"/>
          </w:tcPr>
          <w:p w14:paraId="2CBCA577" w14:textId="77777777" w:rsidR="00287A95" w:rsidRPr="008508DB" w:rsidRDefault="00287A95" w:rsidP="00287A95">
            <w:pPr>
              <w:pStyle w:val="TableText0"/>
              <w:ind w:left="284"/>
              <w:rPr>
                <w:rFonts w:asciiTheme="minorHAnsi" w:hAnsiTheme="minorHAnsi" w:cstheme="minorHAnsi"/>
              </w:rPr>
            </w:pPr>
            <w:r w:rsidRPr="008508DB">
              <w:rPr>
                <w:rFonts w:asciiTheme="minorHAnsi" w:hAnsiTheme="minorHAnsi" w:cstheme="minorHAnsi"/>
              </w:rPr>
              <w:t>2B – Mandated minimum charge at point of sale, retained by retailers</w:t>
            </w:r>
          </w:p>
        </w:tc>
        <w:tc>
          <w:tcPr>
            <w:tcW w:w="3402" w:type="dxa"/>
            <w:shd w:val="clear" w:color="auto" w:fill="auto"/>
          </w:tcPr>
          <w:p w14:paraId="5C2493EE" w14:textId="77777777" w:rsidR="00287A95" w:rsidRPr="008508DB" w:rsidRDefault="00287A95" w:rsidP="00287A95">
            <w:pPr>
              <w:pStyle w:val="TableText0"/>
              <w:rPr>
                <w:rFonts w:asciiTheme="minorHAnsi" w:hAnsiTheme="minorHAnsi" w:cstheme="minorHAnsi"/>
              </w:rPr>
            </w:pPr>
            <w:r w:rsidRPr="008508DB">
              <w:rPr>
                <w:rFonts w:asciiTheme="minorHAnsi" w:hAnsiTheme="minorHAnsi" w:cstheme="minorHAnsi"/>
              </w:rPr>
              <w:t>New legislation: amend the WMA</w:t>
            </w:r>
          </w:p>
        </w:tc>
      </w:tr>
      <w:tr w:rsidR="00287A95" w:rsidRPr="008508DB" w14:paraId="201A089F" w14:textId="77777777" w:rsidTr="00287A95">
        <w:tc>
          <w:tcPr>
            <w:tcW w:w="4990" w:type="dxa"/>
            <w:shd w:val="clear" w:color="auto" w:fill="auto"/>
          </w:tcPr>
          <w:p w14:paraId="37A282B8" w14:textId="77777777" w:rsidR="00287A95" w:rsidRPr="008508DB" w:rsidRDefault="00287A95" w:rsidP="00287A95">
            <w:pPr>
              <w:pStyle w:val="TableText0"/>
              <w:ind w:left="284"/>
              <w:rPr>
                <w:rFonts w:asciiTheme="minorHAnsi" w:hAnsiTheme="minorHAnsi" w:cstheme="minorHAnsi"/>
              </w:rPr>
            </w:pPr>
            <w:r w:rsidRPr="008508DB">
              <w:rPr>
                <w:rFonts w:asciiTheme="minorHAnsi" w:hAnsiTheme="minorHAnsi" w:cstheme="minorHAnsi"/>
              </w:rPr>
              <w:t>2C – Levy or minimum charge at point of sale, set by local authorities</w:t>
            </w:r>
          </w:p>
        </w:tc>
        <w:tc>
          <w:tcPr>
            <w:tcW w:w="3402" w:type="dxa"/>
            <w:shd w:val="clear" w:color="auto" w:fill="auto"/>
          </w:tcPr>
          <w:p w14:paraId="707DAB1A" w14:textId="77777777" w:rsidR="00287A95" w:rsidRPr="008508DB" w:rsidRDefault="00287A95" w:rsidP="00287A95">
            <w:pPr>
              <w:pStyle w:val="TableText0"/>
              <w:rPr>
                <w:rFonts w:asciiTheme="minorHAnsi" w:hAnsiTheme="minorHAnsi" w:cstheme="minorHAnsi"/>
              </w:rPr>
            </w:pPr>
            <w:r w:rsidRPr="008508DB">
              <w:rPr>
                <w:rFonts w:asciiTheme="minorHAnsi" w:hAnsiTheme="minorHAnsi" w:cstheme="minorHAnsi"/>
              </w:rPr>
              <w:t xml:space="preserve">New legislation: amend the WMA or other </w:t>
            </w:r>
          </w:p>
        </w:tc>
      </w:tr>
      <w:tr w:rsidR="00287A95" w:rsidRPr="008508DB" w14:paraId="15EF9D98" w14:textId="77777777" w:rsidTr="00287A95">
        <w:tc>
          <w:tcPr>
            <w:tcW w:w="4990" w:type="dxa"/>
            <w:shd w:val="clear" w:color="auto" w:fill="auto"/>
          </w:tcPr>
          <w:p w14:paraId="21C97F20" w14:textId="77777777" w:rsidR="00287A95" w:rsidRPr="008508DB" w:rsidRDefault="00287A95" w:rsidP="00287A95">
            <w:pPr>
              <w:pStyle w:val="TableText0"/>
              <w:ind w:left="284"/>
              <w:rPr>
                <w:rFonts w:asciiTheme="minorHAnsi" w:hAnsiTheme="minorHAnsi" w:cstheme="minorHAnsi"/>
              </w:rPr>
            </w:pPr>
            <w:r w:rsidRPr="008508DB">
              <w:rPr>
                <w:rFonts w:asciiTheme="minorHAnsi" w:hAnsiTheme="minorHAnsi" w:cstheme="minorHAnsi"/>
              </w:rPr>
              <w:t>2D – Tax at point of entry into market (pre-consumer)</w:t>
            </w:r>
          </w:p>
        </w:tc>
        <w:tc>
          <w:tcPr>
            <w:tcW w:w="3402" w:type="dxa"/>
            <w:shd w:val="clear" w:color="auto" w:fill="auto"/>
          </w:tcPr>
          <w:p w14:paraId="4A1EAD6A" w14:textId="77777777" w:rsidR="00287A95" w:rsidRPr="008508DB" w:rsidRDefault="00287A95" w:rsidP="00287A95">
            <w:pPr>
              <w:pStyle w:val="TableText0"/>
              <w:rPr>
                <w:rFonts w:asciiTheme="minorHAnsi" w:hAnsiTheme="minorHAnsi" w:cstheme="minorHAnsi"/>
              </w:rPr>
            </w:pPr>
            <w:r w:rsidRPr="008508DB">
              <w:rPr>
                <w:rFonts w:asciiTheme="minorHAnsi" w:hAnsiTheme="minorHAnsi" w:cstheme="minorHAnsi"/>
              </w:rPr>
              <w:t>New legislation: amend the WMA or other</w:t>
            </w:r>
          </w:p>
        </w:tc>
      </w:tr>
      <w:tr w:rsidR="00287A95" w:rsidRPr="008508DB" w14:paraId="1FAE24A5" w14:textId="77777777" w:rsidTr="00287A95">
        <w:tc>
          <w:tcPr>
            <w:tcW w:w="4990" w:type="dxa"/>
            <w:shd w:val="clear" w:color="auto" w:fill="auto"/>
          </w:tcPr>
          <w:p w14:paraId="247D7AC8" w14:textId="77777777" w:rsidR="00287A95" w:rsidRPr="008508DB" w:rsidRDefault="00287A95" w:rsidP="00287A95">
            <w:pPr>
              <w:numPr>
                <w:ilvl w:val="0"/>
                <w:numId w:val="45"/>
              </w:numPr>
              <w:spacing w:before="60" w:after="60" w:line="240" w:lineRule="atLeast"/>
              <w:jc w:val="left"/>
              <w:rPr>
                <w:rFonts w:asciiTheme="minorHAnsi" w:hAnsiTheme="minorHAnsi" w:cstheme="minorHAnsi"/>
                <w:b/>
                <w:sz w:val="18"/>
                <w:szCs w:val="16"/>
              </w:rPr>
            </w:pPr>
            <w:r w:rsidRPr="008508DB">
              <w:rPr>
                <w:rFonts w:asciiTheme="minorHAnsi" w:hAnsiTheme="minorHAnsi" w:cstheme="minorHAnsi"/>
                <w:b/>
                <w:sz w:val="18"/>
                <w:szCs w:val="16"/>
              </w:rPr>
              <w:t>Deposit-refund system</w:t>
            </w:r>
          </w:p>
        </w:tc>
        <w:tc>
          <w:tcPr>
            <w:tcW w:w="3402" w:type="dxa"/>
            <w:shd w:val="clear" w:color="auto" w:fill="auto"/>
          </w:tcPr>
          <w:p w14:paraId="7CDC04B9" w14:textId="77777777" w:rsidR="00287A95" w:rsidRPr="008508DB" w:rsidRDefault="00287A95" w:rsidP="00287A95">
            <w:pPr>
              <w:pStyle w:val="TableText0"/>
              <w:rPr>
                <w:rFonts w:asciiTheme="minorHAnsi" w:hAnsiTheme="minorHAnsi" w:cstheme="minorHAnsi"/>
              </w:rPr>
            </w:pPr>
            <w:r w:rsidRPr="008508DB">
              <w:rPr>
                <w:rFonts w:asciiTheme="minorHAnsi" w:hAnsiTheme="minorHAnsi" w:cstheme="minorHAnsi"/>
              </w:rPr>
              <w:t>Regulations under WMA (s 23(1)(e))</w:t>
            </w:r>
            <w:r w:rsidRPr="008508DB">
              <w:rPr>
                <w:rFonts w:asciiTheme="minorHAnsi" w:hAnsiTheme="minorHAnsi" w:cstheme="minorHAnsi"/>
              </w:rPr>
              <w:tab/>
            </w:r>
          </w:p>
        </w:tc>
      </w:tr>
      <w:tr w:rsidR="00287A95" w:rsidRPr="008508DB" w14:paraId="3C4552DC" w14:textId="77777777" w:rsidTr="00287A95">
        <w:tc>
          <w:tcPr>
            <w:tcW w:w="4990" w:type="dxa"/>
          </w:tcPr>
          <w:p w14:paraId="76C09618" w14:textId="77777777" w:rsidR="00287A95" w:rsidRPr="008508DB" w:rsidRDefault="00287A95" w:rsidP="00287A95">
            <w:pPr>
              <w:numPr>
                <w:ilvl w:val="0"/>
                <w:numId w:val="45"/>
              </w:numPr>
              <w:spacing w:before="60" w:after="60" w:line="240" w:lineRule="atLeast"/>
              <w:jc w:val="left"/>
              <w:rPr>
                <w:rFonts w:asciiTheme="minorHAnsi" w:hAnsiTheme="minorHAnsi" w:cstheme="minorHAnsi"/>
                <w:sz w:val="18"/>
                <w:szCs w:val="16"/>
              </w:rPr>
            </w:pPr>
            <w:r w:rsidRPr="008508DB">
              <w:rPr>
                <w:rFonts w:asciiTheme="minorHAnsi" w:hAnsiTheme="minorHAnsi" w:cstheme="minorHAnsi"/>
                <w:b/>
                <w:sz w:val="18"/>
                <w:szCs w:val="16"/>
              </w:rPr>
              <w:t>Formal agreement</w:t>
            </w:r>
            <w:r w:rsidRPr="008508DB">
              <w:rPr>
                <w:rFonts w:asciiTheme="minorHAnsi" w:hAnsiTheme="minorHAnsi" w:cstheme="minorHAnsi"/>
                <w:sz w:val="18"/>
                <w:szCs w:val="16"/>
              </w:rPr>
              <w:t xml:space="preserve"> between industry and Government</w:t>
            </w:r>
          </w:p>
        </w:tc>
        <w:tc>
          <w:tcPr>
            <w:tcW w:w="3402" w:type="dxa"/>
          </w:tcPr>
          <w:p w14:paraId="554B13D9" w14:textId="77777777" w:rsidR="00287A95" w:rsidRPr="008508DB" w:rsidRDefault="00287A95" w:rsidP="00287A95">
            <w:pPr>
              <w:pStyle w:val="TableText0"/>
              <w:rPr>
                <w:rFonts w:asciiTheme="minorHAnsi" w:hAnsiTheme="minorHAnsi" w:cstheme="minorHAnsi"/>
              </w:rPr>
            </w:pPr>
            <w:r w:rsidRPr="008508DB">
              <w:rPr>
                <w:rFonts w:asciiTheme="minorHAnsi" w:hAnsiTheme="minorHAnsi" w:cstheme="minorHAnsi"/>
              </w:rPr>
              <w:t>Non-regulatory</w:t>
            </w:r>
            <w:r w:rsidRPr="008508DB">
              <w:rPr>
                <w:rFonts w:asciiTheme="minorHAnsi" w:hAnsiTheme="minorHAnsi" w:cstheme="minorHAnsi"/>
              </w:rPr>
              <w:tab/>
            </w:r>
          </w:p>
        </w:tc>
      </w:tr>
      <w:tr w:rsidR="00287A95" w:rsidRPr="008508DB" w14:paraId="63311BA5" w14:textId="77777777" w:rsidTr="00287A95">
        <w:tc>
          <w:tcPr>
            <w:tcW w:w="4990" w:type="dxa"/>
          </w:tcPr>
          <w:p w14:paraId="4A889265" w14:textId="77777777" w:rsidR="00287A95" w:rsidRPr="008508DB" w:rsidRDefault="00287A95" w:rsidP="00287A95">
            <w:pPr>
              <w:numPr>
                <w:ilvl w:val="0"/>
                <w:numId w:val="45"/>
              </w:numPr>
              <w:spacing w:after="60" w:line="240" w:lineRule="atLeast"/>
              <w:jc w:val="left"/>
              <w:rPr>
                <w:rFonts w:asciiTheme="minorHAnsi" w:hAnsiTheme="minorHAnsi" w:cstheme="minorHAnsi"/>
                <w:b/>
                <w:sz w:val="18"/>
                <w:szCs w:val="16"/>
              </w:rPr>
            </w:pPr>
            <w:r w:rsidRPr="008508DB">
              <w:rPr>
                <w:rFonts w:asciiTheme="minorHAnsi" w:hAnsiTheme="minorHAnsi" w:cstheme="minorHAnsi"/>
                <w:b/>
                <w:sz w:val="18"/>
                <w:szCs w:val="16"/>
              </w:rPr>
              <w:t>Mandatory product stewardship</w:t>
            </w:r>
          </w:p>
        </w:tc>
        <w:tc>
          <w:tcPr>
            <w:tcW w:w="3402" w:type="dxa"/>
          </w:tcPr>
          <w:p w14:paraId="746509AD" w14:textId="77777777" w:rsidR="00287A95" w:rsidRPr="008508DB" w:rsidRDefault="00287A95" w:rsidP="00287A95">
            <w:pPr>
              <w:pStyle w:val="TableText0"/>
              <w:rPr>
                <w:rFonts w:asciiTheme="minorHAnsi" w:hAnsiTheme="minorHAnsi" w:cstheme="minorHAnsi"/>
              </w:rPr>
            </w:pPr>
            <w:r w:rsidRPr="008508DB">
              <w:rPr>
                <w:rFonts w:asciiTheme="minorHAnsi" w:hAnsiTheme="minorHAnsi" w:cstheme="minorHAnsi"/>
                <w:i/>
              </w:rPr>
              <w:t>Gazette</w:t>
            </w:r>
            <w:r w:rsidRPr="008508DB">
              <w:rPr>
                <w:rFonts w:asciiTheme="minorHAnsi" w:hAnsiTheme="minorHAnsi" w:cstheme="minorHAnsi"/>
              </w:rPr>
              <w:t xml:space="preserve"> notice under WMA (</w:t>
            </w:r>
            <w:proofErr w:type="spellStart"/>
            <w:r w:rsidRPr="008508DB">
              <w:rPr>
                <w:rFonts w:asciiTheme="minorHAnsi" w:hAnsiTheme="minorHAnsi" w:cstheme="minorHAnsi"/>
              </w:rPr>
              <w:t>ss</w:t>
            </w:r>
            <w:proofErr w:type="spellEnd"/>
            <w:r w:rsidRPr="008508DB">
              <w:rPr>
                <w:rFonts w:asciiTheme="minorHAnsi" w:hAnsiTheme="minorHAnsi" w:cstheme="minorHAnsi"/>
              </w:rPr>
              <w:t xml:space="preserve"> 9 and 12), and regulations under WMA </w:t>
            </w:r>
          </w:p>
        </w:tc>
      </w:tr>
      <w:tr w:rsidR="00287A95" w:rsidRPr="008508DB" w14:paraId="37D2B161" w14:textId="77777777" w:rsidTr="00287A95">
        <w:tc>
          <w:tcPr>
            <w:tcW w:w="4990" w:type="dxa"/>
          </w:tcPr>
          <w:p w14:paraId="6DFE750F" w14:textId="77777777" w:rsidR="00287A95" w:rsidRPr="008508DB" w:rsidRDefault="00287A95" w:rsidP="00287A95">
            <w:pPr>
              <w:numPr>
                <w:ilvl w:val="0"/>
                <w:numId w:val="45"/>
              </w:numPr>
              <w:spacing w:before="60" w:after="60" w:line="240" w:lineRule="atLeast"/>
              <w:jc w:val="left"/>
              <w:rPr>
                <w:rFonts w:asciiTheme="minorHAnsi" w:hAnsiTheme="minorHAnsi" w:cstheme="minorHAnsi"/>
                <w:b/>
                <w:sz w:val="18"/>
                <w:szCs w:val="16"/>
              </w:rPr>
            </w:pPr>
            <w:r w:rsidRPr="008508DB">
              <w:rPr>
                <w:rFonts w:asciiTheme="minorHAnsi" w:hAnsiTheme="minorHAnsi" w:cstheme="minorHAnsi"/>
                <w:b/>
                <w:sz w:val="18"/>
                <w:szCs w:val="16"/>
              </w:rPr>
              <w:t xml:space="preserve">Ad hoc voluntary action </w:t>
            </w:r>
            <w:r w:rsidRPr="008508DB">
              <w:rPr>
                <w:rFonts w:asciiTheme="minorHAnsi" w:hAnsiTheme="minorHAnsi" w:cstheme="minorHAnsi"/>
                <w:sz w:val="18"/>
                <w:szCs w:val="16"/>
              </w:rPr>
              <w:t>(</w:t>
            </w:r>
            <w:r w:rsidRPr="008508DB">
              <w:rPr>
                <w:rFonts w:asciiTheme="minorHAnsi" w:hAnsiTheme="minorHAnsi" w:cstheme="minorHAnsi"/>
                <w:i/>
                <w:sz w:val="18"/>
                <w:szCs w:val="16"/>
              </w:rPr>
              <w:t>status quo</w:t>
            </w:r>
            <w:r w:rsidRPr="008508DB">
              <w:rPr>
                <w:rFonts w:asciiTheme="minorHAnsi" w:hAnsiTheme="minorHAnsi" w:cstheme="minorHAnsi"/>
                <w:sz w:val="18"/>
                <w:szCs w:val="16"/>
              </w:rPr>
              <w:t>)</w:t>
            </w:r>
          </w:p>
        </w:tc>
        <w:tc>
          <w:tcPr>
            <w:tcW w:w="3402" w:type="dxa"/>
          </w:tcPr>
          <w:p w14:paraId="55DDC4C6" w14:textId="77777777" w:rsidR="00287A95" w:rsidRPr="008508DB" w:rsidRDefault="00287A95" w:rsidP="00287A95">
            <w:pPr>
              <w:pStyle w:val="TableText0"/>
              <w:rPr>
                <w:rFonts w:asciiTheme="minorHAnsi" w:hAnsiTheme="minorHAnsi" w:cstheme="minorHAnsi"/>
              </w:rPr>
            </w:pPr>
            <w:r w:rsidRPr="008508DB">
              <w:rPr>
                <w:rFonts w:asciiTheme="minorHAnsi" w:hAnsiTheme="minorHAnsi" w:cstheme="minorHAnsi"/>
              </w:rPr>
              <w:t>Non-regulatory</w:t>
            </w:r>
            <w:r w:rsidRPr="008508DB">
              <w:rPr>
                <w:rFonts w:asciiTheme="minorHAnsi" w:hAnsiTheme="minorHAnsi" w:cstheme="minorHAnsi"/>
              </w:rPr>
              <w:tab/>
            </w:r>
          </w:p>
        </w:tc>
      </w:tr>
    </w:tbl>
    <w:p w14:paraId="6BF9E0F6" w14:textId="38EF9FE0" w:rsidR="00B368AC" w:rsidRDefault="00287A95" w:rsidP="00F553D7">
      <w:pPr>
        <w:pStyle w:val="Note"/>
      </w:pPr>
      <w:r w:rsidRPr="00300F1A">
        <w:t>Note:</w:t>
      </w:r>
      <w:r w:rsidRPr="00120295">
        <w:t xml:space="preserve"> s = section; </w:t>
      </w:r>
      <w:proofErr w:type="spellStart"/>
      <w:r w:rsidRPr="00120295">
        <w:t>ss</w:t>
      </w:r>
      <w:proofErr w:type="spellEnd"/>
      <w:r w:rsidRPr="00120295">
        <w:t xml:space="preserve"> = sections; WMA = Waste Minimi</w:t>
      </w:r>
      <w:r w:rsidR="00F553D7">
        <w:t>sation Act 2008.</w:t>
      </w:r>
    </w:p>
    <w:sectPr w:rsidR="00B368AC" w:rsidSect="00B7069A">
      <w:type w:val="continuous"/>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1D11" w14:textId="77777777" w:rsidR="0057663B" w:rsidRDefault="0057663B" w:rsidP="007B771C">
      <w:pPr>
        <w:spacing w:after="0" w:line="240" w:lineRule="auto"/>
      </w:pPr>
      <w:r>
        <w:separator/>
      </w:r>
    </w:p>
  </w:endnote>
  <w:endnote w:type="continuationSeparator" w:id="0">
    <w:p w14:paraId="62BFB554" w14:textId="77777777" w:rsidR="0057663B" w:rsidRDefault="0057663B" w:rsidP="007B771C">
      <w:pPr>
        <w:spacing w:after="0" w:line="240" w:lineRule="auto"/>
      </w:pPr>
      <w:r>
        <w:continuationSeparator/>
      </w:r>
    </w:p>
  </w:endnote>
  <w:endnote w:id="1">
    <w:p w14:paraId="4EF05434" w14:textId="77777777" w:rsidR="00C820BC" w:rsidRDefault="00C820BC" w:rsidP="00B7069A">
      <w:pPr>
        <w:pStyle w:val="EndnoteText"/>
        <w:rPr>
          <w:lang w:val="en-NZ"/>
        </w:rPr>
      </w:pPr>
      <w:r>
        <w:rPr>
          <w:rStyle w:val="EndnoteReference"/>
        </w:rPr>
        <w:endnoteRef/>
      </w:r>
      <w:r>
        <w:t xml:space="preserve"> </w:t>
      </w:r>
      <w:r>
        <w:rPr>
          <w:lang w:val="en-NZ"/>
        </w:rPr>
        <w:t>As single-use plastic shopping bags are generally provided for free at present, retailers will not incur any direct cost but will no longer receive a benefit (being able to provide a service for customers) for bags they have already paid for. We understand small retailers may buy bags in bulk to receive better prices so may have a considerable number of bags in reserve. This would be a one-off impact.</w:t>
      </w:r>
    </w:p>
  </w:endnote>
  <w:endnote w:id="2">
    <w:p w14:paraId="74DB28A7" w14:textId="77777777" w:rsidR="00C820BC" w:rsidRDefault="00C820BC" w:rsidP="00B7069A">
      <w:pPr>
        <w:pStyle w:val="EndnoteText"/>
        <w:rPr>
          <w:lang w:val="en-NZ"/>
        </w:rPr>
      </w:pPr>
      <w:r>
        <w:rPr>
          <w:rStyle w:val="EndnoteReference"/>
        </w:rPr>
        <w:endnoteRef/>
      </w:r>
      <w:r>
        <w:t xml:space="preserve"> </w:t>
      </w:r>
      <w:r>
        <w:rPr>
          <w:lang w:val="en-NZ"/>
        </w:rPr>
        <w:t>We received some submissions on this topic, including one large retailer that has already phased out single-use plastic shopping bags and submitted the cost to change store configuration was $500,000 across its New Zealand and Australian operations. Two submissions drew attention to the potential for additional store thefts where customers are bringing their own bags.</w:t>
      </w:r>
    </w:p>
  </w:endnote>
  <w:endnote w:id="3">
    <w:p w14:paraId="16B37FBD" w14:textId="378E9788" w:rsidR="00C820BC" w:rsidRDefault="00C820BC" w:rsidP="00B7069A">
      <w:pPr>
        <w:pStyle w:val="EndnoteText"/>
        <w:rPr>
          <w:lang w:val="en-NZ"/>
        </w:rPr>
      </w:pPr>
      <w:r>
        <w:rPr>
          <w:rStyle w:val="EndnoteReference"/>
        </w:rPr>
        <w:endnoteRef/>
      </w:r>
      <w:r>
        <w:t xml:space="preserve"> This estimate is an annual figure and is based on the submission of one anonymous company. The company is a supplier of plastic shopping bags, and </w:t>
      </w:r>
      <w:r>
        <w:rPr>
          <w:lang w:val="en-NZ"/>
        </w:rPr>
        <w:t>has advised that imported single-use plastic shopping bags currently comprise some 25 per cent of its annual business turnover (around $100,000). In contrast another manufacturer that imports these bags does so to offer a full product range in their catalogue and notes it is a small and easily phased out share of their business turnover. In total, five businesses submitted there was potential for their business to suffer a loss of sales as a result of the phase out. The figure provided by a single company is conservatively extrapolated to the other companies. In addition, there is potential for one-off losses if any import orders cannot be cancelled before the regulations take effect (</w:t>
      </w:r>
      <w:proofErr w:type="spellStart"/>
      <w:r>
        <w:rPr>
          <w:lang w:val="en-NZ"/>
        </w:rPr>
        <w:t>ie</w:t>
      </w:r>
      <w:proofErr w:type="spellEnd"/>
      <w:r>
        <w:rPr>
          <w:lang w:val="en-NZ"/>
        </w:rPr>
        <w:t>, if a product is purchased that can no longer be sold). A longer period before the commencement date would mitigate this.</w:t>
      </w:r>
    </w:p>
  </w:endnote>
  <w:endnote w:id="4">
    <w:p w14:paraId="7F382CE1" w14:textId="77777777" w:rsidR="00C820BC" w:rsidRDefault="00C820BC" w:rsidP="00B7069A">
      <w:pPr>
        <w:pStyle w:val="EndnoteText"/>
        <w:rPr>
          <w:lang w:val="en-NZ"/>
        </w:rPr>
      </w:pPr>
      <w:r>
        <w:rPr>
          <w:rStyle w:val="EndnoteReference"/>
        </w:rPr>
        <w:endnoteRef/>
      </w:r>
      <w:r>
        <w:t xml:space="preserve"> </w:t>
      </w:r>
      <w:r>
        <w:rPr>
          <w:lang w:val="en-NZ"/>
        </w:rPr>
        <w:t xml:space="preserve">It is hard to predict ongoing impacts on business operations, as it depends whether existing customers continue to source multi-use bags from importers (a potential increase in business), or turn to other suppliers (a potential loss of business). </w:t>
      </w:r>
    </w:p>
  </w:endnote>
  <w:endnote w:id="5">
    <w:p w14:paraId="291EAEEC" w14:textId="77777777" w:rsidR="00C820BC" w:rsidRDefault="00C820BC" w:rsidP="00B7069A">
      <w:pPr>
        <w:pStyle w:val="EndnoteText"/>
        <w:rPr>
          <w:lang w:val="en-NZ"/>
        </w:rPr>
      </w:pPr>
      <w:r>
        <w:rPr>
          <w:rStyle w:val="EndnoteReference"/>
        </w:rPr>
        <w:endnoteRef/>
      </w:r>
      <w:r>
        <w:t xml:space="preserve"> </w:t>
      </w:r>
      <w:r>
        <w:rPr>
          <w:lang w:val="en-NZ"/>
        </w:rPr>
        <w:t xml:space="preserve">Reusable bags above 70 microns in thickness are available for as low as $1 each (with an upper price for $10-$20 depending on materials and style). </w:t>
      </w:r>
    </w:p>
  </w:endnote>
  <w:endnote w:id="6">
    <w:p w14:paraId="19295EE4" w14:textId="187D0F32" w:rsidR="00C820BC" w:rsidRDefault="00C820BC" w:rsidP="00B7069A">
      <w:pPr>
        <w:pStyle w:val="EndnoteText"/>
        <w:rPr>
          <w:lang w:val="en-NZ"/>
        </w:rPr>
      </w:pPr>
      <w:r>
        <w:rPr>
          <w:rStyle w:val="EndnoteReference"/>
        </w:rPr>
        <w:endnoteRef/>
      </w:r>
      <w:r>
        <w:t xml:space="preserve"> </w:t>
      </w:r>
      <w:r>
        <w:rPr>
          <w:lang w:val="en-NZ"/>
        </w:rPr>
        <w:t>Some free options are available, for example, boxes, community-based schemes such as Boomerang Bags.</w:t>
      </w:r>
    </w:p>
  </w:endnote>
  <w:endnote w:id="7">
    <w:p w14:paraId="632A0B6C" w14:textId="6F648ACC" w:rsidR="00C820BC" w:rsidRDefault="00C820BC" w:rsidP="00B7069A">
      <w:pPr>
        <w:pStyle w:val="EndnoteText"/>
        <w:rPr>
          <w:lang w:val="en-NZ"/>
        </w:rPr>
      </w:pPr>
      <w:r>
        <w:rPr>
          <w:rStyle w:val="EndnoteReference"/>
        </w:rPr>
        <w:endnoteRef/>
      </w:r>
      <w:r>
        <w:t xml:space="preserve"> </w:t>
      </w:r>
      <w:r>
        <w:rPr>
          <w:lang w:val="en-NZ"/>
        </w:rPr>
        <w:t xml:space="preserve">Many submitters commented they have already adjusted to taking reusable bags. Media reports indicate </w:t>
      </w:r>
      <w:r>
        <w:rPr>
          <w:bCs/>
        </w:rPr>
        <w:t>that in the early stage of single-use plastic shopping bags being phased out at ten Countdown stores, sixty per cent of customers brought their own reusable bags with them (</w:t>
      </w:r>
      <w:r>
        <w:t>https://www.stuff.co.nz/business/104871241/almost-half-countdown-shoppers-forgetting-reusable-bags-at-plastic-bag-free-stores)</w:t>
      </w:r>
      <w:r>
        <w:rPr>
          <w:bCs/>
        </w:rPr>
        <w:t>. It could be expected that numbers bringing their own bag will increase over time, as people become used to the change.</w:t>
      </w:r>
    </w:p>
  </w:endnote>
  <w:endnote w:id="8">
    <w:p w14:paraId="5F0509B8" w14:textId="77777777" w:rsidR="00C820BC" w:rsidRDefault="00C820BC" w:rsidP="00B7069A">
      <w:pPr>
        <w:pStyle w:val="EndnoteText"/>
        <w:rPr>
          <w:lang w:val="en-NZ"/>
        </w:rPr>
      </w:pPr>
      <w:r>
        <w:rPr>
          <w:rStyle w:val="EndnoteReference"/>
        </w:rPr>
        <w:endnoteRef/>
      </w:r>
      <w:r>
        <w:t xml:space="preserve"> </w:t>
      </w:r>
      <w:r>
        <w:rPr>
          <w:lang w:val="en-NZ"/>
        </w:rPr>
        <w:t>Some supermarkets offer free replacements for their branded reusable bags, so an initial outlay of $10-$15 could be sufficient to cover present and future needs.</w:t>
      </w:r>
    </w:p>
  </w:endnote>
  <w:endnote w:id="9">
    <w:p w14:paraId="5F52CFBA" w14:textId="729EBCD4" w:rsidR="00C820BC" w:rsidRDefault="00C820BC" w:rsidP="00B7069A">
      <w:pPr>
        <w:pStyle w:val="EndnoteText"/>
        <w:rPr>
          <w:lang w:val="en-NZ"/>
        </w:rPr>
      </w:pPr>
      <w:r>
        <w:rPr>
          <w:rStyle w:val="EndnoteReference"/>
        </w:rPr>
        <w:endnoteRef/>
      </w:r>
      <w:r>
        <w:t xml:space="preserve"> </w:t>
      </w:r>
      <w:r>
        <w:rPr>
          <w:lang w:val="en-NZ"/>
        </w:rPr>
        <w:t>This is an annual figure for the first financial year (assuming $100,000 per FTE); costs in out-years are $50,000 per annum. This does not include any additional costs such as communications spending.</w:t>
      </w:r>
    </w:p>
  </w:endnote>
  <w:endnote w:id="10">
    <w:p w14:paraId="06F80464" w14:textId="77777777" w:rsidR="00C820BC" w:rsidRDefault="00C820BC" w:rsidP="00B7069A">
      <w:pPr>
        <w:pStyle w:val="EndnoteText"/>
        <w:rPr>
          <w:lang w:val="en-NZ"/>
        </w:rPr>
      </w:pPr>
      <w:r>
        <w:rPr>
          <w:rStyle w:val="EndnoteReference"/>
        </w:rPr>
        <w:endnoteRef/>
      </w:r>
      <w:r>
        <w:t xml:space="preserve"> </w:t>
      </w:r>
      <w:r>
        <w:rPr>
          <w:lang w:val="en-NZ"/>
        </w:rPr>
        <w:t xml:space="preserve">Based on import statistics. This cost is currently recouped from consumers within the price of their groceries or other retail purchases, rather than in direct charges in most cases. </w:t>
      </w:r>
    </w:p>
  </w:endnote>
  <w:endnote w:id="11">
    <w:p w14:paraId="73CD206E" w14:textId="77777777" w:rsidR="00C820BC" w:rsidRDefault="00C820BC" w:rsidP="00B7069A">
      <w:pPr>
        <w:pStyle w:val="EndnoteText"/>
        <w:rPr>
          <w:lang w:val="en-NZ"/>
        </w:rPr>
      </w:pPr>
      <w:r>
        <w:rPr>
          <w:rStyle w:val="EndnoteReference"/>
        </w:rPr>
        <w:endnoteRef/>
      </w:r>
      <w:r>
        <w:t xml:space="preserve"> </w:t>
      </w:r>
      <w:r>
        <w:rPr>
          <w:lang w:val="en-NZ"/>
        </w:rPr>
        <w:t>Certainty is medium rather than high because the import statistics do not provide information on number or weight of bags, just the total dollar value of imports; any local manufacturing (believed to be limited) is not included.</w:t>
      </w:r>
    </w:p>
  </w:endnote>
  <w:endnote w:id="12">
    <w:p w14:paraId="1F620D54" w14:textId="77777777" w:rsidR="00C820BC" w:rsidRDefault="00C820BC" w:rsidP="00B7069A">
      <w:pPr>
        <w:pStyle w:val="EndnoteText"/>
        <w:rPr>
          <w:lang w:val="en-NZ"/>
        </w:rPr>
      </w:pPr>
      <w:r>
        <w:rPr>
          <w:rStyle w:val="EndnoteReference"/>
        </w:rPr>
        <w:endnoteRef/>
      </w:r>
      <w:r>
        <w:t xml:space="preserve"> </w:t>
      </w:r>
      <w:r>
        <w:rPr>
          <w:lang w:val="en-NZ"/>
        </w:rPr>
        <w:t>Retail prices of reusable bags range from $1 to $10 or more. Such bags are likely to be only a small component of any given retailer’s sales. Some retailers may choose to provide the bags effectively at cost, while others may make a profit.</w:t>
      </w:r>
    </w:p>
  </w:endnote>
  <w:endnote w:id="13">
    <w:p w14:paraId="0FA6229D" w14:textId="77777777" w:rsidR="00C820BC" w:rsidRDefault="00C820BC" w:rsidP="00B7069A">
      <w:pPr>
        <w:pStyle w:val="EndnoteText"/>
        <w:rPr>
          <w:lang w:val="en-NZ"/>
        </w:rPr>
      </w:pPr>
      <w:r>
        <w:rPr>
          <w:rStyle w:val="EndnoteReference"/>
        </w:rPr>
        <w:endnoteRef/>
      </w:r>
      <w:r>
        <w:t xml:space="preserve"> </w:t>
      </w:r>
      <w:r>
        <w:rPr>
          <w:lang w:val="en-NZ"/>
        </w:rPr>
        <w:t>Local government submitters outlined their view that this would be a benefit but this is based on predictions rather than data. Local government has good information on current problems they experience with plastic bags.</w:t>
      </w:r>
    </w:p>
  </w:endnote>
  <w:endnote w:id="14">
    <w:p w14:paraId="738AA55E" w14:textId="77777777" w:rsidR="00C820BC" w:rsidRDefault="00C820BC" w:rsidP="00B7069A">
      <w:pPr>
        <w:pStyle w:val="EndnoteText"/>
        <w:rPr>
          <w:lang w:val="en-NZ"/>
        </w:rPr>
      </w:pPr>
      <w:r>
        <w:rPr>
          <w:rStyle w:val="EndnoteReference"/>
        </w:rPr>
        <w:endnoteRef/>
      </w:r>
      <w:r>
        <w:t xml:space="preserve"> </w:t>
      </w:r>
      <w:r>
        <w:rPr>
          <w:lang w:val="en-NZ"/>
        </w:rPr>
        <w:t xml:space="preserve">Submissions from importers noted they couldn’t predict whether existing customers would want to be supplied with multi-use bags, or would turn to alternative suppliers.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7C76" w14:textId="04E7E557" w:rsidR="00C820BC" w:rsidRPr="00FA7EFC" w:rsidRDefault="00C820BC" w:rsidP="00C005D1">
    <w:pPr>
      <w:pStyle w:val="Footer"/>
    </w:pPr>
    <w:r>
      <w:t xml:space="preserve">  </w:t>
    </w:r>
    <w:r w:rsidRPr="00C005D1">
      <w:rPr>
        <w:b/>
      </w:rPr>
      <w:t>Regulatory Impact Assessment</w:t>
    </w:r>
    <w:r>
      <w:rPr>
        <w:b/>
      </w:rPr>
      <w:t xml:space="preserve"> </w:t>
    </w:r>
    <w:r w:rsidRPr="00C005D1">
      <w:t>Phasing out single-use plastic shopping bags</w:t>
    </w:r>
    <w:r>
      <w:t xml:space="preserve">   </w:t>
    </w:r>
    <w:r w:rsidRPr="00FA7EFC">
      <w:t xml:space="preserve">|   </w:t>
    </w:r>
    <w:r w:rsidRPr="00FA7EFC">
      <w:fldChar w:fldCharType="begin"/>
    </w:r>
    <w:r w:rsidRPr="00FA7EFC">
      <w:instrText xml:space="preserve"> PAGE </w:instrText>
    </w:r>
    <w:r w:rsidRPr="00FA7EFC">
      <w:fldChar w:fldCharType="separate"/>
    </w:r>
    <w:r w:rsidR="00F16E57">
      <w:t>31</w:t>
    </w:r>
    <w:r w:rsidRPr="00FA7EF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2DFF4" w14:textId="77777777" w:rsidR="0057663B" w:rsidRDefault="0057663B" w:rsidP="007B771C">
      <w:pPr>
        <w:spacing w:after="0" w:line="240" w:lineRule="auto"/>
      </w:pPr>
      <w:r>
        <w:separator/>
      </w:r>
    </w:p>
  </w:footnote>
  <w:footnote w:type="continuationSeparator" w:id="0">
    <w:p w14:paraId="2F15FFB2" w14:textId="77777777" w:rsidR="0057663B" w:rsidRDefault="0057663B" w:rsidP="007B771C">
      <w:pPr>
        <w:spacing w:after="0" w:line="240" w:lineRule="auto"/>
      </w:pPr>
      <w:r>
        <w:continuationSeparator/>
      </w:r>
    </w:p>
  </w:footnote>
  <w:footnote w:id="1">
    <w:p w14:paraId="76266075" w14:textId="77777777" w:rsidR="00C820BC" w:rsidRPr="004F61FE" w:rsidRDefault="00C820BC" w:rsidP="00E4249A">
      <w:pPr>
        <w:pStyle w:val="FootnoteText"/>
        <w:rPr>
          <w:lang w:val="en-NZ"/>
        </w:rPr>
      </w:pPr>
      <w:r>
        <w:rPr>
          <w:rStyle w:val="FootnoteReference"/>
        </w:rPr>
        <w:footnoteRef/>
      </w:r>
      <w:r>
        <w:t xml:space="preserve"> </w:t>
      </w:r>
      <w:r>
        <w:rPr>
          <w:lang w:val="en-NZ"/>
        </w:rPr>
        <w:t xml:space="preserve">Set out in further detail in the public consultation document </w:t>
      </w:r>
      <w:hyperlink r:id="rId1" w:history="1">
        <w:r w:rsidRPr="00A5227E">
          <w:rPr>
            <w:rStyle w:val="Hyperlink"/>
            <w:lang w:val="en-NZ"/>
          </w:rPr>
          <w:t>www.mfe.govt.nz/node/24338</w:t>
        </w:r>
      </w:hyperlink>
    </w:p>
  </w:footnote>
  <w:footnote w:id="2">
    <w:p w14:paraId="73571E61" w14:textId="26CFDCC8" w:rsidR="00C820BC" w:rsidRPr="0078148E" w:rsidRDefault="00C820BC" w:rsidP="00745E52">
      <w:pPr>
        <w:pStyle w:val="FootnoteText"/>
        <w:ind w:left="0" w:firstLine="0"/>
        <w:rPr>
          <w:lang w:val="mi-NZ"/>
        </w:rPr>
      </w:pPr>
      <w:r w:rsidRPr="008A06E6">
        <w:rPr>
          <w:sz w:val="22"/>
          <w:vertAlign w:val="superscript"/>
        </w:rPr>
        <w:footnoteRef/>
      </w:r>
      <w:r>
        <w:t xml:space="preserve"> In some jurisdictions with bag control measures the term ‘carrier </w:t>
      </w:r>
      <w:r w:rsidRPr="007735A9">
        <w:t>bag</w:t>
      </w:r>
      <w:r>
        <w:t>s’ refers to shopping bags, and</w:t>
      </w:r>
      <w:r w:rsidRPr="00727ABA">
        <w:t xml:space="preserve"> </w:t>
      </w:r>
      <w:r>
        <w:t>the retail trade uses the term ‘singlet bag’ for bags with integrated handles</w:t>
      </w:r>
      <w:r w:rsidRPr="007735A9">
        <w:t>.</w:t>
      </w:r>
    </w:p>
  </w:footnote>
  <w:footnote w:id="3">
    <w:p w14:paraId="2CE4F487" w14:textId="0D669E88" w:rsidR="00C820BC" w:rsidRPr="009274CD" w:rsidRDefault="00C820BC" w:rsidP="009274CD">
      <w:pPr>
        <w:autoSpaceDE w:val="0"/>
        <w:autoSpaceDN w:val="0"/>
        <w:adjustRightInd w:val="0"/>
        <w:spacing w:after="0" w:line="240" w:lineRule="auto"/>
        <w:rPr>
          <w:lang w:val="en-NZ"/>
        </w:rPr>
      </w:pPr>
      <w:r>
        <w:rPr>
          <w:rStyle w:val="FootnoteReference"/>
        </w:rPr>
        <w:footnoteRef/>
      </w:r>
      <w:r>
        <w:t xml:space="preserve"> </w:t>
      </w:r>
      <w:r w:rsidRPr="009274CD">
        <w:rPr>
          <w:sz w:val="18"/>
          <w:lang w:val="en-NZ"/>
        </w:rPr>
        <w:t>We do not have New Zealand data</w:t>
      </w:r>
      <w:r>
        <w:rPr>
          <w:sz w:val="18"/>
          <w:lang w:val="en-NZ"/>
        </w:rPr>
        <w:t>. A</w:t>
      </w:r>
      <w:r w:rsidRPr="00B8585A">
        <w:rPr>
          <w:sz w:val="18"/>
          <w:lang w:val="en-NZ"/>
        </w:rPr>
        <w:t xml:space="preserve">n Australian </w:t>
      </w:r>
      <w:r>
        <w:rPr>
          <w:sz w:val="18"/>
          <w:lang w:val="en-NZ"/>
        </w:rPr>
        <w:t xml:space="preserve">study reported a </w:t>
      </w:r>
      <w:r w:rsidRPr="00B8585A">
        <w:rPr>
          <w:sz w:val="18"/>
          <w:lang w:val="en-NZ"/>
        </w:rPr>
        <w:t>supermarket sector estimate</w:t>
      </w:r>
      <w:r w:rsidRPr="009274CD">
        <w:rPr>
          <w:sz w:val="18"/>
          <w:lang w:val="en-NZ"/>
        </w:rPr>
        <w:t xml:space="preserve"> that the use of reusable bags will increase transaction time by 5 seconds per transaction, which could result in additional costs of $82 million annually to</w:t>
      </w:r>
      <w:r>
        <w:rPr>
          <w:sz w:val="18"/>
          <w:lang w:val="en-NZ"/>
        </w:rPr>
        <w:t xml:space="preserve"> </w:t>
      </w:r>
      <w:r w:rsidRPr="00B8585A">
        <w:rPr>
          <w:sz w:val="18"/>
          <w:lang w:val="en-NZ"/>
        </w:rPr>
        <w:t>consumers</w:t>
      </w:r>
      <w:r>
        <w:rPr>
          <w:sz w:val="18"/>
          <w:lang w:val="en-NZ"/>
        </w:rPr>
        <w:t xml:space="preserve"> nationwide. (</w:t>
      </w:r>
      <w:r w:rsidRPr="009274CD">
        <w:rPr>
          <w:sz w:val="18"/>
          <w:lang w:val="en-NZ"/>
        </w:rPr>
        <w:t>NOLAN-ITU Pty Ltd 2002)</w:t>
      </w:r>
      <w:r>
        <w:rPr>
          <w:sz w:val="18"/>
          <w:lang w:val="en-NZ"/>
        </w:rPr>
        <w:t xml:space="preserve">. </w:t>
      </w:r>
    </w:p>
  </w:footnote>
  <w:footnote w:id="4">
    <w:p w14:paraId="6685B91B" w14:textId="5776D327" w:rsidR="00C820BC" w:rsidRPr="0072533B" w:rsidRDefault="00C820BC" w:rsidP="00745E52">
      <w:pPr>
        <w:pStyle w:val="FootnoteText"/>
        <w:ind w:left="0" w:firstLine="0"/>
        <w:rPr>
          <w:lang w:val="en-NZ"/>
        </w:rPr>
      </w:pPr>
      <w:r>
        <w:rPr>
          <w:rStyle w:val="FootnoteReference"/>
        </w:rPr>
        <w:footnoteRef/>
      </w:r>
      <w:r>
        <w:t xml:space="preserve"> </w:t>
      </w:r>
      <w:r w:rsidRPr="005313D4">
        <w:rPr>
          <w:lang w:val="en-NZ"/>
        </w:rPr>
        <w:t>For example, o</w:t>
      </w:r>
      <w:r>
        <w:rPr>
          <w:lang w:val="en-NZ"/>
        </w:rPr>
        <w:t>ne such supplier who wished to remain anonymous has advised that imported single-use plastic shopping bags comprise some 25 per cent of their business turnover. In contrast another manufacturer that imports bags does so to offer a full product range in their catalogue and it is a small and easily phased out share of their business turnover. In total, five businesses submitted there was potential for their business to suffer a loss of sales as a result of the phase out.</w:t>
      </w:r>
    </w:p>
  </w:footnote>
  <w:footnote w:id="5">
    <w:p w14:paraId="6FC77D0F" w14:textId="6E75AABE" w:rsidR="00C820BC" w:rsidRPr="00FE4A7F" w:rsidRDefault="00C820BC" w:rsidP="00FE4A7F">
      <w:pPr>
        <w:pStyle w:val="FootnoteText"/>
        <w:ind w:left="0" w:firstLine="0"/>
        <w:rPr>
          <w:lang w:val="en-NZ"/>
        </w:rPr>
      </w:pPr>
      <w:r>
        <w:rPr>
          <w:rStyle w:val="FootnoteReference"/>
        </w:rPr>
        <w:footnoteRef/>
      </w:r>
      <w:r>
        <w:t xml:space="preserve"> </w:t>
      </w:r>
      <w:r w:rsidRPr="00FE4A7F">
        <w:t>‘Ecosystem services’ are the benefits people obtain from ecosystems. Ecosystems are widely considered to provide four categories of services: supporting (e.g. nutrient cycling, soil formation and primary production); provisioning (e.g. food, fresh water, wood, fibre and fuel); regulating (e.g. climate regulation, flood and disease regulation, and water purification); and cultural (aesthetic, spiritual, educational and recreational). (</w:t>
      </w:r>
      <w:r w:rsidRPr="00FE4A7F">
        <w:rPr>
          <w:lang w:val="en-NZ"/>
        </w:rPr>
        <w:t xml:space="preserve">Roberts, L.; Brower, A.; Kerr, G.; Lambert, S.; </w:t>
      </w:r>
      <w:proofErr w:type="spellStart"/>
      <w:r w:rsidRPr="00FE4A7F">
        <w:rPr>
          <w:lang w:val="en-NZ"/>
        </w:rPr>
        <w:t>McWilliam</w:t>
      </w:r>
      <w:proofErr w:type="spellEnd"/>
      <w:r w:rsidRPr="00FE4A7F">
        <w:rPr>
          <w:lang w:val="en-NZ"/>
        </w:rPr>
        <w:t xml:space="preserve">, W.; Moore, K.; Quinn, J.; Simmons, D.; Thrush, S.; Townsend, M.; </w:t>
      </w:r>
      <w:proofErr w:type="spellStart"/>
      <w:r w:rsidRPr="00FE4A7F">
        <w:rPr>
          <w:lang w:val="en-NZ"/>
        </w:rPr>
        <w:t>Blaschke</w:t>
      </w:r>
      <w:proofErr w:type="spellEnd"/>
      <w:r w:rsidRPr="00FE4A7F">
        <w:rPr>
          <w:lang w:val="en-NZ"/>
        </w:rPr>
        <w:t xml:space="preserve">, P.; </w:t>
      </w:r>
      <w:proofErr w:type="spellStart"/>
      <w:r w:rsidRPr="00FE4A7F">
        <w:rPr>
          <w:lang w:val="en-NZ"/>
        </w:rPr>
        <w:t>Costanza</w:t>
      </w:r>
      <w:proofErr w:type="spellEnd"/>
      <w:r w:rsidRPr="00FE4A7F">
        <w:rPr>
          <w:lang w:val="en-NZ"/>
        </w:rPr>
        <w:t>,</w:t>
      </w:r>
      <w:r>
        <w:rPr>
          <w:lang w:val="en-NZ"/>
        </w:rPr>
        <w:t xml:space="preserve"> </w:t>
      </w:r>
      <w:r w:rsidRPr="00FE4A7F">
        <w:rPr>
          <w:lang w:val="en-NZ"/>
        </w:rPr>
        <w:t xml:space="preserve">R.; Cullen, R.; </w:t>
      </w:r>
      <w:proofErr w:type="spellStart"/>
      <w:r w:rsidRPr="00FE4A7F">
        <w:rPr>
          <w:lang w:val="en-NZ"/>
        </w:rPr>
        <w:t>Hughey</w:t>
      </w:r>
      <w:proofErr w:type="spellEnd"/>
      <w:r w:rsidRPr="00FE4A7F">
        <w:rPr>
          <w:lang w:val="en-NZ"/>
        </w:rPr>
        <w:t xml:space="preserve">, K.; </w:t>
      </w:r>
      <w:proofErr w:type="spellStart"/>
      <w:r w:rsidRPr="00FE4A7F">
        <w:rPr>
          <w:lang w:val="en-NZ"/>
        </w:rPr>
        <w:t>Wratten</w:t>
      </w:r>
      <w:proofErr w:type="spellEnd"/>
      <w:r w:rsidRPr="00FE4A7F">
        <w:rPr>
          <w:lang w:val="en-NZ"/>
        </w:rPr>
        <w:t>, S. 2015: The nature of wellbeing: how nature’s ecosystem services contribute to the wellbeing of New Zealand</w:t>
      </w:r>
      <w:r>
        <w:rPr>
          <w:lang w:val="en-NZ"/>
        </w:rPr>
        <w:t xml:space="preserve"> </w:t>
      </w:r>
      <w:r w:rsidRPr="00FE4A7F">
        <w:rPr>
          <w:lang w:val="en-NZ"/>
        </w:rPr>
        <w:t>and New Zealanders. Department of Conservation, Wellington. 145 p.</w:t>
      </w:r>
      <w:r>
        <w:rPr>
          <w:lang w:val="en-NZ"/>
        </w:rPr>
        <w:t>)</w:t>
      </w:r>
    </w:p>
  </w:footnote>
  <w:footnote w:id="6">
    <w:p w14:paraId="331B2763" w14:textId="47712510" w:rsidR="00C820BC" w:rsidRPr="009274CD" w:rsidRDefault="00C820BC" w:rsidP="00BD0967">
      <w:pPr>
        <w:pStyle w:val="FootnoteText"/>
        <w:ind w:left="0" w:firstLine="0"/>
        <w:rPr>
          <w:lang w:val="en-NZ"/>
        </w:rPr>
      </w:pPr>
      <w:r>
        <w:rPr>
          <w:rStyle w:val="FootnoteReference"/>
        </w:rPr>
        <w:footnoteRef/>
      </w:r>
      <w:r>
        <w:t xml:space="preserve"> </w:t>
      </w:r>
      <w:r w:rsidRPr="00BD0967">
        <w:rPr>
          <w:rFonts w:cs="Arial"/>
        </w:rPr>
        <w:t xml:space="preserve">Steffen W, Richardson K, </w:t>
      </w:r>
      <w:proofErr w:type="spellStart"/>
      <w:r w:rsidRPr="00BD0967">
        <w:rPr>
          <w:rFonts w:cs="Arial"/>
        </w:rPr>
        <w:t>Rockström</w:t>
      </w:r>
      <w:proofErr w:type="spellEnd"/>
      <w:r w:rsidRPr="00BD0967">
        <w:rPr>
          <w:rFonts w:cs="Arial"/>
        </w:rPr>
        <w:t xml:space="preserve"> J and 15 others. 2015. Planetary Boundaries: Guiding human development on a changing planet. Science 347(6223). DOI: 10.1126/Science 1259855.</w:t>
      </w:r>
    </w:p>
  </w:footnote>
  <w:footnote w:id="7">
    <w:p w14:paraId="65DBC5A4" w14:textId="4D3FB905" w:rsidR="00C820BC" w:rsidRPr="0026641A" w:rsidRDefault="00C820BC" w:rsidP="00745E52">
      <w:pPr>
        <w:pStyle w:val="FootnoteText"/>
        <w:ind w:left="0" w:firstLine="0"/>
      </w:pPr>
      <w:r>
        <w:rPr>
          <w:rStyle w:val="FootnoteReference"/>
        </w:rPr>
        <w:footnoteRef/>
      </w:r>
      <w:r>
        <w:t xml:space="preserve"> Small pieces of plastic less than 5 mm in size, which are mistaken for food by aquatic organisms and are implicated through emerging research in contamination of the food chain.</w:t>
      </w:r>
    </w:p>
  </w:footnote>
  <w:footnote w:id="8">
    <w:p w14:paraId="3876F956" w14:textId="347AEE32" w:rsidR="00C820BC" w:rsidRPr="00745E52" w:rsidRDefault="00C820BC" w:rsidP="00745E52">
      <w:pPr>
        <w:pStyle w:val="FootnoteText"/>
        <w:ind w:left="0" w:firstLine="0"/>
        <w:rPr>
          <w:lang w:val="mi-NZ"/>
        </w:rPr>
      </w:pPr>
      <w:r>
        <w:rPr>
          <w:rStyle w:val="FootnoteReference"/>
        </w:rPr>
        <w:footnoteRef/>
      </w:r>
      <w:r>
        <w:t xml:space="preserve"> Tariff code 3923-21-0100: “Ethylene polymers: bags made of plastic sheeting, whether or not printed, with handles, for the conveyance or packing of goods, not designed for prolonged use”. Total value in 2017 including freight and insurance was </w:t>
      </w:r>
      <w:r>
        <w:rPr>
          <w:color w:val="000000"/>
        </w:rPr>
        <w:t xml:space="preserve">$15,249,971, and the value for duty was </w:t>
      </w:r>
      <w:r>
        <w:t>$14,798,069.</w:t>
      </w:r>
    </w:p>
  </w:footnote>
  <w:footnote w:id="9">
    <w:p w14:paraId="7205B34F" w14:textId="77777777" w:rsidR="00C820BC" w:rsidRPr="00C00D4B" w:rsidRDefault="00C820BC">
      <w:pPr>
        <w:pStyle w:val="FootnoteText"/>
        <w:rPr>
          <w:lang w:val="en-NZ"/>
        </w:rPr>
      </w:pPr>
      <w:r>
        <w:rPr>
          <w:rStyle w:val="FootnoteReference"/>
        </w:rPr>
        <w:footnoteRef/>
      </w:r>
      <w:r>
        <w:t xml:space="preserve"> </w:t>
      </w:r>
      <w:r w:rsidRPr="00C53F30">
        <w:t xml:space="preserve">Ministry for the Environment 2004, </w:t>
      </w:r>
      <w:proofErr w:type="spellStart"/>
      <w:r w:rsidRPr="00B44792">
        <w:rPr>
          <w:lang w:val="mi-NZ"/>
        </w:rPr>
        <w:t>Packaging</w:t>
      </w:r>
      <w:proofErr w:type="spellEnd"/>
      <w:r w:rsidRPr="00B44792">
        <w:rPr>
          <w:lang w:val="mi-NZ"/>
        </w:rPr>
        <w:t xml:space="preserve"> </w:t>
      </w:r>
      <w:proofErr w:type="spellStart"/>
      <w:r w:rsidRPr="00B44792">
        <w:rPr>
          <w:lang w:val="mi-NZ"/>
        </w:rPr>
        <w:t>Council</w:t>
      </w:r>
      <w:proofErr w:type="spellEnd"/>
      <w:r w:rsidRPr="00B44792">
        <w:rPr>
          <w:lang w:val="mi-NZ"/>
        </w:rPr>
        <w:t xml:space="preserve"> </w:t>
      </w:r>
      <w:proofErr w:type="spellStart"/>
      <w:r w:rsidRPr="00B44792">
        <w:rPr>
          <w:lang w:val="mi-NZ"/>
        </w:rPr>
        <w:t>of</w:t>
      </w:r>
      <w:proofErr w:type="spellEnd"/>
      <w:r w:rsidRPr="00B44792">
        <w:rPr>
          <w:lang w:val="mi-NZ"/>
        </w:rPr>
        <w:t xml:space="preserve"> </w:t>
      </w:r>
      <w:proofErr w:type="spellStart"/>
      <w:r w:rsidRPr="00B44792">
        <w:rPr>
          <w:lang w:val="mi-NZ"/>
        </w:rPr>
        <w:t>New</w:t>
      </w:r>
      <w:proofErr w:type="spellEnd"/>
      <w:r w:rsidRPr="00B44792">
        <w:rPr>
          <w:lang w:val="mi-NZ"/>
        </w:rPr>
        <w:t xml:space="preserve"> </w:t>
      </w:r>
      <w:proofErr w:type="spellStart"/>
      <w:r w:rsidRPr="00B44792">
        <w:rPr>
          <w:lang w:val="mi-NZ"/>
        </w:rPr>
        <w:t>Zealand</w:t>
      </w:r>
      <w:proofErr w:type="spellEnd"/>
      <w:r w:rsidRPr="00B44792">
        <w:rPr>
          <w:lang w:val="mi-NZ"/>
        </w:rPr>
        <w:t xml:space="preserve"> 2007</w:t>
      </w:r>
    </w:p>
  </w:footnote>
  <w:footnote w:id="10">
    <w:p w14:paraId="5FBCDEF3" w14:textId="3404FBFA" w:rsidR="00C820BC" w:rsidRPr="00770FB9" w:rsidRDefault="00C820BC" w:rsidP="00745E52">
      <w:pPr>
        <w:pStyle w:val="FootnoteText"/>
        <w:ind w:left="0" w:firstLine="0"/>
        <w:rPr>
          <w:lang w:val="mi-NZ"/>
        </w:rPr>
      </w:pPr>
      <w:r w:rsidRPr="00745E52">
        <w:footnoteRef/>
      </w:r>
      <w:r>
        <w:t xml:space="preserve"> </w:t>
      </w:r>
      <w:hyperlink r:id="rId2" w:history="1">
        <w:r w:rsidRPr="006D3098">
          <w:rPr>
            <w:color w:val="32809C"/>
            <w:sz w:val="19"/>
          </w:rPr>
          <w:t>https://www.countdown.co.nz/community-environment/our-commitment-to-phasing-out-single-use-plastic-carrier-bags</w:t>
        </w:r>
      </w:hyperlink>
      <w:r>
        <w:rPr>
          <w:sz w:val="19"/>
        </w:rPr>
        <w:t xml:space="preserve">; </w:t>
      </w:r>
      <w:hyperlink r:id="rId3" w:history="1">
        <w:r w:rsidRPr="006D3098">
          <w:rPr>
            <w:color w:val="32809C"/>
            <w:sz w:val="19"/>
          </w:rPr>
          <w:t>http://www.newworld.co.nz/about-us/news/whats-next-for-bags</w:t>
        </w:r>
        <w:r w:rsidRPr="000A419D">
          <w:rPr>
            <w:color w:val="17556C"/>
            <w:sz w:val="19"/>
          </w:rPr>
          <w:t>/</w:t>
        </w:r>
      </w:hyperlink>
      <w:r>
        <w:rPr>
          <w:sz w:val="19"/>
        </w:rPr>
        <w:t xml:space="preserve">; </w:t>
      </w:r>
      <w:hyperlink r:id="rId4" w:history="1">
        <w:r w:rsidRPr="006D3098">
          <w:rPr>
            <w:color w:val="32809C"/>
            <w:sz w:val="19"/>
          </w:rPr>
          <w:t>https://z.co.nz/about-z/what-matters/sustainability/saying-goodbye-to-plastic-bags/</w:t>
        </w:r>
      </w:hyperlink>
      <w:r w:rsidRPr="00907A52">
        <w:rPr>
          <w:sz w:val="19"/>
        </w:rPr>
        <w:t xml:space="preserve">; </w:t>
      </w:r>
      <w:hyperlink r:id="rId5" w:history="1">
        <w:r w:rsidRPr="006D3098">
          <w:rPr>
            <w:color w:val="32809C"/>
            <w:sz w:val="19"/>
          </w:rPr>
          <w:t>https://www.mitre10.co.nz/news/mitre-10-to-ditch-plastic-bags</w:t>
        </w:r>
      </w:hyperlink>
      <w:r>
        <w:rPr>
          <w:sz w:val="19"/>
        </w:rPr>
        <w:t>;</w:t>
      </w:r>
      <w:r w:rsidRPr="00907A52">
        <w:rPr>
          <w:sz w:val="19"/>
        </w:rPr>
        <w:t xml:space="preserve"> </w:t>
      </w:r>
      <w:hyperlink r:id="rId6" w:history="1">
        <w:r w:rsidRPr="006D3098">
          <w:rPr>
            <w:color w:val="32809C"/>
            <w:sz w:val="19"/>
          </w:rPr>
          <w:t>https://www.thewarehousegroup.co.nz/ news-updates/warehouse-group-ditches-single-use-plastic-bags-checkouts</w:t>
        </w:r>
      </w:hyperlink>
      <w:r w:rsidRPr="00907A52">
        <w:rPr>
          <w:sz w:val="19"/>
        </w:rPr>
        <w:t xml:space="preserve">. The Warehouse Group includes </w:t>
      </w:r>
      <w:r>
        <w:rPr>
          <w:sz w:val="19"/>
        </w:rPr>
        <w:t xml:space="preserve">The </w:t>
      </w:r>
      <w:r w:rsidRPr="00907A52">
        <w:rPr>
          <w:sz w:val="19"/>
        </w:rPr>
        <w:t>Wareho</w:t>
      </w:r>
      <w:r>
        <w:rPr>
          <w:sz w:val="19"/>
        </w:rPr>
        <w:t xml:space="preserve">use, Warehouse Stationery, Noel </w:t>
      </w:r>
      <w:proofErr w:type="spellStart"/>
      <w:r>
        <w:rPr>
          <w:sz w:val="19"/>
        </w:rPr>
        <w:t>Leeming</w:t>
      </w:r>
      <w:proofErr w:type="spellEnd"/>
      <w:r>
        <w:rPr>
          <w:sz w:val="19"/>
        </w:rPr>
        <w:t>, and Torpedo</w:t>
      </w:r>
      <w:r w:rsidRPr="00907A52">
        <w:rPr>
          <w:sz w:val="19"/>
        </w:rPr>
        <w:t xml:space="preserve"> 7.</w:t>
      </w:r>
      <w:r w:rsidRPr="00907A52">
        <w:t xml:space="preserve"> </w:t>
      </w:r>
      <w:r>
        <w:rPr>
          <w:lang w:val="mi-NZ"/>
        </w:rPr>
        <w:t xml:space="preserve"> </w:t>
      </w:r>
    </w:p>
  </w:footnote>
  <w:footnote w:id="11">
    <w:p w14:paraId="6BC1F6DA" w14:textId="77777777" w:rsidR="00C820BC" w:rsidRPr="004F61FE" w:rsidRDefault="00C820BC" w:rsidP="004F61FE">
      <w:pPr>
        <w:pStyle w:val="FootnoteText"/>
        <w:rPr>
          <w:lang w:val="en-NZ"/>
        </w:rPr>
      </w:pPr>
      <w:r>
        <w:rPr>
          <w:rStyle w:val="FootnoteReference"/>
        </w:rPr>
        <w:footnoteRef/>
      </w:r>
      <w:r>
        <w:t xml:space="preserve"> </w:t>
      </w:r>
      <w:r>
        <w:rPr>
          <w:lang w:val="en-NZ"/>
        </w:rPr>
        <w:t xml:space="preserve">Set out in further detail in the public consultation document </w:t>
      </w:r>
      <w:hyperlink r:id="rId7" w:history="1">
        <w:r w:rsidRPr="00A5227E">
          <w:rPr>
            <w:rStyle w:val="Hyperlink"/>
            <w:lang w:val="en-NZ"/>
          </w:rPr>
          <w:t>www.mfe.govt.nz/node/24338</w:t>
        </w:r>
      </w:hyperlink>
    </w:p>
  </w:footnote>
  <w:footnote w:id="12">
    <w:p w14:paraId="0B27FC97" w14:textId="0D33A403" w:rsidR="00C820BC" w:rsidRDefault="00C820BC" w:rsidP="00745E52">
      <w:pPr>
        <w:pStyle w:val="FootnoteText"/>
        <w:ind w:left="0" w:firstLine="0"/>
      </w:pPr>
      <w:r w:rsidRPr="007E3857">
        <w:rPr>
          <w:vertAlign w:val="superscript"/>
        </w:rPr>
        <w:footnoteRef/>
      </w:r>
      <w:r>
        <w:tab/>
        <w:t>Before recommending making regulations under the Waste Minimisation Act 2008, the Minister for the Environment must be satisfied that those regulations are consistent with New Zealand’s international obligations (section 23(3)(b)(iii) of the Waste Minimisation Act 2008). We have provided WTO notification for the consultation and will also notify any promulgated regulations, have proposed a phase-out timeframe that is in keeping with WTO requirements, and are liaising with the Ministry of Foreign Affairs and Trade and the Ministry of Business, Innovation and Employment to ensure appropriate design to accommodate TTMRA.</w:t>
      </w:r>
    </w:p>
  </w:footnote>
  <w:footnote w:id="13">
    <w:p w14:paraId="3BB2988C" w14:textId="62D3EB9D" w:rsidR="00C820BC" w:rsidRPr="00C35A8E" w:rsidRDefault="00C820BC" w:rsidP="00745E52">
      <w:pPr>
        <w:pStyle w:val="FootnoteText"/>
        <w:ind w:left="0" w:firstLine="0"/>
        <w:rPr>
          <w:lang w:val="mi-NZ"/>
        </w:rPr>
      </w:pPr>
      <w:r w:rsidRPr="00745E52">
        <w:rPr>
          <w:sz w:val="16"/>
        </w:rPr>
        <w:footnoteRef/>
      </w:r>
      <w:r w:rsidRPr="00745E52">
        <w:rPr>
          <w:sz w:val="12"/>
        </w:rPr>
        <w:t xml:space="preserve"> </w:t>
      </w:r>
      <w:r>
        <w:tab/>
      </w:r>
      <w:hyperlink r:id="rId8" w:history="1">
        <w:r w:rsidRPr="0075319A">
          <w:rPr>
            <w:rStyle w:val="Hyperlink"/>
          </w:rPr>
          <w:t>http://ville.montreal.qc.ca/portal/page?_pageid=7418,142803238&amp;_dad=portal&amp;_schema=PORTAL</w:t>
        </w:r>
      </w:hyperlink>
      <w:r>
        <w:rPr>
          <w:lang w:val="mi-NZ"/>
        </w:rPr>
        <w:t xml:space="preserve">; </w:t>
      </w:r>
      <w:hyperlink r:id="rId9" w:history="1">
        <w:r w:rsidRPr="00F54168">
          <w:rPr>
            <w:rStyle w:val="Hyperlink"/>
            <w:lang w:val="mi-NZ"/>
          </w:rPr>
          <w:t>https://www.gov.uk/guidance/carrier-bag-charges-retailers-responsibilities</w:t>
        </w:r>
      </w:hyperlink>
      <w:r>
        <w:rPr>
          <w:lang w:val="mi-NZ"/>
        </w:rPr>
        <w:t>.</w:t>
      </w:r>
    </w:p>
  </w:footnote>
  <w:footnote w:id="14">
    <w:p w14:paraId="4D930B59" w14:textId="77777777" w:rsidR="00C820BC" w:rsidRPr="00424FEF" w:rsidRDefault="00C820BC" w:rsidP="00745E52">
      <w:pPr>
        <w:pStyle w:val="FootnoteText"/>
        <w:ind w:left="0" w:firstLine="0"/>
        <w:rPr>
          <w:rStyle w:val="Hyperlink"/>
          <w:color w:val="17556C"/>
        </w:rPr>
      </w:pPr>
      <w:r w:rsidRPr="006B0F3E">
        <w:rPr>
          <w:rStyle w:val="FootnoteReference"/>
        </w:rPr>
        <w:footnoteRef/>
      </w:r>
      <w:r>
        <w:tab/>
      </w:r>
      <w:hyperlink r:id="rId10" w:history="1">
        <w:r w:rsidRPr="00C70BE4">
          <w:rPr>
            <w:rStyle w:val="Hyperlink"/>
          </w:rPr>
          <w:t>http://qldbagban.com.au/the-risk-of-using-lightweight-plastic-singlet-bags</w:t>
        </w:r>
      </w:hyperlink>
      <w:r w:rsidRPr="00C70BE4">
        <w:rPr>
          <w:rStyle w:val="Hyperlink"/>
        </w:rPr>
        <w:t xml:space="preserve">; </w:t>
      </w:r>
      <w:hyperlink r:id="rId11" w:history="1">
        <w:r w:rsidRPr="00C70BE4">
          <w:rPr>
            <w:rStyle w:val="Hyperlink"/>
          </w:rPr>
          <w:t>https://bagbanwa.com.au/the-risk-of-barely-compliant-bags/</w:t>
        </w:r>
      </w:hyperlink>
      <w:r w:rsidRPr="00165516">
        <w:rPr>
          <w:rStyle w:val="Hyperlink"/>
        </w:rPr>
        <w:t>.</w:t>
      </w:r>
    </w:p>
  </w:footnote>
  <w:footnote w:id="15">
    <w:p w14:paraId="1B392B9C" w14:textId="25E0122B" w:rsidR="00C820BC" w:rsidRPr="00A46545" w:rsidRDefault="00C820BC" w:rsidP="00745E52">
      <w:pPr>
        <w:pStyle w:val="FootnoteText"/>
        <w:ind w:left="0" w:firstLine="0"/>
        <w:rPr>
          <w:lang w:val="en-NZ"/>
        </w:rPr>
      </w:pPr>
      <w:r>
        <w:rPr>
          <w:rStyle w:val="FootnoteReference"/>
        </w:rPr>
        <w:footnoteRef/>
      </w:r>
      <w:r>
        <w:t xml:space="preserve"> </w:t>
      </w:r>
      <w:r>
        <w:rPr>
          <w:lang w:val="en-NZ"/>
        </w:rPr>
        <w:t xml:space="preserve">While it is not possible to determine how many times each bag had been used prior to being returned for recycling, the timing would indicate that at least some bags were being recycled rather than first being reused. </w:t>
      </w:r>
    </w:p>
  </w:footnote>
  <w:footnote w:id="16">
    <w:p w14:paraId="5A1C28F2" w14:textId="2D5E294D" w:rsidR="00C820BC" w:rsidRPr="0018116F" w:rsidRDefault="00C820BC" w:rsidP="00745E52">
      <w:pPr>
        <w:pStyle w:val="FootnoteText"/>
        <w:ind w:left="0" w:firstLine="0"/>
        <w:rPr>
          <w:lang w:val="mi-NZ"/>
        </w:rPr>
      </w:pPr>
      <w:r w:rsidRPr="00A50A04">
        <w:rPr>
          <w:sz w:val="22"/>
          <w:vertAlign w:val="superscript"/>
        </w:rPr>
        <w:footnoteRef/>
      </w:r>
      <w:r>
        <w:t xml:space="preserve"> </w:t>
      </w:r>
      <w:r>
        <w:tab/>
      </w:r>
      <w:r w:rsidRPr="00120295">
        <w:t xml:space="preserve">The Hong Kong levy, which began in 2009, applied </w:t>
      </w:r>
      <w:r>
        <w:t xml:space="preserve">only </w:t>
      </w:r>
      <w:r w:rsidRPr="00120295">
        <w:t xml:space="preserve">to 3300 larger retailers. </w:t>
      </w:r>
      <w:r>
        <w:t>When it became clear that this was not achieving t</w:t>
      </w:r>
      <w:r w:rsidRPr="00120295">
        <w:t xml:space="preserve">he </w:t>
      </w:r>
      <w:r>
        <w:t xml:space="preserve">desired </w:t>
      </w:r>
      <w:r w:rsidRPr="00120295">
        <w:t>outcome</w:t>
      </w:r>
      <w:r>
        <w:t>s</w:t>
      </w:r>
      <w:r w:rsidRPr="00120295">
        <w:t xml:space="preserve">, the system was </w:t>
      </w:r>
      <w:r>
        <w:t>extended</w:t>
      </w:r>
      <w:r w:rsidRPr="005B7DEB">
        <w:t xml:space="preserve"> </w:t>
      </w:r>
      <w:r w:rsidRPr="00120295">
        <w:t>in 2015</w:t>
      </w:r>
      <w:r>
        <w:t xml:space="preserve"> to apply to all retailers. In England, the </w:t>
      </w:r>
      <w:r w:rsidRPr="00120295">
        <w:t xml:space="preserve">mandated charge on single-use plastic shopping bags </w:t>
      </w:r>
      <w:r>
        <w:t xml:space="preserve">only applied to </w:t>
      </w:r>
      <w:r w:rsidRPr="00120295">
        <w:t>large retailers</w:t>
      </w:r>
      <w:r>
        <w:t xml:space="preserve">. </w:t>
      </w:r>
      <w:r w:rsidRPr="00120295">
        <w:t xml:space="preserve">In 2018 however, the British Government </w:t>
      </w:r>
      <w:r>
        <w:t xml:space="preserve">announced it would raise the levy, and </w:t>
      </w:r>
      <w:r w:rsidRPr="00120295">
        <w:t xml:space="preserve">extend </w:t>
      </w:r>
      <w:r>
        <w:t>it</w:t>
      </w:r>
      <w:r w:rsidRPr="00120295">
        <w:t xml:space="preserve"> to all retailers</w:t>
      </w:r>
      <w:r>
        <w:t xml:space="preserve"> (subject to the outcomes of consultation)</w:t>
      </w:r>
      <w:r w:rsidRPr="00120295">
        <w:t>.</w:t>
      </w:r>
      <w:hyperlink r:id="rId12" w:history="1">
        <w:r w:rsidRPr="005C1DA8">
          <w:rPr>
            <w:rStyle w:val="Hyperlink"/>
          </w:rPr>
          <w:t>https://www.gov.uk/government/news/plastic-bag-charge-set-to-be-rolled-out-to-all-retailers</w:t>
        </w:r>
      </w:hyperlink>
      <w:r w:rsidRPr="00306C98">
        <w:rPr>
          <w:rFonts w:cs="Arial"/>
          <w:color w:val="000000"/>
        </w:rPr>
        <w:t>.</w:t>
      </w:r>
    </w:p>
  </w:footnote>
  <w:footnote w:id="17">
    <w:p w14:paraId="055BBF4F" w14:textId="6C37AB6F" w:rsidR="00C820BC" w:rsidRPr="00104EE2" w:rsidRDefault="00C820BC" w:rsidP="00970852">
      <w:pPr>
        <w:pStyle w:val="FootnoteText"/>
        <w:rPr>
          <w:lang w:val="en-NZ"/>
        </w:rPr>
      </w:pPr>
      <w:r>
        <w:rPr>
          <w:rStyle w:val="FootnoteReference"/>
        </w:rPr>
        <w:footnoteRef/>
      </w:r>
      <w:r>
        <w:t xml:space="preserve"> </w:t>
      </w:r>
      <w:hyperlink r:id="rId13" w:history="1">
        <w:r w:rsidRPr="00F54168">
          <w:rPr>
            <w:rStyle w:val="Hyperlink"/>
          </w:rPr>
          <w:t>https://www.stats.govt.nz/information-releases/new-zealand-business-demography-statistics-at-february-2017</w:t>
        </w:r>
      </w:hyperlink>
      <w:r>
        <w:t xml:space="preserve"> </w:t>
      </w:r>
    </w:p>
  </w:footnote>
  <w:footnote w:id="18">
    <w:p w14:paraId="2BC6E2B0" w14:textId="77777777" w:rsidR="00C820BC" w:rsidRDefault="00C820BC" w:rsidP="00745E52">
      <w:pPr>
        <w:pStyle w:val="FootnoteText"/>
        <w:ind w:left="0" w:firstLine="0"/>
      </w:pPr>
      <w:r>
        <w:rPr>
          <w:rStyle w:val="FootnoteReference"/>
        </w:rPr>
        <w:footnoteRef/>
      </w:r>
      <w:r>
        <w:t xml:space="preserve"> </w:t>
      </w:r>
      <w:r>
        <w:tab/>
      </w:r>
      <w:hyperlink r:id="rId14" w:history="1">
        <w:r w:rsidRPr="00C70BE4">
          <w:rPr>
            <w:rStyle w:val="Hyperlink"/>
            <w:rFonts w:cs="Arial"/>
          </w:rPr>
          <w:t>https://www.legislation.qld.gov.au/view/html/asmade/act-2017-031</w:t>
        </w:r>
      </w:hyperlink>
      <w:r>
        <w:rPr>
          <w:rStyle w:val="Hyperlink"/>
          <w:rFonts w:cs="Arial"/>
        </w:rPr>
        <w:t xml:space="preserve">; </w:t>
      </w:r>
      <w:r w:rsidRPr="00A325AA">
        <w:rPr>
          <w:rStyle w:val="Hyperlink"/>
          <w:rFonts w:cs="Arial"/>
        </w:rPr>
        <w:t>www.perthnow.com.au/news/environment/plastic-bag-ban-wa-retailers-will-not-be-fined-until-2019-ng-b88866396z</w:t>
      </w:r>
      <w:r>
        <w:t>.</w:t>
      </w:r>
    </w:p>
  </w:footnote>
  <w:footnote w:id="19">
    <w:p w14:paraId="07F33B21" w14:textId="77777777" w:rsidR="00C820BC" w:rsidRPr="00436C74" w:rsidRDefault="00C820BC" w:rsidP="00745E52">
      <w:pPr>
        <w:pStyle w:val="FootnoteText"/>
        <w:ind w:left="0" w:firstLine="0"/>
        <w:rPr>
          <w:sz w:val="16"/>
          <w:szCs w:val="16"/>
        </w:rPr>
      </w:pPr>
      <w:r w:rsidRPr="000769DC">
        <w:rPr>
          <w:sz w:val="22"/>
          <w:vertAlign w:val="superscript"/>
        </w:rPr>
        <w:footnoteRef/>
      </w:r>
      <w:r w:rsidRPr="00436C74">
        <w:rPr>
          <w:sz w:val="16"/>
          <w:szCs w:val="16"/>
        </w:rPr>
        <w:t xml:space="preserve"> </w:t>
      </w:r>
      <w:r>
        <w:rPr>
          <w:sz w:val="16"/>
          <w:szCs w:val="16"/>
        </w:rPr>
        <w:tab/>
      </w:r>
      <w:r w:rsidRPr="000769DC">
        <w:t>Section 23(2</w:t>
      </w:r>
      <w:proofErr w:type="gramStart"/>
      <w:r w:rsidRPr="000769DC">
        <w:t>)(</w:t>
      </w:r>
      <w:proofErr w:type="gramEnd"/>
      <w:r w:rsidRPr="000769DC">
        <w:t>b), (3)(b)(ii) and 3(b)(iii) of the Waste Minimisation Act 2008. Note that, before making the regulations, the Minister must also obtain and consider advice of the Waste Advisory Board and be satisfied that adequate consultation has occurred (section 23(3</w:t>
      </w:r>
      <w:proofErr w:type="gramStart"/>
      <w:r w:rsidRPr="000769DC">
        <w:t>)(</w:t>
      </w:r>
      <w:proofErr w:type="gramEnd"/>
      <w:r w:rsidRPr="000769DC">
        <w:t>a) and (b)(</w:t>
      </w:r>
      <w:proofErr w:type="spellStart"/>
      <w:r w:rsidRPr="000769DC">
        <w:t>i</w:t>
      </w:r>
      <w:proofErr w:type="spellEnd"/>
      <w:r w:rsidRPr="000769DC">
        <w:t xml:space="preserve">)). </w:t>
      </w:r>
    </w:p>
  </w:footnote>
  <w:footnote w:id="20">
    <w:p w14:paraId="64B62917" w14:textId="63BBCE3D" w:rsidR="00C820BC" w:rsidRPr="00831CEE" w:rsidRDefault="00C820BC" w:rsidP="004D4F51">
      <w:pPr>
        <w:spacing w:line="240" w:lineRule="auto"/>
        <w:rPr>
          <w:rFonts w:cs="Arial"/>
          <w:sz w:val="18"/>
          <w:szCs w:val="18"/>
        </w:rPr>
      </w:pPr>
      <w:r w:rsidRPr="00831CEE">
        <w:rPr>
          <w:rStyle w:val="FootnoteReference"/>
          <w:rFonts w:cs="Arial"/>
          <w:sz w:val="18"/>
          <w:szCs w:val="18"/>
        </w:rPr>
        <w:footnoteRef/>
      </w:r>
      <w:r w:rsidRPr="00831CEE">
        <w:rPr>
          <w:rFonts w:cs="Arial"/>
          <w:sz w:val="18"/>
          <w:szCs w:val="18"/>
        </w:rPr>
        <w:t xml:space="preserve"> Funding of just under $2.7 million will provide by April 2021: design and build an open-sourced national litter database</w:t>
      </w:r>
      <w:r>
        <w:rPr>
          <w:rFonts w:cs="Arial"/>
          <w:sz w:val="18"/>
          <w:szCs w:val="18"/>
        </w:rPr>
        <w:t>,</w:t>
      </w:r>
      <w:r w:rsidRPr="00831CEE">
        <w:rPr>
          <w:rFonts w:cs="Arial"/>
          <w:sz w:val="18"/>
          <w:szCs w:val="18"/>
        </w:rPr>
        <w:t xml:space="preserve"> and train and support citizen scientists to gather beach litter data nationwide; design and build a litter education curriculum</w:t>
      </w:r>
      <w:r>
        <w:rPr>
          <w:rFonts w:cs="Arial"/>
          <w:sz w:val="18"/>
          <w:szCs w:val="18"/>
        </w:rPr>
        <w:t>,</w:t>
      </w:r>
      <w:r w:rsidRPr="00831CEE">
        <w:rPr>
          <w:rFonts w:cs="Arial"/>
          <w:sz w:val="18"/>
          <w:szCs w:val="18"/>
        </w:rPr>
        <w:t xml:space="preserve"> and train and support educators to deliver it. Agency partners include Ministry for the Environment, Statistics New Zealand and the Department of Conservation. </w:t>
      </w:r>
    </w:p>
  </w:footnote>
  <w:footnote w:id="21">
    <w:p w14:paraId="3B5343C7" w14:textId="77777777" w:rsidR="00C820BC" w:rsidRPr="00287A95" w:rsidRDefault="00C820BC">
      <w:pPr>
        <w:pStyle w:val="FootnoteText"/>
        <w:rPr>
          <w:lang w:val="en-NZ"/>
        </w:rPr>
      </w:pPr>
      <w:r>
        <w:rPr>
          <w:rStyle w:val="FootnoteReference"/>
        </w:rPr>
        <w:footnoteRef/>
      </w:r>
      <w:r>
        <w:t xml:space="preserve"> </w:t>
      </w:r>
      <w:r>
        <w:rPr>
          <w:lang w:val="en-NZ"/>
        </w:rPr>
        <w:t xml:space="preserve">This was published as Appendix 3 in August 2018: </w:t>
      </w:r>
      <w:hyperlink r:id="rId15" w:history="1">
        <w:r w:rsidRPr="00A5227E">
          <w:rPr>
            <w:rStyle w:val="Hyperlink"/>
            <w:lang w:val="en-NZ"/>
          </w:rPr>
          <w:t>www.mfe.govt.nz/node/24338</w:t>
        </w:r>
      </w:hyperlink>
      <w:r>
        <w:rPr>
          <w:lang w:val="en-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B459" w14:textId="0FC09811" w:rsidR="00C820BC" w:rsidRPr="00EB1B21" w:rsidRDefault="00C820BC" w:rsidP="00A42D23">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652"/>
    <w:multiLevelType w:val="hybridMultilevel"/>
    <w:tmpl w:val="5EDC9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BB6734B"/>
    <w:multiLevelType w:val="multilevel"/>
    <w:tmpl w:val="1FF2FCA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3" w15:restartNumberingAfterBreak="0">
    <w:nsid w:val="0FA32312"/>
    <w:multiLevelType w:val="hybridMultilevel"/>
    <w:tmpl w:val="312020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34875B4"/>
    <w:multiLevelType w:val="multilevel"/>
    <w:tmpl w:val="AC7453AE"/>
    <w:lvl w:ilvl="0">
      <w:start w:val="1"/>
      <w:numFmt w:val="decimal"/>
      <w:lvlText w:val="%1."/>
      <w:lvlJc w:val="left"/>
      <w:pPr>
        <w:ind w:left="360" w:hanging="360"/>
      </w:pPr>
      <w:rPr>
        <w:i w:val="0"/>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EB1EBC"/>
    <w:multiLevelType w:val="hybridMultilevel"/>
    <w:tmpl w:val="91C6C4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2A7B99"/>
    <w:multiLevelType w:val="hybridMultilevel"/>
    <w:tmpl w:val="CE96C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983083"/>
    <w:multiLevelType w:val="hybridMultilevel"/>
    <w:tmpl w:val="E4680DF6"/>
    <w:lvl w:ilvl="0" w:tplc="2B34E0A0">
      <w:start w:val="2"/>
      <w:numFmt w:val="bullet"/>
      <w:lvlText w:val="-"/>
      <w:lvlJc w:val="left"/>
      <w:pPr>
        <w:ind w:left="720" w:hanging="360"/>
      </w:pPr>
      <w:rPr>
        <w:rFonts w:ascii="Arial" w:eastAsia="Times New Roman" w:hAnsi="Arial" w:cs="Arial" w:hint="default"/>
        <w:b/>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A17FC0"/>
    <w:multiLevelType w:val="hybridMultilevel"/>
    <w:tmpl w:val="801070E2"/>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9" w15:restartNumberingAfterBreak="0">
    <w:nsid w:val="2D316ABB"/>
    <w:multiLevelType w:val="hybridMultilevel"/>
    <w:tmpl w:val="F8628688"/>
    <w:lvl w:ilvl="0" w:tplc="27F67696">
      <w:numFmt w:val="bullet"/>
      <w:lvlText w:val="•"/>
      <w:lvlJc w:val="left"/>
      <w:pPr>
        <w:ind w:left="360" w:hanging="360"/>
      </w:pPr>
      <w:rPr>
        <w:rFonts w:ascii="Calibri" w:eastAsia="Calibri" w:hAnsi="Calibri" w:cs="Calibri" w:hint="default"/>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0EB632A"/>
    <w:multiLevelType w:val="hybridMultilevel"/>
    <w:tmpl w:val="B3B24E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5042A2B"/>
    <w:multiLevelType w:val="hybridMultilevel"/>
    <w:tmpl w:val="CF128526"/>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12" w15:restartNumberingAfterBreak="0">
    <w:nsid w:val="354C6056"/>
    <w:multiLevelType w:val="hybridMultilevel"/>
    <w:tmpl w:val="36526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2C535F"/>
    <w:multiLevelType w:val="hybridMultilevel"/>
    <w:tmpl w:val="53EE2BC4"/>
    <w:lvl w:ilvl="0" w:tplc="14090001">
      <w:start w:val="1"/>
      <w:numFmt w:val="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D54EF"/>
    <w:multiLevelType w:val="hybridMultilevel"/>
    <w:tmpl w:val="30AA643C"/>
    <w:lvl w:ilvl="0" w:tplc="14090001">
      <w:start w:val="1"/>
      <w:numFmt w:val="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465A16"/>
    <w:multiLevelType w:val="multilevel"/>
    <w:tmpl w:val="2208FE0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902E01"/>
    <w:multiLevelType w:val="hybridMultilevel"/>
    <w:tmpl w:val="CF30F822"/>
    <w:lvl w:ilvl="0" w:tplc="CD1A1B2A">
      <w:start w:val="1"/>
      <w:numFmt w:val="decimal"/>
      <w:lvlText w:val="%1."/>
      <w:lvlJc w:val="left"/>
      <w:pPr>
        <w:tabs>
          <w:tab w:val="num" w:pos="284"/>
        </w:tabs>
        <w:ind w:left="284" w:hanging="284"/>
      </w:pPr>
      <w:rPr>
        <w:rFonts w:hint="default"/>
        <w:b/>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27701FB"/>
    <w:multiLevelType w:val="hybridMultilevel"/>
    <w:tmpl w:val="48984D24"/>
    <w:lvl w:ilvl="0" w:tplc="50289EDC">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54E77"/>
    <w:multiLevelType w:val="hybridMultilevel"/>
    <w:tmpl w:val="033451D6"/>
    <w:lvl w:ilvl="0" w:tplc="FEA4873A">
      <w:start w:val="1"/>
      <w:numFmt w:val="decimal"/>
      <w:lvlText w:val="%1."/>
      <w:lvlJc w:val="left"/>
      <w:pPr>
        <w:tabs>
          <w:tab w:val="num" w:pos="425"/>
        </w:tabs>
        <w:ind w:left="425" w:firstLine="0"/>
      </w:pPr>
      <w:rPr>
        <w:rFonts w:hint="default"/>
        <w:b/>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93D677C"/>
    <w:multiLevelType w:val="multilevel"/>
    <w:tmpl w:val="8E02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34CE6"/>
    <w:multiLevelType w:val="hybridMultilevel"/>
    <w:tmpl w:val="9B942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225B67"/>
    <w:multiLevelType w:val="hybridMultilevel"/>
    <w:tmpl w:val="D384E532"/>
    <w:lvl w:ilvl="0" w:tplc="AD1ED94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123B63"/>
    <w:multiLevelType w:val="hybridMultilevel"/>
    <w:tmpl w:val="1188E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99394E"/>
    <w:multiLevelType w:val="hybridMultilevel"/>
    <w:tmpl w:val="466AC59E"/>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26" w15:restartNumberingAfterBreak="0">
    <w:nsid w:val="50CD02AE"/>
    <w:multiLevelType w:val="hybridMultilevel"/>
    <w:tmpl w:val="1AD6E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840527"/>
    <w:multiLevelType w:val="hybridMultilevel"/>
    <w:tmpl w:val="D15432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358229B"/>
    <w:multiLevelType w:val="hybridMultilevel"/>
    <w:tmpl w:val="7892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DA22F9"/>
    <w:multiLevelType w:val="hybridMultilevel"/>
    <w:tmpl w:val="85CC4E68"/>
    <w:lvl w:ilvl="0" w:tplc="042A20F0">
      <w:start w:val="1"/>
      <w:numFmt w:val="decimal"/>
      <w:lvlText w:val="%1."/>
      <w:lvlJc w:val="left"/>
      <w:pPr>
        <w:ind w:left="502" w:hanging="360"/>
      </w:pPr>
      <w:rPr>
        <w:rFonts w:asciiTheme="minorHAnsi" w:hAnsiTheme="minorHAnsi" w:cs="Arial" w:hint="default"/>
        <w:b w:val="0"/>
        <w:i w:val="0"/>
        <w:color w:val="auto"/>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4075C6B"/>
    <w:multiLevelType w:val="hybridMultilevel"/>
    <w:tmpl w:val="F236B966"/>
    <w:lvl w:ilvl="0" w:tplc="D822325A">
      <w:start w:val="2"/>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1" w15:restartNumberingAfterBreak="0">
    <w:nsid w:val="54825724"/>
    <w:multiLevelType w:val="hybridMultilevel"/>
    <w:tmpl w:val="37A4E15A"/>
    <w:lvl w:ilvl="0" w:tplc="042A20F0">
      <w:start w:val="1"/>
      <w:numFmt w:val="decimal"/>
      <w:lvlText w:val="%1."/>
      <w:lvlJc w:val="left"/>
      <w:pPr>
        <w:ind w:left="502" w:hanging="360"/>
      </w:pPr>
      <w:rPr>
        <w:rFonts w:asciiTheme="minorHAnsi" w:hAnsiTheme="minorHAnsi" w:cs="Arial" w:hint="default"/>
        <w:b w:val="0"/>
        <w:i w:val="0"/>
        <w:color w:val="auto"/>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3"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AC6E2E"/>
    <w:multiLevelType w:val="hybridMultilevel"/>
    <w:tmpl w:val="621AF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5CCD7AAA"/>
    <w:multiLevelType w:val="hybridMultilevel"/>
    <w:tmpl w:val="2550F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FE4710A"/>
    <w:multiLevelType w:val="hybridMultilevel"/>
    <w:tmpl w:val="9ABCB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16954F2"/>
    <w:multiLevelType w:val="hybridMultilevel"/>
    <w:tmpl w:val="FC40B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56F2E0D"/>
    <w:multiLevelType w:val="hybridMultilevel"/>
    <w:tmpl w:val="B0AA0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C5C4A71"/>
    <w:multiLevelType w:val="hybridMultilevel"/>
    <w:tmpl w:val="B6BCF4B2"/>
    <w:lvl w:ilvl="0" w:tplc="0C4ACAF4">
      <w:start w:val="1"/>
      <w:numFmt w:val="decimal"/>
      <w:lvlText w:val="%1."/>
      <w:lvlJc w:val="left"/>
      <w:pPr>
        <w:tabs>
          <w:tab w:val="num" w:pos="284"/>
        </w:tabs>
        <w:ind w:left="284" w:hanging="284"/>
      </w:pPr>
      <w:rPr>
        <w:rFonts w:hint="default"/>
        <w:b/>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28A61BD"/>
    <w:multiLevelType w:val="hybridMultilevel"/>
    <w:tmpl w:val="433CDA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2F9179D"/>
    <w:multiLevelType w:val="hybridMultilevel"/>
    <w:tmpl w:val="E33053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3"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645DC"/>
    <w:multiLevelType w:val="hybridMultilevel"/>
    <w:tmpl w:val="8B801C4C"/>
    <w:lvl w:ilvl="0" w:tplc="8E68A078">
      <w:start w:val="1"/>
      <w:numFmt w:val="bullet"/>
      <w:lvlText w:val="-"/>
      <w:lvlJc w:val="left"/>
      <w:pPr>
        <w:ind w:left="1154" w:hanging="360"/>
      </w:pPr>
      <w:rPr>
        <w:rFonts w:ascii="Calibri" w:eastAsia="Times New Roman" w:hAnsi="Calibri" w:cs="Calibri"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45" w15:restartNumberingAfterBreak="0">
    <w:nsid w:val="75F8775C"/>
    <w:multiLevelType w:val="hybridMultilevel"/>
    <w:tmpl w:val="EA2EA9BC"/>
    <w:lvl w:ilvl="0" w:tplc="2758BD4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7E60371"/>
    <w:multiLevelType w:val="hybridMultilevel"/>
    <w:tmpl w:val="634A9688"/>
    <w:lvl w:ilvl="0" w:tplc="D822325A">
      <w:start w:val="2"/>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C385568"/>
    <w:multiLevelType w:val="hybridMultilevel"/>
    <w:tmpl w:val="7B3C3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ECF2823"/>
    <w:multiLevelType w:val="hybridMultilevel"/>
    <w:tmpl w:val="F856A7A6"/>
    <w:lvl w:ilvl="0" w:tplc="3C26096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20"/>
  </w:num>
  <w:num w:numId="4">
    <w:abstractNumId w:val="39"/>
  </w:num>
  <w:num w:numId="5">
    <w:abstractNumId w:val="26"/>
  </w:num>
  <w:num w:numId="6">
    <w:abstractNumId w:val="32"/>
  </w:num>
  <w:num w:numId="7">
    <w:abstractNumId w:val="0"/>
  </w:num>
  <w:num w:numId="8">
    <w:abstractNumId w:val="47"/>
  </w:num>
  <w:num w:numId="9">
    <w:abstractNumId w:val="21"/>
  </w:num>
  <w:num w:numId="10">
    <w:abstractNumId w:val="23"/>
  </w:num>
  <w:num w:numId="11">
    <w:abstractNumId w:val="28"/>
  </w:num>
  <w:num w:numId="12">
    <w:abstractNumId w:val="33"/>
  </w:num>
  <w:num w:numId="13">
    <w:abstractNumId w:val="15"/>
  </w:num>
  <w:num w:numId="14">
    <w:abstractNumId w:val="35"/>
  </w:num>
  <w:num w:numId="15">
    <w:abstractNumId w:val="38"/>
  </w:num>
  <w:num w:numId="16">
    <w:abstractNumId w:val="18"/>
  </w:num>
  <w:num w:numId="17">
    <w:abstractNumId w:val="40"/>
  </w:num>
  <w:num w:numId="18">
    <w:abstractNumId w:val="44"/>
  </w:num>
  <w:num w:numId="19">
    <w:abstractNumId w:val="9"/>
  </w:num>
  <w:num w:numId="20">
    <w:abstractNumId w:val="45"/>
  </w:num>
  <w:num w:numId="21">
    <w:abstractNumId w:val="13"/>
  </w:num>
  <w:num w:numId="22">
    <w:abstractNumId w:val="14"/>
  </w:num>
  <w:num w:numId="23">
    <w:abstractNumId w:val="25"/>
  </w:num>
  <w:num w:numId="24">
    <w:abstractNumId w:val="7"/>
  </w:num>
  <w:num w:numId="25">
    <w:abstractNumId w:val="43"/>
  </w:num>
  <w:num w:numId="26">
    <w:abstractNumId w:val="12"/>
  </w:num>
  <w:num w:numId="27">
    <w:abstractNumId w:val="30"/>
  </w:num>
  <w:num w:numId="28">
    <w:abstractNumId w:val="46"/>
  </w:num>
  <w:num w:numId="29">
    <w:abstractNumId w:val="5"/>
  </w:num>
  <w:num w:numId="30">
    <w:abstractNumId w:val="31"/>
  </w:num>
  <w:num w:numId="31">
    <w:abstractNumId w:val="29"/>
  </w:num>
  <w:num w:numId="32">
    <w:abstractNumId w:val="22"/>
  </w:num>
  <w:num w:numId="33">
    <w:abstractNumId w:val="6"/>
  </w:num>
  <w:num w:numId="34">
    <w:abstractNumId w:val="19"/>
  </w:num>
  <w:num w:numId="35">
    <w:abstractNumId w:val="1"/>
  </w:num>
  <w:num w:numId="36">
    <w:abstractNumId w:val="4"/>
  </w:num>
  <w:num w:numId="37">
    <w:abstractNumId w:val="27"/>
  </w:num>
  <w:num w:numId="38">
    <w:abstractNumId w:val="16"/>
  </w:num>
  <w:num w:numId="39">
    <w:abstractNumId w:val="11"/>
  </w:num>
  <w:num w:numId="40">
    <w:abstractNumId w:val="37"/>
  </w:num>
  <w:num w:numId="41">
    <w:abstractNumId w:val="41"/>
  </w:num>
  <w:num w:numId="4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
  </w:num>
  <w:num w:numId="45">
    <w:abstractNumId w:val="17"/>
  </w:num>
  <w:num w:numId="46">
    <w:abstractNumId w:val="48"/>
  </w:num>
  <w:num w:numId="47">
    <w:abstractNumId w:val="36"/>
  </w:num>
  <w:num w:numId="48">
    <w:abstractNumId w:val="34"/>
  </w:num>
  <w:num w:numId="49">
    <w:abstractNumId w:val="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1C"/>
    <w:rsid w:val="00003023"/>
    <w:rsid w:val="0000314D"/>
    <w:rsid w:val="0001306C"/>
    <w:rsid w:val="000202F9"/>
    <w:rsid w:val="00020534"/>
    <w:rsid w:val="0002127E"/>
    <w:rsid w:val="0002367C"/>
    <w:rsid w:val="000341BB"/>
    <w:rsid w:val="00037128"/>
    <w:rsid w:val="00041008"/>
    <w:rsid w:val="00044A4E"/>
    <w:rsid w:val="00056811"/>
    <w:rsid w:val="00076706"/>
    <w:rsid w:val="000814F2"/>
    <w:rsid w:val="00081F76"/>
    <w:rsid w:val="00082A6A"/>
    <w:rsid w:val="00082EFD"/>
    <w:rsid w:val="00086C8A"/>
    <w:rsid w:val="00087727"/>
    <w:rsid w:val="00090C43"/>
    <w:rsid w:val="0009103D"/>
    <w:rsid w:val="00093751"/>
    <w:rsid w:val="000A19B8"/>
    <w:rsid w:val="000A31C1"/>
    <w:rsid w:val="000A7236"/>
    <w:rsid w:val="000B3D95"/>
    <w:rsid w:val="000B565E"/>
    <w:rsid w:val="000B7C61"/>
    <w:rsid w:val="000C04F4"/>
    <w:rsid w:val="000C129D"/>
    <w:rsid w:val="000C7775"/>
    <w:rsid w:val="000D2034"/>
    <w:rsid w:val="000E15BC"/>
    <w:rsid w:val="000F14DB"/>
    <w:rsid w:val="000F1C2E"/>
    <w:rsid w:val="000F6150"/>
    <w:rsid w:val="000F65BF"/>
    <w:rsid w:val="00101EBE"/>
    <w:rsid w:val="001051F5"/>
    <w:rsid w:val="00107517"/>
    <w:rsid w:val="00113B86"/>
    <w:rsid w:val="00124045"/>
    <w:rsid w:val="001272F3"/>
    <w:rsid w:val="00131ECE"/>
    <w:rsid w:val="001331C9"/>
    <w:rsid w:val="00140AA6"/>
    <w:rsid w:val="00142F95"/>
    <w:rsid w:val="00144839"/>
    <w:rsid w:val="00156F19"/>
    <w:rsid w:val="001665BA"/>
    <w:rsid w:val="001702F9"/>
    <w:rsid w:val="001712FA"/>
    <w:rsid w:val="00172420"/>
    <w:rsid w:val="001752DA"/>
    <w:rsid w:val="001754CE"/>
    <w:rsid w:val="00180EB9"/>
    <w:rsid w:val="0018566E"/>
    <w:rsid w:val="00187505"/>
    <w:rsid w:val="0019057C"/>
    <w:rsid w:val="00191C89"/>
    <w:rsid w:val="0019474B"/>
    <w:rsid w:val="00196A42"/>
    <w:rsid w:val="001A1BDD"/>
    <w:rsid w:val="001B1D93"/>
    <w:rsid w:val="001B79EE"/>
    <w:rsid w:val="001C23A7"/>
    <w:rsid w:val="001D47D1"/>
    <w:rsid w:val="001D6125"/>
    <w:rsid w:val="001D77D4"/>
    <w:rsid w:val="001E429A"/>
    <w:rsid w:val="001E666A"/>
    <w:rsid w:val="001F0C32"/>
    <w:rsid w:val="001F2AA5"/>
    <w:rsid w:val="001F2CE0"/>
    <w:rsid w:val="002046C4"/>
    <w:rsid w:val="002101BE"/>
    <w:rsid w:val="00216C36"/>
    <w:rsid w:val="00225ABE"/>
    <w:rsid w:val="002320FC"/>
    <w:rsid w:val="00237F5C"/>
    <w:rsid w:val="002409F2"/>
    <w:rsid w:val="00247185"/>
    <w:rsid w:val="00260E2F"/>
    <w:rsid w:val="0026150E"/>
    <w:rsid w:val="0026641A"/>
    <w:rsid w:val="002718C0"/>
    <w:rsid w:val="00272484"/>
    <w:rsid w:val="00273016"/>
    <w:rsid w:val="00274FAF"/>
    <w:rsid w:val="0027598C"/>
    <w:rsid w:val="00280F50"/>
    <w:rsid w:val="00283030"/>
    <w:rsid w:val="00283A5D"/>
    <w:rsid w:val="00286911"/>
    <w:rsid w:val="00287A95"/>
    <w:rsid w:val="0029035A"/>
    <w:rsid w:val="002927E0"/>
    <w:rsid w:val="00293D67"/>
    <w:rsid w:val="00294E46"/>
    <w:rsid w:val="002A4182"/>
    <w:rsid w:val="002A4B26"/>
    <w:rsid w:val="002A5463"/>
    <w:rsid w:val="002A66E4"/>
    <w:rsid w:val="002A705C"/>
    <w:rsid w:val="002B1862"/>
    <w:rsid w:val="002B41F9"/>
    <w:rsid w:val="002B6F83"/>
    <w:rsid w:val="002C40D7"/>
    <w:rsid w:val="002D0DCA"/>
    <w:rsid w:val="002D2024"/>
    <w:rsid w:val="002D343D"/>
    <w:rsid w:val="002D5F86"/>
    <w:rsid w:val="002D63A6"/>
    <w:rsid w:val="002E201E"/>
    <w:rsid w:val="002E6FF3"/>
    <w:rsid w:val="002F4F9B"/>
    <w:rsid w:val="00307E51"/>
    <w:rsid w:val="00310FB7"/>
    <w:rsid w:val="0032081B"/>
    <w:rsid w:val="0034151E"/>
    <w:rsid w:val="003430C6"/>
    <w:rsid w:val="00347304"/>
    <w:rsid w:val="00370F75"/>
    <w:rsid w:val="00372E9B"/>
    <w:rsid w:val="00375B75"/>
    <w:rsid w:val="00376AB2"/>
    <w:rsid w:val="00381296"/>
    <w:rsid w:val="003826AA"/>
    <w:rsid w:val="003839FC"/>
    <w:rsid w:val="003852D3"/>
    <w:rsid w:val="003852FC"/>
    <w:rsid w:val="00390FDB"/>
    <w:rsid w:val="003915D2"/>
    <w:rsid w:val="003918DD"/>
    <w:rsid w:val="00394C77"/>
    <w:rsid w:val="0039501D"/>
    <w:rsid w:val="00396B55"/>
    <w:rsid w:val="003A0A70"/>
    <w:rsid w:val="003A787A"/>
    <w:rsid w:val="003B04BE"/>
    <w:rsid w:val="003B1111"/>
    <w:rsid w:val="003B3611"/>
    <w:rsid w:val="003C1E34"/>
    <w:rsid w:val="003C4B31"/>
    <w:rsid w:val="003C5097"/>
    <w:rsid w:val="003C570C"/>
    <w:rsid w:val="003D0A8F"/>
    <w:rsid w:val="003D1B82"/>
    <w:rsid w:val="003E2357"/>
    <w:rsid w:val="003E331B"/>
    <w:rsid w:val="003F2B81"/>
    <w:rsid w:val="003F5C25"/>
    <w:rsid w:val="003F7AFC"/>
    <w:rsid w:val="00402CB2"/>
    <w:rsid w:val="00402D17"/>
    <w:rsid w:val="004176D8"/>
    <w:rsid w:val="0042006F"/>
    <w:rsid w:val="004267FA"/>
    <w:rsid w:val="00427869"/>
    <w:rsid w:val="00436F83"/>
    <w:rsid w:val="00437BFB"/>
    <w:rsid w:val="00440C65"/>
    <w:rsid w:val="004527D8"/>
    <w:rsid w:val="00455912"/>
    <w:rsid w:val="00460190"/>
    <w:rsid w:val="00465B4A"/>
    <w:rsid w:val="00465ECE"/>
    <w:rsid w:val="00466D46"/>
    <w:rsid w:val="004706A6"/>
    <w:rsid w:val="00470E16"/>
    <w:rsid w:val="0047188B"/>
    <w:rsid w:val="00473BCD"/>
    <w:rsid w:val="00476502"/>
    <w:rsid w:val="004878D2"/>
    <w:rsid w:val="00491EDC"/>
    <w:rsid w:val="004A5282"/>
    <w:rsid w:val="004B03F3"/>
    <w:rsid w:val="004B2FB4"/>
    <w:rsid w:val="004B7D47"/>
    <w:rsid w:val="004C1D0B"/>
    <w:rsid w:val="004C20F6"/>
    <w:rsid w:val="004C5266"/>
    <w:rsid w:val="004C5780"/>
    <w:rsid w:val="004D0FF0"/>
    <w:rsid w:val="004D3134"/>
    <w:rsid w:val="004D357A"/>
    <w:rsid w:val="004D40B2"/>
    <w:rsid w:val="004D4F51"/>
    <w:rsid w:val="004D5BD0"/>
    <w:rsid w:val="004E0CE1"/>
    <w:rsid w:val="004E2D23"/>
    <w:rsid w:val="004E3212"/>
    <w:rsid w:val="004E6CCD"/>
    <w:rsid w:val="004F40F4"/>
    <w:rsid w:val="004F61FE"/>
    <w:rsid w:val="005000AE"/>
    <w:rsid w:val="00502E20"/>
    <w:rsid w:val="00503ACD"/>
    <w:rsid w:val="005051F9"/>
    <w:rsid w:val="00507685"/>
    <w:rsid w:val="0050785A"/>
    <w:rsid w:val="00510C38"/>
    <w:rsid w:val="00516DEE"/>
    <w:rsid w:val="005176B9"/>
    <w:rsid w:val="00517A78"/>
    <w:rsid w:val="00520E8B"/>
    <w:rsid w:val="00526030"/>
    <w:rsid w:val="005313D4"/>
    <w:rsid w:val="00532845"/>
    <w:rsid w:val="00534887"/>
    <w:rsid w:val="00543228"/>
    <w:rsid w:val="00544B1F"/>
    <w:rsid w:val="00547396"/>
    <w:rsid w:val="005601A9"/>
    <w:rsid w:val="005627BC"/>
    <w:rsid w:val="00575392"/>
    <w:rsid w:val="0057544C"/>
    <w:rsid w:val="0057663B"/>
    <w:rsid w:val="0058228F"/>
    <w:rsid w:val="00591704"/>
    <w:rsid w:val="00595D29"/>
    <w:rsid w:val="00596FE7"/>
    <w:rsid w:val="005A0CFE"/>
    <w:rsid w:val="005B7DEB"/>
    <w:rsid w:val="005B7F25"/>
    <w:rsid w:val="005C4C5E"/>
    <w:rsid w:val="005C50B2"/>
    <w:rsid w:val="005C5896"/>
    <w:rsid w:val="005D09AE"/>
    <w:rsid w:val="005D1FD2"/>
    <w:rsid w:val="005D4CCF"/>
    <w:rsid w:val="005D6DA2"/>
    <w:rsid w:val="005D7F26"/>
    <w:rsid w:val="005E4B38"/>
    <w:rsid w:val="005F0D0F"/>
    <w:rsid w:val="005F12D1"/>
    <w:rsid w:val="005F39C8"/>
    <w:rsid w:val="005F3AE7"/>
    <w:rsid w:val="005F7A18"/>
    <w:rsid w:val="006072D1"/>
    <w:rsid w:val="00607B03"/>
    <w:rsid w:val="0061261B"/>
    <w:rsid w:val="006216F3"/>
    <w:rsid w:val="006231FE"/>
    <w:rsid w:val="00626880"/>
    <w:rsid w:val="00634202"/>
    <w:rsid w:val="0063566A"/>
    <w:rsid w:val="00635FE9"/>
    <w:rsid w:val="00636C70"/>
    <w:rsid w:val="00642B25"/>
    <w:rsid w:val="00647B36"/>
    <w:rsid w:val="00647C08"/>
    <w:rsid w:val="00650610"/>
    <w:rsid w:val="00653309"/>
    <w:rsid w:val="00653F40"/>
    <w:rsid w:val="00656CD9"/>
    <w:rsid w:val="00662901"/>
    <w:rsid w:val="006677FC"/>
    <w:rsid w:val="00672019"/>
    <w:rsid w:val="00673771"/>
    <w:rsid w:val="00676E24"/>
    <w:rsid w:val="00684CD8"/>
    <w:rsid w:val="00692F3F"/>
    <w:rsid w:val="006A1E54"/>
    <w:rsid w:val="006A2436"/>
    <w:rsid w:val="006A6494"/>
    <w:rsid w:val="006A7646"/>
    <w:rsid w:val="006B0974"/>
    <w:rsid w:val="006B480C"/>
    <w:rsid w:val="006B5698"/>
    <w:rsid w:val="006C0C55"/>
    <w:rsid w:val="006C520D"/>
    <w:rsid w:val="006C5E38"/>
    <w:rsid w:val="006D3619"/>
    <w:rsid w:val="006E0A29"/>
    <w:rsid w:val="006E367C"/>
    <w:rsid w:val="006E41A2"/>
    <w:rsid w:val="006E44A1"/>
    <w:rsid w:val="006F0DEA"/>
    <w:rsid w:val="006F0F4F"/>
    <w:rsid w:val="006F155D"/>
    <w:rsid w:val="006F2F2D"/>
    <w:rsid w:val="006F49C6"/>
    <w:rsid w:val="006F7648"/>
    <w:rsid w:val="007037F0"/>
    <w:rsid w:val="00704305"/>
    <w:rsid w:val="00705613"/>
    <w:rsid w:val="00705AB2"/>
    <w:rsid w:val="007121D2"/>
    <w:rsid w:val="007122EB"/>
    <w:rsid w:val="00712776"/>
    <w:rsid w:val="007205B2"/>
    <w:rsid w:val="00720D90"/>
    <w:rsid w:val="00722E17"/>
    <w:rsid w:val="00723A3E"/>
    <w:rsid w:val="00723F4E"/>
    <w:rsid w:val="00724753"/>
    <w:rsid w:val="0072533B"/>
    <w:rsid w:val="00731C2E"/>
    <w:rsid w:val="00732CC1"/>
    <w:rsid w:val="00735DB0"/>
    <w:rsid w:val="0073718C"/>
    <w:rsid w:val="00737A24"/>
    <w:rsid w:val="00737EA3"/>
    <w:rsid w:val="007402BC"/>
    <w:rsid w:val="00745DE5"/>
    <w:rsid w:val="00745E52"/>
    <w:rsid w:val="00746D82"/>
    <w:rsid w:val="0074755F"/>
    <w:rsid w:val="0075078C"/>
    <w:rsid w:val="00750CB6"/>
    <w:rsid w:val="0075319A"/>
    <w:rsid w:val="0075432D"/>
    <w:rsid w:val="00756A8E"/>
    <w:rsid w:val="00757336"/>
    <w:rsid w:val="00760858"/>
    <w:rsid w:val="00764307"/>
    <w:rsid w:val="00766220"/>
    <w:rsid w:val="0076627D"/>
    <w:rsid w:val="0076671B"/>
    <w:rsid w:val="00767753"/>
    <w:rsid w:val="007713EF"/>
    <w:rsid w:val="00775AB3"/>
    <w:rsid w:val="00785BF1"/>
    <w:rsid w:val="00787B87"/>
    <w:rsid w:val="007A5165"/>
    <w:rsid w:val="007B01D1"/>
    <w:rsid w:val="007B771C"/>
    <w:rsid w:val="007C039F"/>
    <w:rsid w:val="007C263D"/>
    <w:rsid w:val="007C5585"/>
    <w:rsid w:val="007D35C8"/>
    <w:rsid w:val="007D443B"/>
    <w:rsid w:val="007D65FA"/>
    <w:rsid w:val="007E3BE6"/>
    <w:rsid w:val="007E7CE9"/>
    <w:rsid w:val="007F1C25"/>
    <w:rsid w:val="00801806"/>
    <w:rsid w:val="00801D1C"/>
    <w:rsid w:val="008126BE"/>
    <w:rsid w:val="00816FA1"/>
    <w:rsid w:val="00822129"/>
    <w:rsid w:val="00822E87"/>
    <w:rsid w:val="008234E8"/>
    <w:rsid w:val="00826302"/>
    <w:rsid w:val="008311E1"/>
    <w:rsid w:val="00831CEE"/>
    <w:rsid w:val="0083744A"/>
    <w:rsid w:val="00842BA3"/>
    <w:rsid w:val="008454DB"/>
    <w:rsid w:val="008461E2"/>
    <w:rsid w:val="008508DB"/>
    <w:rsid w:val="00853BAF"/>
    <w:rsid w:val="00856C08"/>
    <w:rsid w:val="0086038E"/>
    <w:rsid w:val="00863001"/>
    <w:rsid w:val="008635DF"/>
    <w:rsid w:val="00871994"/>
    <w:rsid w:val="008814E3"/>
    <w:rsid w:val="008826B8"/>
    <w:rsid w:val="008849DA"/>
    <w:rsid w:val="0089045F"/>
    <w:rsid w:val="00890D27"/>
    <w:rsid w:val="008918E4"/>
    <w:rsid w:val="00891A7D"/>
    <w:rsid w:val="008A2995"/>
    <w:rsid w:val="008A3D75"/>
    <w:rsid w:val="008B2140"/>
    <w:rsid w:val="008B5052"/>
    <w:rsid w:val="008B58B7"/>
    <w:rsid w:val="008B63E3"/>
    <w:rsid w:val="008C095B"/>
    <w:rsid w:val="008C1AF2"/>
    <w:rsid w:val="008C62F5"/>
    <w:rsid w:val="008C6C75"/>
    <w:rsid w:val="008D1BDB"/>
    <w:rsid w:val="008E7700"/>
    <w:rsid w:val="008F57FA"/>
    <w:rsid w:val="00903285"/>
    <w:rsid w:val="00903B5D"/>
    <w:rsid w:val="00904B82"/>
    <w:rsid w:val="00907B6E"/>
    <w:rsid w:val="00911C6A"/>
    <w:rsid w:val="00912B61"/>
    <w:rsid w:val="00915BFD"/>
    <w:rsid w:val="00916712"/>
    <w:rsid w:val="00923BAB"/>
    <w:rsid w:val="00925738"/>
    <w:rsid w:val="0092676C"/>
    <w:rsid w:val="009274CD"/>
    <w:rsid w:val="00932B6D"/>
    <w:rsid w:val="009344B9"/>
    <w:rsid w:val="00936F42"/>
    <w:rsid w:val="00943C01"/>
    <w:rsid w:val="00955336"/>
    <w:rsid w:val="00970852"/>
    <w:rsid w:val="00970E6E"/>
    <w:rsid w:val="009732C3"/>
    <w:rsid w:val="0097588B"/>
    <w:rsid w:val="00982A70"/>
    <w:rsid w:val="00985BBD"/>
    <w:rsid w:val="009863A1"/>
    <w:rsid w:val="00990603"/>
    <w:rsid w:val="00990EE6"/>
    <w:rsid w:val="00992F04"/>
    <w:rsid w:val="009A6C46"/>
    <w:rsid w:val="009B05A6"/>
    <w:rsid w:val="009B0A84"/>
    <w:rsid w:val="009B2090"/>
    <w:rsid w:val="009C279A"/>
    <w:rsid w:val="009C29FB"/>
    <w:rsid w:val="009C2E94"/>
    <w:rsid w:val="009D485A"/>
    <w:rsid w:val="009D5FE1"/>
    <w:rsid w:val="009D7E46"/>
    <w:rsid w:val="009E2382"/>
    <w:rsid w:val="009E7D10"/>
    <w:rsid w:val="009F091E"/>
    <w:rsid w:val="009F14A1"/>
    <w:rsid w:val="009F164C"/>
    <w:rsid w:val="00A06595"/>
    <w:rsid w:val="00A07483"/>
    <w:rsid w:val="00A07ABD"/>
    <w:rsid w:val="00A11326"/>
    <w:rsid w:val="00A12DF5"/>
    <w:rsid w:val="00A14D9B"/>
    <w:rsid w:val="00A17C57"/>
    <w:rsid w:val="00A21987"/>
    <w:rsid w:val="00A21D4F"/>
    <w:rsid w:val="00A309D0"/>
    <w:rsid w:val="00A325AA"/>
    <w:rsid w:val="00A3680E"/>
    <w:rsid w:val="00A42D23"/>
    <w:rsid w:val="00A439C8"/>
    <w:rsid w:val="00A4518B"/>
    <w:rsid w:val="00A46545"/>
    <w:rsid w:val="00A46DE2"/>
    <w:rsid w:val="00A478E4"/>
    <w:rsid w:val="00A530B4"/>
    <w:rsid w:val="00A53FEF"/>
    <w:rsid w:val="00A75BB3"/>
    <w:rsid w:val="00A86235"/>
    <w:rsid w:val="00A8680A"/>
    <w:rsid w:val="00A92511"/>
    <w:rsid w:val="00A92B0C"/>
    <w:rsid w:val="00AB57FC"/>
    <w:rsid w:val="00AB5E11"/>
    <w:rsid w:val="00AC0E87"/>
    <w:rsid w:val="00AC2995"/>
    <w:rsid w:val="00AC3C81"/>
    <w:rsid w:val="00AC7376"/>
    <w:rsid w:val="00AD6460"/>
    <w:rsid w:val="00AD7FE9"/>
    <w:rsid w:val="00AE59CA"/>
    <w:rsid w:val="00AE5AAF"/>
    <w:rsid w:val="00AF5237"/>
    <w:rsid w:val="00B0073B"/>
    <w:rsid w:val="00B01A8E"/>
    <w:rsid w:val="00B06825"/>
    <w:rsid w:val="00B12B66"/>
    <w:rsid w:val="00B1410F"/>
    <w:rsid w:val="00B203B9"/>
    <w:rsid w:val="00B206BD"/>
    <w:rsid w:val="00B21D83"/>
    <w:rsid w:val="00B304E2"/>
    <w:rsid w:val="00B3067A"/>
    <w:rsid w:val="00B31D7D"/>
    <w:rsid w:val="00B32067"/>
    <w:rsid w:val="00B320B2"/>
    <w:rsid w:val="00B32B89"/>
    <w:rsid w:val="00B3537E"/>
    <w:rsid w:val="00B368AC"/>
    <w:rsid w:val="00B441BA"/>
    <w:rsid w:val="00B4555D"/>
    <w:rsid w:val="00B458D4"/>
    <w:rsid w:val="00B47EB0"/>
    <w:rsid w:val="00B54A76"/>
    <w:rsid w:val="00B7069A"/>
    <w:rsid w:val="00B74806"/>
    <w:rsid w:val="00B753D3"/>
    <w:rsid w:val="00B75A15"/>
    <w:rsid w:val="00B8585A"/>
    <w:rsid w:val="00B90D9E"/>
    <w:rsid w:val="00B93995"/>
    <w:rsid w:val="00B97300"/>
    <w:rsid w:val="00B975FE"/>
    <w:rsid w:val="00BA1893"/>
    <w:rsid w:val="00BA2F8E"/>
    <w:rsid w:val="00BB2EF8"/>
    <w:rsid w:val="00BB5372"/>
    <w:rsid w:val="00BC528C"/>
    <w:rsid w:val="00BC78A6"/>
    <w:rsid w:val="00BD0967"/>
    <w:rsid w:val="00BE4EEA"/>
    <w:rsid w:val="00BF3108"/>
    <w:rsid w:val="00BF349E"/>
    <w:rsid w:val="00BF4DA1"/>
    <w:rsid w:val="00BF6EC8"/>
    <w:rsid w:val="00C005D1"/>
    <w:rsid w:val="00C00D4B"/>
    <w:rsid w:val="00C0369A"/>
    <w:rsid w:val="00C06E2D"/>
    <w:rsid w:val="00C13776"/>
    <w:rsid w:val="00C150A7"/>
    <w:rsid w:val="00C16B8A"/>
    <w:rsid w:val="00C17331"/>
    <w:rsid w:val="00C22C4E"/>
    <w:rsid w:val="00C23753"/>
    <w:rsid w:val="00C3171C"/>
    <w:rsid w:val="00C351B1"/>
    <w:rsid w:val="00C37735"/>
    <w:rsid w:val="00C40A5E"/>
    <w:rsid w:val="00C46DB6"/>
    <w:rsid w:val="00C51529"/>
    <w:rsid w:val="00C60B0D"/>
    <w:rsid w:val="00C60F6F"/>
    <w:rsid w:val="00C62761"/>
    <w:rsid w:val="00C63CF0"/>
    <w:rsid w:val="00C65D36"/>
    <w:rsid w:val="00C70981"/>
    <w:rsid w:val="00C77A18"/>
    <w:rsid w:val="00C820BC"/>
    <w:rsid w:val="00C82B5B"/>
    <w:rsid w:val="00C842B4"/>
    <w:rsid w:val="00C85DCB"/>
    <w:rsid w:val="00C9001D"/>
    <w:rsid w:val="00C916EC"/>
    <w:rsid w:val="00CA352A"/>
    <w:rsid w:val="00CC205E"/>
    <w:rsid w:val="00CD4064"/>
    <w:rsid w:val="00CD5F2B"/>
    <w:rsid w:val="00CD77ED"/>
    <w:rsid w:val="00CD7850"/>
    <w:rsid w:val="00CE0DFD"/>
    <w:rsid w:val="00D000A8"/>
    <w:rsid w:val="00D0410D"/>
    <w:rsid w:val="00D05143"/>
    <w:rsid w:val="00D07AC3"/>
    <w:rsid w:val="00D1515A"/>
    <w:rsid w:val="00D16EAB"/>
    <w:rsid w:val="00D16FD1"/>
    <w:rsid w:val="00D17142"/>
    <w:rsid w:val="00D22CCF"/>
    <w:rsid w:val="00D24B20"/>
    <w:rsid w:val="00D36AC5"/>
    <w:rsid w:val="00D41B0A"/>
    <w:rsid w:val="00D46494"/>
    <w:rsid w:val="00D46B5E"/>
    <w:rsid w:val="00D46F70"/>
    <w:rsid w:val="00D46F85"/>
    <w:rsid w:val="00D5452A"/>
    <w:rsid w:val="00D54F0D"/>
    <w:rsid w:val="00D55357"/>
    <w:rsid w:val="00D568CC"/>
    <w:rsid w:val="00D56B94"/>
    <w:rsid w:val="00D61F59"/>
    <w:rsid w:val="00D64B10"/>
    <w:rsid w:val="00D67286"/>
    <w:rsid w:val="00D67F2A"/>
    <w:rsid w:val="00D761C6"/>
    <w:rsid w:val="00D8038C"/>
    <w:rsid w:val="00D832F6"/>
    <w:rsid w:val="00D866F9"/>
    <w:rsid w:val="00D90FA4"/>
    <w:rsid w:val="00DA73C4"/>
    <w:rsid w:val="00DB419A"/>
    <w:rsid w:val="00DB43D2"/>
    <w:rsid w:val="00DB572C"/>
    <w:rsid w:val="00DC18C6"/>
    <w:rsid w:val="00DC3278"/>
    <w:rsid w:val="00DC3AB5"/>
    <w:rsid w:val="00DC6B2A"/>
    <w:rsid w:val="00DC7AE3"/>
    <w:rsid w:val="00DE3C5F"/>
    <w:rsid w:val="00DE682F"/>
    <w:rsid w:val="00DE7448"/>
    <w:rsid w:val="00E13298"/>
    <w:rsid w:val="00E17B8B"/>
    <w:rsid w:val="00E21078"/>
    <w:rsid w:val="00E23A59"/>
    <w:rsid w:val="00E23E09"/>
    <w:rsid w:val="00E27D70"/>
    <w:rsid w:val="00E41F33"/>
    <w:rsid w:val="00E4249A"/>
    <w:rsid w:val="00E46D0A"/>
    <w:rsid w:val="00E524B9"/>
    <w:rsid w:val="00E72374"/>
    <w:rsid w:val="00E74A89"/>
    <w:rsid w:val="00E82386"/>
    <w:rsid w:val="00E86ABB"/>
    <w:rsid w:val="00E902E7"/>
    <w:rsid w:val="00E9208A"/>
    <w:rsid w:val="00EA3144"/>
    <w:rsid w:val="00EA404D"/>
    <w:rsid w:val="00EA5ACD"/>
    <w:rsid w:val="00EC16DA"/>
    <w:rsid w:val="00EC30F3"/>
    <w:rsid w:val="00ED10B4"/>
    <w:rsid w:val="00EE34C6"/>
    <w:rsid w:val="00EE3E38"/>
    <w:rsid w:val="00EE4FAE"/>
    <w:rsid w:val="00EE650C"/>
    <w:rsid w:val="00EE6719"/>
    <w:rsid w:val="00EF02FB"/>
    <w:rsid w:val="00F01120"/>
    <w:rsid w:val="00F0204E"/>
    <w:rsid w:val="00F1155D"/>
    <w:rsid w:val="00F15B5C"/>
    <w:rsid w:val="00F16E57"/>
    <w:rsid w:val="00F31033"/>
    <w:rsid w:val="00F35E1C"/>
    <w:rsid w:val="00F37804"/>
    <w:rsid w:val="00F41981"/>
    <w:rsid w:val="00F52A68"/>
    <w:rsid w:val="00F553D7"/>
    <w:rsid w:val="00F70AA0"/>
    <w:rsid w:val="00F721DB"/>
    <w:rsid w:val="00F77B44"/>
    <w:rsid w:val="00F84757"/>
    <w:rsid w:val="00F92B19"/>
    <w:rsid w:val="00F93DB1"/>
    <w:rsid w:val="00F94747"/>
    <w:rsid w:val="00FA2E66"/>
    <w:rsid w:val="00FA6785"/>
    <w:rsid w:val="00FA6DF2"/>
    <w:rsid w:val="00FB3480"/>
    <w:rsid w:val="00FC04B1"/>
    <w:rsid w:val="00FC279E"/>
    <w:rsid w:val="00FC2B4D"/>
    <w:rsid w:val="00FC719F"/>
    <w:rsid w:val="00FE4A7F"/>
    <w:rsid w:val="00FE75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12970"/>
  <w15:docId w15:val="{0BFD682E-2EA2-4C8A-8BF8-33D7BA35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6A"/>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7B771C"/>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7C039F"/>
    <w:pPr>
      <w:keepNext/>
      <w:spacing w:before="120" w:after="180" w:line="276" w:lineRule="auto"/>
      <w:outlineLvl w:val="1"/>
    </w:pPr>
    <w:rPr>
      <w:b/>
      <w:color w:val="0082AB"/>
      <w:spacing w:val="20"/>
      <w:w w:val="90"/>
      <w:sz w:val="32"/>
      <w:szCs w:val="24"/>
    </w:rPr>
  </w:style>
  <w:style w:type="paragraph" w:styleId="Heading3">
    <w:name w:val="heading 3"/>
    <w:basedOn w:val="Heading2"/>
    <w:next w:val="Normal"/>
    <w:link w:val="Heading3Char"/>
    <w:qFormat/>
    <w:rsid w:val="007B771C"/>
    <w:pPr>
      <w:spacing w:before="200"/>
      <w:outlineLvl w:val="2"/>
    </w:pPr>
    <w:rPr>
      <w:sz w:val="24"/>
      <w:szCs w:val="22"/>
    </w:rPr>
  </w:style>
  <w:style w:type="paragraph" w:styleId="Heading4">
    <w:name w:val="heading 4"/>
    <w:basedOn w:val="Normal"/>
    <w:next w:val="Normal"/>
    <w:link w:val="Heading4Char"/>
    <w:qFormat/>
    <w:rsid w:val="007B771C"/>
    <w:pPr>
      <w:spacing w:before="120" w:after="200" w:line="240" w:lineRule="auto"/>
      <w:outlineLvl w:val="3"/>
    </w:pPr>
    <w:rPr>
      <w:b/>
      <w:bCs/>
      <w:color w:val="335087"/>
      <w:sz w:val="20"/>
    </w:rPr>
  </w:style>
  <w:style w:type="paragraph" w:styleId="Heading5">
    <w:name w:val="heading 5"/>
    <w:basedOn w:val="Normal"/>
    <w:next w:val="Normal"/>
    <w:link w:val="Heading5Char"/>
    <w:rsid w:val="007B771C"/>
    <w:pPr>
      <w:keepNext/>
      <w:widowControl w:val="0"/>
      <w:spacing w:before="80" w:after="120"/>
      <w:outlineLvl w:val="4"/>
    </w:pPr>
    <w:rPr>
      <w:color w:val="000000"/>
      <w:szCs w:val="22"/>
    </w:rPr>
  </w:style>
  <w:style w:type="paragraph" w:styleId="Heading6">
    <w:name w:val="heading 6"/>
    <w:basedOn w:val="Normal"/>
    <w:next w:val="Normal"/>
    <w:link w:val="Heading6Char"/>
    <w:rsid w:val="007B771C"/>
    <w:pPr>
      <w:spacing w:before="240"/>
      <w:outlineLvl w:val="5"/>
    </w:pPr>
    <w:rPr>
      <w:i/>
      <w:sz w:val="20"/>
    </w:rPr>
  </w:style>
  <w:style w:type="paragraph" w:styleId="Heading7">
    <w:name w:val="heading 7"/>
    <w:basedOn w:val="Normal"/>
    <w:next w:val="Normal"/>
    <w:link w:val="Heading7Char"/>
    <w:rsid w:val="007B771C"/>
    <w:pPr>
      <w:spacing w:before="240"/>
      <w:outlineLvl w:val="6"/>
    </w:pPr>
    <w:rPr>
      <w:sz w:val="20"/>
    </w:rPr>
  </w:style>
  <w:style w:type="paragraph" w:styleId="Heading8">
    <w:name w:val="heading 8"/>
    <w:basedOn w:val="Normal"/>
    <w:next w:val="Normal"/>
    <w:link w:val="Heading8Char"/>
    <w:rsid w:val="007B771C"/>
    <w:pPr>
      <w:spacing w:before="80" w:after="80"/>
      <w:outlineLvl w:val="7"/>
    </w:pPr>
    <w:rPr>
      <w:sz w:val="20"/>
    </w:rPr>
  </w:style>
  <w:style w:type="paragraph" w:styleId="Heading9">
    <w:name w:val="heading 9"/>
    <w:next w:val="Normal"/>
    <w:link w:val="Heading9Char"/>
    <w:rsid w:val="007B771C"/>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71C"/>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7C039F"/>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7B771C"/>
    <w:rPr>
      <w:rFonts w:ascii="Arial" w:eastAsia="Times New Roman" w:hAnsi="Arial" w:cs="Times New Roman"/>
      <w:b/>
      <w:color w:val="0082AB"/>
      <w:spacing w:val="20"/>
      <w:w w:val="90"/>
      <w:sz w:val="24"/>
      <w:lang w:val="en-GB" w:eastAsia="en-GB"/>
    </w:rPr>
  </w:style>
  <w:style w:type="character" w:customStyle="1" w:styleId="Heading4Char">
    <w:name w:val="Heading 4 Char"/>
    <w:link w:val="Heading4"/>
    <w:rsid w:val="007B771C"/>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7B771C"/>
    <w:rPr>
      <w:rFonts w:ascii="Arial" w:eastAsia="Times New Roman" w:hAnsi="Arial" w:cs="Times New Roman"/>
      <w:color w:val="000000"/>
      <w:lang w:val="en-GB" w:eastAsia="en-GB"/>
    </w:rPr>
  </w:style>
  <w:style w:type="character" w:customStyle="1" w:styleId="Heading6Char">
    <w:name w:val="Heading 6 Char"/>
    <w:link w:val="Heading6"/>
    <w:rsid w:val="007B771C"/>
    <w:rPr>
      <w:rFonts w:ascii="Arial" w:eastAsia="Times New Roman" w:hAnsi="Arial" w:cs="Times New Roman"/>
      <w:i/>
      <w:sz w:val="20"/>
      <w:szCs w:val="20"/>
      <w:lang w:val="en-GB" w:eastAsia="en-GB"/>
    </w:rPr>
  </w:style>
  <w:style w:type="character" w:customStyle="1" w:styleId="Heading7Char">
    <w:name w:val="Heading 7 Char"/>
    <w:link w:val="Heading7"/>
    <w:rsid w:val="007B771C"/>
    <w:rPr>
      <w:rFonts w:ascii="Arial" w:eastAsia="Times New Roman" w:hAnsi="Arial" w:cs="Times New Roman"/>
      <w:sz w:val="20"/>
      <w:szCs w:val="20"/>
      <w:lang w:val="en-GB" w:eastAsia="en-GB"/>
    </w:rPr>
  </w:style>
  <w:style w:type="character" w:customStyle="1" w:styleId="Heading8Char">
    <w:name w:val="Heading 8 Char"/>
    <w:link w:val="Heading8"/>
    <w:rsid w:val="007B771C"/>
    <w:rPr>
      <w:rFonts w:ascii="Arial" w:eastAsia="Times New Roman" w:hAnsi="Arial" w:cs="Times New Roman"/>
      <w:sz w:val="20"/>
      <w:szCs w:val="20"/>
      <w:lang w:val="en-GB" w:eastAsia="en-GB"/>
    </w:rPr>
  </w:style>
  <w:style w:type="character" w:customStyle="1" w:styleId="Heading9Char">
    <w:name w:val="Heading 9 Char"/>
    <w:link w:val="Heading9"/>
    <w:rsid w:val="007B771C"/>
    <w:rPr>
      <w:rFonts w:ascii="Arial" w:eastAsia="Times New Roman" w:hAnsi="Arial" w:cs="Times New Roman"/>
      <w:b/>
      <w:i/>
      <w:sz w:val="20"/>
      <w:szCs w:val="20"/>
      <w:lang w:val="en-AU"/>
    </w:rPr>
  </w:style>
  <w:style w:type="paragraph" w:styleId="Footer">
    <w:name w:val="footer"/>
    <w:basedOn w:val="Normal"/>
    <w:link w:val="FooterChar"/>
    <w:autoRedefine/>
    <w:rsid w:val="007B771C"/>
    <w:pPr>
      <w:spacing w:after="0" w:line="240" w:lineRule="auto"/>
      <w:ind w:left="-1985"/>
      <w:jc w:val="right"/>
    </w:pPr>
    <w:rPr>
      <w:noProof/>
      <w:color w:val="0082AB"/>
      <w:spacing w:val="6"/>
      <w:sz w:val="16"/>
      <w:szCs w:val="16"/>
    </w:rPr>
  </w:style>
  <w:style w:type="character" w:customStyle="1" w:styleId="FooterChar">
    <w:name w:val="Footer Char"/>
    <w:link w:val="Footer"/>
    <w:rsid w:val="007B771C"/>
    <w:rPr>
      <w:rFonts w:ascii="Arial" w:eastAsia="Times New Roman" w:hAnsi="Arial" w:cs="Times New Roman"/>
      <w:noProof/>
      <w:color w:val="0082AB"/>
      <w:spacing w:val="6"/>
      <w:sz w:val="16"/>
      <w:szCs w:val="16"/>
      <w:lang w:val="en-GB" w:eastAsia="en-GB"/>
    </w:rPr>
  </w:style>
  <w:style w:type="table" w:styleId="TableGrid">
    <w:name w:val="Table Grid"/>
    <w:basedOn w:val="TableNormal"/>
    <w:uiPriority w:val="59"/>
    <w:rsid w:val="007B771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B771C"/>
    <w:rPr>
      <w:rFonts w:ascii="Tahoma" w:hAnsi="Tahoma" w:cs="Tahoma"/>
      <w:sz w:val="16"/>
      <w:szCs w:val="16"/>
    </w:rPr>
  </w:style>
  <w:style w:type="character" w:customStyle="1" w:styleId="BalloonTextChar">
    <w:name w:val="Balloon Text Char"/>
    <w:link w:val="BalloonText"/>
    <w:semiHidden/>
    <w:rsid w:val="007B771C"/>
    <w:rPr>
      <w:rFonts w:ascii="Tahoma" w:eastAsia="Times New Roman" w:hAnsi="Tahoma" w:cs="Tahoma"/>
      <w:sz w:val="16"/>
      <w:szCs w:val="16"/>
      <w:lang w:val="en-GB" w:eastAsia="en-GB"/>
    </w:rPr>
  </w:style>
  <w:style w:type="paragraph" w:styleId="ListParagraph">
    <w:name w:val="List Paragraph"/>
    <w:basedOn w:val="Normal"/>
    <w:uiPriority w:val="34"/>
    <w:qFormat/>
    <w:rsid w:val="007B771C"/>
    <w:pPr>
      <w:ind w:left="720"/>
      <w:contextualSpacing/>
    </w:pPr>
  </w:style>
  <w:style w:type="character" w:styleId="Hyperlink">
    <w:name w:val="Hyperlink"/>
    <w:uiPriority w:val="99"/>
    <w:rsid w:val="007B771C"/>
    <w:rPr>
      <w:color w:val="0082AB"/>
      <w:u w:val="single"/>
    </w:rPr>
  </w:style>
  <w:style w:type="character" w:styleId="CommentReference">
    <w:name w:val="annotation reference"/>
    <w:uiPriority w:val="99"/>
    <w:semiHidden/>
    <w:rsid w:val="007B771C"/>
    <w:rPr>
      <w:sz w:val="16"/>
      <w:szCs w:val="16"/>
    </w:rPr>
  </w:style>
  <w:style w:type="paragraph" w:styleId="CommentText">
    <w:name w:val="annotation text"/>
    <w:basedOn w:val="Normal"/>
    <w:link w:val="CommentTextChar"/>
    <w:uiPriority w:val="99"/>
    <w:semiHidden/>
    <w:rsid w:val="007B771C"/>
    <w:rPr>
      <w:sz w:val="20"/>
    </w:rPr>
  </w:style>
  <w:style w:type="character" w:customStyle="1" w:styleId="CommentTextChar">
    <w:name w:val="Comment Text Char"/>
    <w:link w:val="CommentText"/>
    <w:uiPriority w:val="99"/>
    <w:semiHidden/>
    <w:rsid w:val="007B771C"/>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7B771C"/>
    <w:pPr>
      <w:keepNext/>
      <w:numPr>
        <w:numId w:val="6"/>
      </w:numPr>
      <w:spacing w:before="60" w:line="240" w:lineRule="auto"/>
    </w:pPr>
    <w:rPr>
      <w:rFonts w:cs="Arial"/>
    </w:rPr>
  </w:style>
  <w:style w:type="character" w:customStyle="1" w:styleId="BodyText-NumberedChar">
    <w:name w:val="Body Text - Numbered Char"/>
    <w:link w:val="BodyText-Numbered"/>
    <w:rsid w:val="007B771C"/>
    <w:rPr>
      <w:rFonts w:ascii="Arial" w:eastAsia="Times New Roman" w:hAnsi="Arial" w:cs="Arial"/>
      <w:szCs w:val="20"/>
      <w:lang w:val="en-GB" w:eastAsia="en-GB"/>
    </w:rPr>
  </w:style>
  <w:style w:type="paragraph" w:styleId="BodyText">
    <w:name w:val="Body Text"/>
    <w:basedOn w:val="Normal"/>
    <w:link w:val="BodyTextChar"/>
    <w:uiPriority w:val="99"/>
    <w:unhideWhenUsed/>
    <w:rsid w:val="007B771C"/>
    <w:pPr>
      <w:spacing w:after="120"/>
    </w:pPr>
  </w:style>
  <w:style w:type="character" w:customStyle="1" w:styleId="BodyTextChar">
    <w:name w:val="Body Text Char"/>
    <w:link w:val="BodyText"/>
    <w:uiPriority w:val="99"/>
    <w:rsid w:val="007B771C"/>
    <w:rPr>
      <w:rFonts w:ascii="Arial" w:eastAsia="Times New Roman" w:hAnsi="Arial" w:cs="Times New Roman"/>
      <w:szCs w:val="20"/>
      <w:lang w:val="en-GB" w:eastAsia="en-GB"/>
    </w:rPr>
  </w:style>
  <w:style w:type="paragraph" w:customStyle="1" w:styleId="spacer">
    <w:name w:val="spacer"/>
    <w:basedOn w:val="Normal"/>
    <w:qFormat/>
    <w:rsid w:val="007B771C"/>
    <w:pPr>
      <w:spacing w:after="0" w:line="240" w:lineRule="auto"/>
    </w:pPr>
    <w:rPr>
      <w:sz w:val="16"/>
      <w:szCs w:val="22"/>
      <w:lang w:eastAsia="en-AU"/>
    </w:rPr>
  </w:style>
  <w:style w:type="paragraph" w:styleId="CommentSubject">
    <w:name w:val="annotation subject"/>
    <w:basedOn w:val="CommentText"/>
    <w:next w:val="CommentText"/>
    <w:link w:val="CommentSubjectChar"/>
    <w:uiPriority w:val="99"/>
    <w:semiHidden/>
    <w:rsid w:val="007B771C"/>
    <w:rPr>
      <w:b/>
      <w:bCs/>
    </w:rPr>
  </w:style>
  <w:style w:type="character" w:customStyle="1" w:styleId="CommentSubjectChar">
    <w:name w:val="Comment Subject Char"/>
    <w:link w:val="CommentSubject"/>
    <w:uiPriority w:val="99"/>
    <w:semiHidden/>
    <w:rsid w:val="007B771C"/>
    <w:rPr>
      <w:rFonts w:ascii="Arial" w:eastAsia="Times New Roman" w:hAnsi="Arial" w:cs="Times New Roman"/>
      <w:b/>
      <w:bCs/>
      <w:sz w:val="20"/>
      <w:szCs w:val="20"/>
      <w:lang w:val="en-GB" w:eastAsia="en-GB"/>
    </w:rPr>
  </w:style>
  <w:style w:type="paragraph" w:styleId="Header">
    <w:name w:val="header"/>
    <w:basedOn w:val="Normal"/>
    <w:link w:val="HeaderChar"/>
    <w:rsid w:val="007B771C"/>
    <w:pPr>
      <w:tabs>
        <w:tab w:val="center" w:pos="4153"/>
        <w:tab w:val="right" w:pos="8306"/>
      </w:tabs>
    </w:pPr>
  </w:style>
  <w:style w:type="character" w:customStyle="1" w:styleId="HeaderChar">
    <w:name w:val="Header Char"/>
    <w:link w:val="Header"/>
    <w:rsid w:val="007B771C"/>
    <w:rPr>
      <w:rFonts w:ascii="Arial" w:eastAsia="Times New Roman" w:hAnsi="Arial" w:cs="Times New Roman"/>
      <w:szCs w:val="20"/>
      <w:lang w:val="en-GB" w:eastAsia="en-GB"/>
    </w:rPr>
  </w:style>
  <w:style w:type="character" w:styleId="FollowedHyperlink">
    <w:name w:val="FollowedHyperlink"/>
    <w:rsid w:val="007B771C"/>
    <w:rPr>
      <w:color w:val="800080"/>
      <w:u w:val="single"/>
    </w:rPr>
  </w:style>
  <w:style w:type="paragraph" w:styleId="Revision">
    <w:name w:val="Revision"/>
    <w:hidden/>
    <w:uiPriority w:val="99"/>
    <w:semiHidden/>
    <w:rsid w:val="007B771C"/>
    <w:rPr>
      <w:sz w:val="22"/>
      <w:szCs w:val="22"/>
      <w:lang w:eastAsia="en-US"/>
    </w:rPr>
  </w:style>
  <w:style w:type="paragraph" w:customStyle="1" w:styleId="Author">
    <w:name w:val="Author"/>
    <w:basedOn w:val="Normal"/>
    <w:semiHidden/>
    <w:rsid w:val="007B771C"/>
    <w:pPr>
      <w:spacing w:before="240" w:after="1200"/>
      <w:ind w:left="-181"/>
      <w:jc w:val="right"/>
    </w:pPr>
    <w:rPr>
      <w:rFonts w:cs="Arial"/>
      <w:i/>
      <w:sz w:val="40"/>
      <w:szCs w:val="22"/>
    </w:rPr>
  </w:style>
  <w:style w:type="paragraph" w:customStyle="1" w:styleId="Boxtext">
    <w:name w:val="Box text"/>
    <w:basedOn w:val="Normal"/>
    <w:rsid w:val="007B771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7B771C"/>
    <w:pPr>
      <w:numPr>
        <w:numId w:val="12"/>
      </w:numPr>
      <w:tabs>
        <w:tab w:val="clear" w:pos="644"/>
        <w:tab w:val="num" w:pos="426"/>
      </w:tabs>
      <w:spacing w:before="80"/>
    </w:pPr>
  </w:style>
  <w:style w:type="paragraph" w:customStyle="1" w:styleId="Boxheading">
    <w:name w:val="Box heading"/>
    <w:basedOn w:val="Normal"/>
    <w:next w:val="Boxtext"/>
    <w:autoRedefine/>
    <w:rsid w:val="007B771C"/>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7B771C"/>
    <w:pPr>
      <w:tabs>
        <w:tab w:val="left" w:pos="426"/>
      </w:tabs>
      <w:ind w:left="426" w:hanging="284"/>
    </w:pPr>
  </w:style>
  <w:style w:type="paragraph" w:customStyle="1" w:styleId="Bullet-list">
    <w:name w:val="Bullet-list"/>
    <w:qFormat/>
    <w:rsid w:val="007B771C"/>
    <w:pPr>
      <w:numPr>
        <w:numId w:val="13"/>
      </w:numPr>
      <w:spacing w:after="180" w:line="280" w:lineRule="exact"/>
    </w:pPr>
    <w:rPr>
      <w:rFonts w:ascii="Arial" w:eastAsia="Times New Roman" w:hAnsi="Arial"/>
      <w:sz w:val="22"/>
      <w:lang w:val="en-AU" w:eastAsia="en-US"/>
    </w:rPr>
  </w:style>
  <w:style w:type="paragraph" w:styleId="Caption">
    <w:name w:val="caption"/>
    <w:basedOn w:val="Normal"/>
    <w:next w:val="Normal"/>
    <w:rsid w:val="007B771C"/>
    <w:rPr>
      <w:b/>
      <w:bCs/>
      <w:sz w:val="20"/>
    </w:rPr>
  </w:style>
  <w:style w:type="paragraph" w:styleId="DocumentMap">
    <w:name w:val="Document Map"/>
    <w:basedOn w:val="Normal"/>
    <w:link w:val="DocumentMapChar"/>
    <w:semiHidden/>
    <w:rsid w:val="007B771C"/>
    <w:pPr>
      <w:shd w:val="clear" w:color="auto" w:fill="000080"/>
    </w:pPr>
    <w:rPr>
      <w:rFonts w:ascii="Tahoma" w:hAnsi="Tahoma" w:cs="Tahoma"/>
      <w:sz w:val="20"/>
    </w:rPr>
  </w:style>
  <w:style w:type="character" w:customStyle="1" w:styleId="DocumentMapChar">
    <w:name w:val="Document Map Char"/>
    <w:link w:val="DocumentMap"/>
    <w:semiHidden/>
    <w:rsid w:val="007B771C"/>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7B771C"/>
    <w:pPr>
      <w:jc w:val="left"/>
    </w:pPr>
  </w:style>
  <w:style w:type="paragraph" w:customStyle="1" w:styleId="Evenfooter-wide">
    <w:name w:val="Even footer-wide"/>
    <w:basedOn w:val="EvenFooter"/>
    <w:rsid w:val="007B771C"/>
  </w:style>
  <w:style w:type="character" w:styleId="FootnoteReference">
    <w:name w:val="footnote reference"/>
    <w:aliases w:val="16 Point,Superscript 6 Point"/>
    <w:uiPriority w:val="99"/>
    <w:rsid w:val="007B771C"/>
    <w:rPr>
      <w:rFonts w:ascii="Arial" w:hAnsi="Arial"/>
      <w:color w:val="auto"/>
      <w:position w:val="8"/>
      <w:sz w:val="16"/>
    </w:rPr>
  </w:style>
  <w:style w:type="paragraph" w:styleId="FootnoteText">
    <w:name w:val="footnote text"/>
    <w:basedOn w:val="Normal"/>
    <w:link w:val="FootnoteTextChar"/>
    <w:uiPriority w:val="99"/>
    <w:qFormat/>
    <w:rsid w:val="007B771C"/>
    <w:pPr>
      <w:tabs>
        <w:tab w:val="left" w:pos="425"/>
      </w:tabs>
      <w:spacing w:after="60" w:line="240" w:lineRule="auto"/>
      <w:ind w:left="425" w:hanging="425"/>
    </w:pPr>
    <w:rPr>
      <w:sz w:val="18"/>
    </w:rPr>
  </w:style>
  <w:style w:type="character" w:customStyle="1" w:styleId="FootnoteTextChar">
    <w:name w:val="Footnote Text Char"/>
    <w:link w:val="FootnoteText"/>
    <w:uiPriority w:val="99"/>
    <w:rsid w:val="007B771C"/>
    <w:rPr>
      <w:rFonts w:ascii="Arial" w:eastAsia="Times New Roman" w:hAnsi="Arial" w:cs="Times New Roman"/>
      <w:sz w:val="18"/>
      <w:szCs w:val="20"/>
      <w:lang w:val="en-GB" w:eastAsia="en-GB"/>
    </w:rPr>
  </w:style>
  <w:style w:type="paragraph" w:styleId="List">
    <w:name w:val="List"/>
    <w:basedOn w:val="Normal"/>
    <w:rsid w:val="007B771C"/>
    <w:pPr>
      <w:ind w:left="283" w:hanging="283"/>
    </w:pPr>
  </w:style>
  <w:style w:type="paragraph" w:styleId="Title">
    <w:name w:val="Title"/>
    <w:basedOn w:val="Normal"/>
    <w:link w:val="TitleChar"/>
    <w:rsid w:val="007B771C"/>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7B771C"/>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7B771C"/>
    <w:pPr>
      <w:spacing w:before="360" w:line="600" w:lineRule="atLeast"/>
    </w:pPr>
    <w:rPr>
      <w:sz w:val="36"/>
      <w:szCs w:val="36"/>
    </w:rPr>
  </w:style>
  <w:style w:type="character" w:customStyle="1" w:styleId="SubtitleChar">
    <w:name w:val="Subtitle Char"/>
    <w:link w:val="Subtitle"/>
    <w:rsid w:val="007B771C"/>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7B771C"/>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7B771C"/>
    <w:pPr>
      <w:keepNext/>
      <w:spacing w:after="0" w:line="240" w:lineRule="auto"/>
    </w:pPr>
    <w:rPr>
      <w:sz w:val="20"/>
    </w:rPr>
  </w:style>
  <w:style w:type="paragraph" w:styleId="TOC1">
    <w:name w:val="toc 1"/>
    <w:basedOn w:val="Normal"/>
    <w:next w:val="Normal"/>
    <w:uiPriority w:val="39"/>
    <w:rsid w:val="007B771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7B771C"/>
    <w:pPr>
      <w:tabs>
        <w:tab w:val="right" w:leader="dot" w:pos="9214"/>
      </w:tabs>
      <w:spacing w:before="100" w:after="100"/>
      <w:ind w:left="709" w:right="284"/>
    </w:pPr>
    <w:rPr>
      <w:noProof/>
      <w:sz w:val="24"/>
    </w:rPr>
  </w:style>
  <w:style w:type="paragraph" w:styleId="TOC3">
    <w:name w:val="toc 3"/>
    <w:basedOn w:val="Normal"/>
    <w:next w:val="Normal"/>
    <w:uiPriority w:val="39"/>
    <w:rsid w:val="007B771C"/>
    <w:pPr>
      <w:tabs>
        <w:tab w:val="left" w:leader="dot" w:pos="8646"/>
        <w:tab w:val="right" w:pos="9072"/>
      </w:tabs>
      <w:ind w:left="1418" w:right="850"/>
    </w:pPr>
  </w:style>
  <w:style w:type="paragraph" w:customStyle="1" w:styleId="Tier2Bullet-list">
    <w:name w:val="Tier 2 Bullet-list"/>
    <w:qFormat/>
    <w:rsid w:val="007B771C"/>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7B771C"/>
    <w:pPr>
      <w:spacing w:before="60" w:after="60" w:line="276" w:lineRule="auto"/>
    </w:pPr>
    <w:rPr>
      <w:i/>
      <w:szCs w:val="22"/>
    </w:rPr>
  </w:style>
  <w:style w:type="paragraph" w:customStyle="1" w:styleId="Sub-list">
    <w:name w:val="Sub-list"/>
    <w:basedOn w:val="Normal"/>
    <w:qFormat/>
    <w:rsid w:val="007B771C"/>
    <w:pPr>
      <w:numPr>
        <w:numId w:val="16"/>
      </w:numPr>
      <w:tabs>
        <w:tab w:val="left" w:pos="794"/>
      </w:tabs>
      <w:spacing w:after="120"/>
    </w:pPr>
    <w:rPr>
      <w:rFonts w:ascii="Calibri" w:hAnsi="Calibri"/>
      <w:szCs w:val="22"/>
      <w:lang w:val="en-NZ" w:eastAsia="en-NZ"/>
    </w:rPr>
  </w:style>
  <w:style w:type="paragraph" w:styleId="TOCHeading">
    <w:name w:val="TOC Heading"/>
    <w:basedOn w:val="Heading1"/>
    <w:next w:val="Normal"/>
    <w:uiPriority w:val="39"/>
    <w:unhideWhenUsed/>
    <w:qFormat/>
    <w:rsid w:val="007B771C"/>
    <w:pPr>
      <w:keepNext/>
      <w:keepLines/>
      <w:spacing w:before="240" w:after="0" w:line="259" w:lineRule="auto"/>
      <w:outlineLvl w:val="9"/>
    </w:pPr>
    <w:rPr>
      <w:rFonts w:ascii="Calibri Light" w:hAnsi="Calibri Light"/>
      <w:b w:val="0"/>
      <w:color w:val="2E74B5"/>
      <w:spacing w:val="0"/>
      <w:w w:val="100"/>
      <w:sz w:val="32"/>
      <w:szCs w:val="32"/>
      <w:lang w:val="en-US" w:eastAsia="en-US"/>
    </w:rPr>
  </w:style>
  <w:style w:type="paragraph" w:styleId="Quote">
    <w:name w:val="Quote"/>
    <w:basedOn w:val="Normal"/>
    <w:next w:val="BodyText"/>
    <w:link w:val="QuoteChar"/>
    <w:uiPriority w:val="1"/>
    <w:qFormat/>
    <w:rsid w:val="007B771C"/>
    <w:pPr>
      <w:spacing w:before="60" w:after="60"/>
      <w:ind w:left="567" w:right="567"/>
    </w:pPr>
    <w:rPr>
      <w:rFonts w:ascii="Calibri" w:hAnsi="Calibri"/>
      <w:sz w:val="20"/>
      <w:szCs w:val="22"/>
      <w:lang w:val="en-NZ" w:eastAsia="en-NZ"/>
    </w:rPr>
  </w:style>
  <w:style w:type="character" w:customStyle="1" w:styleId="QuoteChar">
    <w:name w:val="Quote Char"/>
    <w:link w:val="Quote"/>
    <w:uiPriority w:val="1"/>
    <w:rsid w:val="007B771C"/>
    <w:rPr>
      <w:rFonts w:ascii="Calibri" w:eastAsia="Times New Roman" w:hAnsi="Calibri" w:cs="Times New Roman"/>
      <w:sz w:val="20"/>
      <w:lang w:eastAsia="en-NZ"/>
    </w:rPr>
  </w:style>
  <w:style w:type="paragraph" w:customStyle="1" w:styleId="Note">
    <w:name w:val="Note"/>
    <w:basedOn w:val="BodyText"/>
    <w:next w:val="Normal"/>
    <w:uiPriority w:val="1"/>
    <w:qFormat/>
    <w:rsid w:val="007B771C"/>
    <w:pPr>
      <w:spacing w:before="120" w:line="260" w:lineRule="atLeast"/>
    </w:pPr>
    <w:rPr>
      <w:rFonts w:ascii="Calibri" w:hAnsi="Calibri"/>
      <w:sz w:val="18"/>
      <w:szCs w:val="22"/>
      <w:lang w:val="en-NZ" w:eastAsia="en-NZ"/>
    </w:rPr>
  </w:style>
  <w:style w:type="paragraph" w:customStyle="1" w:styleId="Tableheading">
    <w:name w:val="Table heading"/>
    <w:basedOn w:val="Normal"/>
    <w:next w:val="Normal"/>
    <w:qFormat/>
    <w:rsid w:val="007B771C"/>
    <w:pPr>
      <w:keepNext/>
      <w:spacing w:before="120" w:after="120" w:line="260" w:lineRule="atLeast"/>
      <w:ind w:left="1134" w:hanging="1134"/>
    </w:pPr>
    <w:rPr>
      <w:rFonts w:ascii="Calibri" w:hAnsi="Calibri"/>
      <w:b/>
      <w:sz w:val="20"/>
      <w:szCs w:val="22"/>
      <w:lang w:val="en-NZ" w:eastAsia="en-NZ"/>
    </w:rPr>
  </w:style>
  <w:style w:type="paragraph" w:customStyle="1" w:styleId="TableText0">
    <w:name w:val="TableText"/>
    <w:basedOn w:val="Normal"/>
    <w:qFormat/>
    <w:rsid w:val="007B771C"/>
    <w:pPr>
      <w:spacing w:before="60" w:after="60" w:line="240" w:lineRule="atLeast"/>
    </w:pPr>
    <w:rPr>
      <w:rFonts w:ascii="Calibri" w:hAnsi="Calibri"/>
      <w:sz w:val="18"/>
      <w:szCs w:val="22"/>
      <w:lang w:val="en-NZ" w:eastAsia="en-NZ"/>
    </w:rPr>
  </w:style>
  <w:style w:type="paragraph" w:customStyle="1" w:styleId="TableTextbold">
    <w:name w:val="TableText bold"/>
    <w:basedOn w:val="TableText0"/>
    <w:rsid w:val="007B771C"/>
    <w:rPr>
      <w:b/>
    </w:rPr>
  </w:style>
  <w:style w:type="paragraph" w:customStyle="1" w:styleId="TableDash">
    <w:name w:val="TableDash"/>
    <w:basedOn w:val="Normal"/>
    <w:qFormat/>
    <w:rsid w:val="007B771C"/>
    <w:pPr>
      <w:numPr>
        <w:numId w:val="25"/>
      </w:numPr>
      <w:tabs>
        <w:tab w:val="clear" w:pos="567"/>
      </w:tabs>
      <w:spacing w:after="60" w:line="240" w:lineRule="atLeast"/>
      <w:ind w:left="568" w:hanging="284"/>
    </w:pPr>
    <w:rPr>
      <w:rFonts w:ascii="Calibri" w:hAnsi="Calibri" w:cs="Arial"/>
      <w:sz w:val="18"/>
      <w:szCs w:val="16"/>
      <w:lang w:val="en-NZ" w:eastAsia="en-NZ"/>
    </w:rPr>
  </w:style>
  <w:style w:type="paragraph" w:customStyle="1" w:styleId="Greenbullet-casestudytables">
    <w:name w:val="Green bullet - case study tables"/>
    <w:basedOn w:val="Normal"/>
    <w:uiPriority w:val="1"/>
    <w:semiHidden/>
    <w:rsid w:val="00142F95"/>
    <w:pPr>
      <w:numPr>
        <w:numId w:val="35"/>
      </w:numPr>
      <w:spacing w:after="120"/>
      <w:ind w:left="681" w:right="284" w:hanging="397"/>
    </w:pPr>
    <w:rPr>
      <w:rFonts w:ascii="Calibri" w:eastAsiaTheme="minorEastAsia" w:hAnsi="Calibri" w:cstheme="minorBidi"/>
      <w:color w:val="0F7B7D"/>
      <w:sz w:val="20"/>
      <w:szCs w:val="22"/>
      <w:lang w:val="en-NZ" w:eastAsia="en-NZ"/>
    </w:rPr>
  </w:style>
  <w:style w:type="paragraph" w:customStyle="1" w:styleId="Paragraphbody">
    <w:name w:val="Paragraph body"/>
    <w:basedOn w:val="Normal"/>
    <w:rsid w:val="00DB572C"/>
    <w:pPr>
      <w:spacing w:before="120" w:after="120" w:line="240" w:lineRule="auto"/>
      <w:jc w:val="both"/>
    </w:pPr>
    <w:rPr>
      <w:rFonts w:ascii="Times New Roman" w:hAnsi="Times New Roman"/>
      <w:sz w:val="24"/>
      <w:szCs w:val="24"/>
      <w:lang w:val="en-NZ" w:eastAsia="en-US"/>
    </w:rPr>
  </w:style>
  <w:style w:type="paragraph" w:customStyle="1" w:styleId="Bullet">
    <w:name w:val="Bullet"/>
    <w:basedOn w:val="Normal"/>
    <w:link w:val="BulletChar"/>
    <w:qFormat/>
    <w:rsid w:val="008B5052"/>
    <w:pPr>
      <w:numPr>
        <w:numId w:val="38"/>
      </w:numPr>
      <w:tabs>
        <w:tab w:val="left" w:pos="397"/>
      </w:tabs>
      <w:spacing w:after="120" w:line="280" w:lineRule="exact"/>
    </w:pPr>
    <w:rPr>
      <w:rFonts w:ascii="Calibri" w:hAnsi="Calibri"/>
      <w:lang w:val="en-NZ" w:eastAsia="en-NZ"/>
    </w:rPr>
  </w:style>
  <w:style w:type="paragraph" w:customStyle="1" w:styleId="Source">
    <w:name w:val="Source"/>
    <w:basedOn w:val="Normal"/>
    <w:next w:val="Normal"/>
    <w:uiPriority w:val="1"/>
    <w:qFormat/>
    <w:rsid w:val="008B5052"/>
    <w:pPr>
      <w:tabs>
        <w:tab w:val="left" w:pos="680"/>
      </w:tabs>
      <w:spacing w:before="120" w:after="120"/>
    </w:pPr>
    <w:rPr>
      <w:rFonts w:ascii="Calibri" w:eastAsiaTheme="minorEastAsia" w:hAnsi="Calibri" w:cstheme="minorBidi"/>
      <w:sz w:val="18"/>
      <w:szCs w:val="22"/>
      <w:lang w:val="en-NZ" w:eastAsia="en-NZ"/>
    </w:rPr>
  </w:style>
  <w:style w:type="character" w:customStyle="1" w:styleId="BulletChar">
    <w:name w:val="Bullet Char"/>
    <w:basedOn w:val="DefaultParagraphFont"/>
    <w:link w:val="Bullet"/>
    <w:locked/>
    <w:rsid w:val="008B5052"/>
    <w:rPr>
      <w:rFonts w:eastAsia="Times New Roman"/>
      <w:sz w:val="22"/>
    </w:rPr>
  </w:style>
  <w:style w:type="paragraph" w:customStyle="1" w:styleId="Figureheading">
    <w:name w:val="Figure heading"/>
    <w:basedOn w:val="Normal"/>
    <w:next w:val="BodyText"/>
    <w:qFormat/>
    <w:rsid w:val="008B5052"/>
    <w:pPr>
      <w:keepNext/>
      <w:spacing w:before="120" w:after="120"/>
      <w:ind w:left="1134" w:hanging="1134"/>
    </w:pPr>
    <w:rPr>
      <w:rFonts w:ascii="Calibri" w:eastAsiaTheme="minorEastAsia" w:hAnsi="Calibri" w:cstheme="minorBidi"/>
      <w:b/>
      <w:sz w:val="20"/>
      <w:szCs w:val="22"/>
      <w:lang w:val="en-NZ" w:eastAsia="en-NZ"/>
    </w:rPr>
  </w:style>
  <w:style w:type="paragraph" w:customStyle="1" w:styleId="Footerodd">
    <w:name w:val="Footer odd"/>
    <w:basedOn w:val="Normal"/>
    <w:uiPriority w:val="1"/>
    <w:rsid w:val="00287A95"/>
    <w:pPr>
      <w:tabs>
        <w:tab w:val="right" w:pos="7938"/>
        <w:tab w:val="right" w:pos="8505"/>
      </w:tabs>
      <w:spacing w:before="120" w:after="120"/>
    </w:pPr>
    <w:rPr>
      <w:rFonts w:ascii="Calibri" w:eastAsiaTheme="minorEastAsia" w:hAnsi="Calibri" w:cstheme="minorBidi"/>
      <w:sz w:val="16"/>
      <w:szCs w:val="22"/>
      <w:lang w:val="en-NZ" w:eastAsia="en-NZ"/>
    </w:rPr>
  </w:style>
  <w:style w:type="paragraph" w:customStyle="1" w:styleId="Numberedparagraph">
    <w:name w:val="Numbered paragraph"/>
    <w:basedOn w:val="Normal"/>
    <w:uiPriority w:val="1"/>
    <w:qFormat/>
    <w:rsid w:val="00287A95"/>
    <w:pPr>
      <w:numPr>
        <w:numId w:val="44"/>
      </w:numPr>
      <w:spacing w:after="120"/>
    </w:pPr>
    <w:rPr>
      <w:rFonts w:ascii="Calibri" w:eastAsiaTheme="minorEastAsia" w:hAnsi="Calibri" w:cstheme="minorBidi"/>
      <w:szCs w:val="22"/>
      <w:lang w:val="en-NZ" w:eastAsia="en-NZ"/>
    </w:rPr>
  </w:style>
  <w:style w:type="paragraph" w:customStyle="1" w:styleId="Footnote">
    <w:name w:val="Footnote"/>
    <w:basedOn w:val="Normal"/>
    <w:qFormat/>
    <w:rsid w:val="00287A95"/>
    <w:pPr>
      <w:spacing w:after="60" w:line="240" w:lineRule="exact"/>
      <w:ind w:left="284" w:hanging="284"/>
    </w:pPr>
    <w:rPr>
      <w:rFonts w:asciiTheme="minorHAnsi" w:eastAsiaTheme="minorEastAsia" w:hAnsiTheme="minorHAnsi" w:cstheme="minorHAnsi"/>
      <w:sz w:val="19"/>
      <w:szCs w:val="19"/>
      <w:lang w:val="en-NZ" w:eastAsia="en-NZ"/>
    </w:rPr>
  </w:style>
  <w:style w:type="paragraph" w:customStyle="1" w:styleId="Heading2notforTOC">
    <w:name w:val="Heading 2 not for TOC"/>
    <w:basedOn w:val="Heading2"/>
    <w:qFormat/>
    <w:rsid w:val="00287A95"/>
    <w:pPr>
      <w:tabs>
        <w:tab w:val="left" w:pos="851"/>
      </w:tabs>
      <w:spacing w:before="360" w:after="0" w:line="240" w:lineRule="auto"/>
    </w:pPr>
    <w:rPr>
      <w:rFonts w:ascii="Calibri" w:eastAsiaTheme="majorEastAsia" w:hAnsi="Calibri" w:cstheme="majorBidi"/>
      <w:bCs/>
      <w:color w:val="0F7B7D"/>
      <w:spacing w:val="0"/>
      <w:w w:val="100"/>
      <w:sz w:val="36"/>
      <w:szCs w:val="26"/>
      <w:lang w:val="en-NZ" w:eastAsia="en-NZ"/>
    </w:rPr>
  </w:style>
  <w:style w:type="paragraph" w:styleId="EndnoteText">
    <w:name w:val="endnote text"/>
    <w:basedOn w:val="Normal"/>
    <w:link w:val="EndnoteTextChar"/>
    <w:uiPriority w:val="99"/>
    <w:semiHidden/>
    <w:unhideWhenUsed/>
    <w:rsid w:val="00B7069A"/>
    <w:pPr>
      <w:spacing w:after="0" w:line="240" w:lineRule="auto"/>
    </w:pPr>
    <w:rPr>
      <w:sz w:val="20"/>
    </w:rPr>
  </w:style>
  <w:style w:type="character" w:customStyle="1" w:styleId="EndnoteTextChar">
    <w:name w:val="Endnote Text Char"/>
    <w:basedOn w:val="DefaultParagraphFont"/>
    <w:link w:val="EndnoteText"/>
    <w:uiPriority w:val="99"/>
    <w:semiHidden/>
    <w:rsid w:val="00B7069A"/>
    <w:rPr>
      <w:rFonts w:ascii="Arial" w:eastAsia="Times New Roman" w:hAnsi="Arial"/>
      <w:lang w:val="en-GB" w:eastAsia="en-GB"/>
    </w:rPr>
  </w:style>
  <w:style w:type="character" w:styleId="EndnoteReference">
    <w:name w:val="endnote reference"/>
    <w:basedOn w:val="DefaultParagraphFont"/>
    <w:uiPriority w:val="99"/>
    <w:semiHidden/>
    <w:unhideWhenUsed/>
    <w:rsid w:val="00B70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23">
      <w:bodyDiv w:val="1"/>
      <w:marLeft w:val="0"/>
      <w:marRight w:val="0"/>
      <w:marTop w:val="0"/>
      <w:marBottom w:val="0"/>
      <w:divBdr>
        <w:top w:val="none" w:sz="0" w:space="0" w:color="auto"/>
        <w:left w:val="none" w:sz="0" w:space="0" w:color="auto"/>
        <w:bottom w:val="none" w:sz="0" w:space="0" w:color="auto"/>
        <w:right w:val="none" w:sz="0" w:space="0" w:color="auto"/>
      </w:divBdr>
    </w:div>
    <w:div w:id="115873229">
      <w:bodyDiv w:val="1"/>
      <w:marLeft w:val="0"/>
      <w:marRight w:val="0"/>
      <w:marTop w:val="0"/>
      <w:marBottom w:val="0"/>
      <w:divBdr>
        <w:top w:val="none" w:sz="0" w:space="0" w:color="auto"/>
        <w:left w:val="none" w:sz="0" w:space="0" w:color="auto"/>
        <w:bottom w:val="none" w:sz="0" w:space="0" w:color="auto"/>
        <w:right w:val="none" w:sz="0" w:space="0" w:color="auto"/>
      </w:divBdr>
    </w:div>
    <w:div w:id="159541655">
      <w:bodyDiv w:val="1"/>
      <w:marLeft w:val="0"/>
      <w:marRight w:val="0"/>
      <w:marTop w:val="0"/>
      <w:marBottom w:val="0"/>
      <w:divBdr>
        <w:top w:val="none" w:sz="0" w:space="0" w:color="auto"/>
        <w:left w:val="none" w:sz="0" w:space="0" w:color="auto"/>
        <w:bottom w:val="none" w:sz="0" w:space="0" w:color="auto"/>
        <w:right w:val="none" w:sz="0" w:space="0" w:color="auto"/>
      </w:divBdr>
    </w:div>
    <w:div w:id="302318297">
      <w:bodyDiv w:val="1"/>
      <w:marLeft w:val="0"/>
      <w:marRight w:val="0"/>
      <w:marTop w:val="0"/>
      <w:marBottom w:val="0"/>
      <w:divBdr>
        <w:top w:val="none" w:sz="0" w:space="0" w:color="auto"/>
        <w:left w:val="none" w:sz="0" w:space="0" w:color="auto"/>
        <w:bottom w:val="none" w:sz="0" w:space="0" w:color="auto"/>
        <w:right w:val="none" w:sz="0" w:space="0" w:color="auto"/>
      </w:divBdr>
    </w:div>
    <w:div w:id="557980961">
      <w:bodyDiv w:val="1"/>
      <w:marLeft w:val="0"/>
      <w:marRight w:val="0"/>
      <w:marTop w:val="0"/>
      <w:marBottom w:val="0"/>
      <w:divBdr>
        <w:top w:val="none" w:sz="0" w:space="0" w:color="auto"/>
        <w:left w:val="none" w:sz="0" w:space="0" w:color="auto"/>
        <w:bottom w:val="none" w:sz="0" w:space="0" w:color="auto"/>
        <w:right w:val="none" w:sz="0" w:space="0" w:color="auto"/>
      </w:divBdr>
    </w:div>
    <w:div w:id="674963235">
      <w:bodyDiv w:val="1"/>
      <w:marLeft w:val="0"/>
      <w:marRight w:val="0"/>
      <w:marTop w:val="0"/>
      <w:marBottom w:val="0"/>
      <w:divBdr>
        <w:top w:val="none" w:sz="0" w:space="0" w:color="auto"/>
        <w:left w:val="none" w:sz="0" w:space="0" w:color="auto"/>
        <w:bottom w:val="none" w:sz="0" w:space="0" w:color="auto"/>
        <w:right w:val="none" w:sz="0" w:space="0" w:color="auto"/>
      </w:divBdr>
      <w:divsChild>
        <w:div w:id="1246525703">
          <w:marLeft w:val="0"/>
          <w:marRight w:val="0"/>
          <w:marTop w:val="0"/>
          <w:marBottom w:val="0"/>
          <w:divBdr>
            <w:top w:val="none" w:sz="0" w:space="0" w:color="auto"/>
            <w:left w:val="none" w:sz="0" w:space="0" w:color="auto"/>
            <w:bottom w:val="none" w:sz="0" w:space="0" w:color="auto"/>
            <w:right w:val="none" w:sz="0" w:space="0" w:color="auto"/>
          </w:divBdr>
          <w:divsChild>
            <w:div w:id="1807115103">
              <w:marLeft w:val="0"/>
              <w:marRight w:val="0"/>
              <w:marTop w:val="0"/>
              <w:marBottom w:val="0"/>
              <w:divBdr>
                <w:top w:val="none" w:sz="0" w:space="0" w:color="auto"/>
                <w:left w:val="none" w:sz="0" w:space="0" w:color="auto"/>
                <w:bottom w:val="none" w:sz="0" w:space="0" w:color="auto"/>
                <w:right w:val="none" w:sz="0" w:space="0" w:color="auto"/>
              </w:divBdr>
              <w:divsChild>
                <w:div w:id="1304501950">
                  <w:marLeft w:val="0"/>
                  <w:marRight w:val="0"/>
                  <w:marTop w:val="0"/>
                  <w:marBottom w:val="0"/>
                  <w:divBdr>
                    <w:top w:val="none" w:sz="0" w:space="0" w:color="auto"/>
                    <w:left w:val="none" w:sz="0" w:space="0" w:color="auto"/>
                    <w:bottom w:val="none" w:sz="0" w:space="0" w:color="auto"/>
                    <w:right w:val="none" w:sz="0" w:space="0" w:color="auto"/>
                  </w:divBdr>
                  <w:divsChild>
                    <w:div w:id="126969939">
                      <w:marLeft w:val="0"/>
                      <w:marRight w:val="0"/>
                      <w:marTop w:val="0"/>
                      <w:marBottom w:val="0"/>
                      <w:divBdr>
                        <w:top w:val="none" w:sz="0" w:space="0" w:color="auto"/>
                        <w:left w:val="none" w:sz="0" w:space="0" w:color="auto"/>
                        <w:bottom w:val="none" w:sz="0" w:space="0" w:color="auto"/>
                        <w:right w:val="none" w:sz="0" w:space="0" w:color="auto"/>
                      </w:divBdr>
                      <w:divsChild>
                        <w:div w:id="614485011">
                          <w:marLeft w:val="0"/>
                          <w:marRight w:val="0"/>
                          <w:marTop w:val="0"/>
                          <w:marBottom w:val="0"/>
                          <w:divBdr>
                            <w:top w:val="none" w:sz="0" w:space="0" w:color="auto"/>
                            <w:left w:val="none" w:sz="0" w:space="0" w:color="auto"/>
                            <w:bottom w:val="none" w:sz="0" w:space="0" w:color="auto"/>
                            <w:right w:val="none" w:sz="0" w:space="0" w:color="auto"/>
                          </w:divBdr>
                          <w:divsChild>
                            <w:div w:id="1003046397">
                              <w:marLeft w:val="0"/>
                              <w:marRight w:val="0"/>
                              <w:marTop w:val="0"/>
                              <w:marBottom w:val="0"/>
                              <w:divBdr>
                                <w:top w:val="none" w:sz="0" w:space="0" w:color="auto"/>
                                <w:left w:val="none" w:sz="0" w:space="0" w:color="auto"/>
                                <w:bottom w:val="none" w:sz="0" w:space="0" w:color="auto"/>
                                <w:right w:val="none" w:sz="0" w:space="0" w:color="auto"/>
                              </w:divBdr>
                              <w:divsChild>
                                <w:div w:id="379289397">
                                  <w:marLeft w:val="0"/>
                                  <w:marRight w:val="0"/>
                                  <w:marTop w:val="0"/>
                                  <w:marBottom w:val="0"/>
                                  <w:divBdr>
                                    <w:top w:val="none" w:sz="0" w:space="0" w:color="auto"/>
                                    <w:left w:val="none" w:sz="0" w:space="0" w:color="auto"/>
                                    <w:bottom w:val="none" w:sz="0" w:space="0" w:color="auto"/>
                                    <w:right w:val="none" w:sz="0" w:space="0" w:color="auto"/>
                                  </w:divBdr>
                                  <w:divsChild>
                                    <w:div w:id="142167339">
                                      <w:marLeft w:val="0"/>
                                      <w:marRight w:val="0"/>
                                      <w:marTop w:val="0"/>
                                      <w:marBottom w:val="0"/>
                                      <w:divBdr>
                                        <w:top w:val="none" w:sz="0" w:space="0" w:color="auto"/>
                                        <w:left w:val="none" w:sz="0" w:space="0" w:color="auto"/>
                                        <w:bottom w:val="none" w:sz="0" w:space="0" w:color="auto"/>
                                        <w:right w:val="none" w:sz="0" w:space="0" w:color="auto"/>
                                      </w:divBdr>
                                      <w:divsChild>
                                        <w:div w:id="1378310944">
                                          <w:marLeft w:val="0"/>
                                          <w:marRight w:val="0"/>
                                          <w:marTop w:val="0"/>
                                          <w:marBottom w:val="0"/>
                                          <w:divBdr>
                                            <w:top w:val="none" w:sz="0" w:space="0" w:color="auto"/>
                                            <w:left w:val="none" w:sz="0" w:space="0" w:color="auto"/>
                                            <w:bottom w:val="none" w:sz="0" w:space="0" w:color="auto"/>
                                            <w:right w:val="none" w:sz="0" w:space="0" w:color="auto"/>
                                          </w:divBdr>
                                          <w:divsChild>
                                            <w:div w:id="577978545">
                                              <w:marLeft w:val="0"/>
                                              <w:marRight w:val="0"/>
                                              <w:marTop w:val="0"/>
                                              <w:marBottom w:val="0"/>
                                              <w:divBdr>
                                                <w:top w:val="none" w:sz="0" w:space="0" w:color="auto"/>
                                                <w:left w:val="none" w:sz="0" w:space="0" w:color="auto"/>
                                                <w:bottom w:val="none" w:sz="0" w:space="0" w:color="auto"/>
                                                <w:right w:val="none" w:sz="0" w:space="0" w:color="auto"/>
                                              </w:divBdr>
                                              <w:divsChild>
                                                <w:div w:id="3750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93635">
      <w:bodyDiv w:val="1"/>
      <w:marLeft w:val="0"/>
      <w:marRight w:val="0"/>
      <w:marTop w:val="0"/>
      <w:marBottom w:val="0"/>
      <w:divBdr>
        <w:top w:val="none" w:sz="0" w:space="0" w:color="auto"/>
        <w:left w:val="none" w:sz="0" w:space="0" w:color="auto"/>
        <w:bottom w:val="none" w:sz="0" w:space="0" w:color="auto"/>
        <w:right w:val="none" w:sz="0" w:space="0" w:color="auto"/>
      </w:divBdr>
    </w:div>
    <w:div w:id="933900869">
      <w:bodyDiv w:val="1"/>
      <w:marLeft w:val="0"/>
      <w:marRight w:val="0"/>
      <w:marTop w:val="0"/>
      <w:marBottom w:val="0"/>
      <w:divBdr>
        <w:top w:val="none" w:sz="0" w:space="0" w:color="auto"/>
        <w:left w:val="none" w:sz="0" w:space="0" w:color="auto"/>
        <w:bottom w:val="none" w:sz="0" w:space="0" w:color="auto"/>
        <w:right w:val="none" w:sz="0" w:space="0" w:color="auto"/>
      </w:divBdr>
    </w:div>
    <w:div w:id="1261642347">
      <w:bodyDiv w:val="1"/>
      <w:marLeft w:val="0"/>
      <w:marRight w:val="0"/>
      <w:marTop w:val="0"/>
      <w:marBottom w:val="0"/>
      <w:divBdr>
        <w:top w:val="none" w:sz="0" w:space="0" w:color="auto"/>
        <w:left w:val="none" w:sz="0" w:space="0" w:color="auto"/>
        <w:bottom w:val="none" w:sz="0" w:space="0" w:color="auto"/>
        <w:right w:val="none" w:sz="0" w:space="0" w:color="auto"/>
      </w:divBdr>
    </w:div>
    <w:div w:id="1575821378">
      <w:bodyDiv w:val="1"/>
      <w:marLeft w:val="0"/>
      <w:marRight w:val="0"/>
      <w:marTop w:val="0"/>
      <w:marBottom w:val="0"/>
      <w:divBdr>
        <w:top w:val="none" w:sz="0" w:space="0" w:color="auto"/>
        <w:left w:val="none" w:sz="0" w:space="0" w:color="auto"/>
        <w:bottom w:val="none" w:sz="0" w:space="0" w:color="auto"/>
        <w:right w:val="none" w:sz="0" w:space="0" w:color="auto"/>
      </w:divBdr>
    </w:div>
    <w:div w:id="1678193772">
      <w:bodyDiv w:val="1"/>
      <w:marLeft w:val="0"/>
      <w:marRight w:val="0"/>
      <w:marTop w:val="0"/>
      <w:marBottom w:val="0"/>
      <w:divBdr>
        <w:top w:val="none" w:sz="0" w:space="0" w:color="auto"/>
        <w:left w:val="none" w:sz="0" w:space="0" w:color="auto"/>
        <w:bottom w:val="none" w:sz="0" w:space="0" w:color="auto"/>
        <w:right w:val="none" w:sz="0" w:space="0" w:color="auto"/>
      </w:divBdr>
    </w:div>
    <w:div w:id="1902904279">
      <w:bodyDiv w:val="1"/>
      <w:marLeft w:val="0"/>
      <w:marRight w:val="0"/>
      <w:marTop w:val="0"/>
      <w:marBottom w:val="0"/>
      <w:divBdr>
        <w:top w:val="none" w:sz="0" w:space="0" w:color="auto"/>
        <w:left w:val="none" w:sz="0" w:space="0" w:color="auto"/>
        <w:bottom w:val="none" w:sz="0" w:space="0" w:color="auto"/>
        <w:right w:val="none" w:sz="0" w:space="0" w:color="auto"/>
      </w:divBdr>
    </w:div>
    <w:div w:id="1925408899">
      <w:bodyDiv w:val="1"/>
      <w:marLeft w:val="0"/>
      <w:marRight w:val="0"/>
      <w:marTop w:val="0"/>
      <w:marBottom w:val="0"/>
      <w:divBdr>
        <w:top w:val="none" w:sz="0" w:space="0" w:color="auto"/>
        <w:left w:val="none" w:sz="0" w:space="0" w:color="auto"/>
        <w:bottom w:val="none" w:sz="0" w:space="0" w:color="auto"/>
        <w:right w:val="none" w:sz="0" w:space="0" w:color="auto"/>
      </w:divBdr>
    </w:div>
    <w:div w:id="1972904972">
      <w:bodyDiv w:val="1"/>
      <w:marLeft w:val="0"/>
      <w:marRight w:val="0"/>
      <w:marTop w:val="0"/>
      <w:marBottom w:val="0"/>
      <w:divBdr>
        <w:top w:val="none" w:sz="0" w:space="0" w:color="auto"/>
        <w:left w:val="none" w:sz="0" w:space="0" w:color="auto"/>
        <w:bottom w:val="none" w:sz="0" w:space="0" w:color="auto"/>
        <w:right w:val="none" w:sz="0" w:space="0" w:color="auto"/>
      </w:divBdr>
      <w:divsChild>
        <w:div w:id="1302268548">
          <w:marLeft w:val="0"/>
          <w:marRight w:val="0"/>
          <w:marTop w:val="0"/>
          <w:marBottom w:val="0"/>
          <w:divBdr>
            <w:top w:val="none" w:sz="0" w:space="0" w:color="auto"/>
            <w:left w:val="none" w:sz="0" w:space="0" w:color="auto"/>
            <w:bottom w:val="none" w:sz="0" w:space="0" w:color="auto"/>
            <w:right w:val="none" w:sz="0" w:space="0" w:color="auto"/>
          </w:divBdr>
          <w:divsChild>
            <w:div w:id="1432047133">
              <w:marLeft w:val="0"/>
              <w:marRight w:val="0"/>
              <w:marTop w:val="0"/>
              <w:marBottom w:val="0"/>
              <w:divBdr>
                <w:top w:val="none" w:sz="0" w:space="0" w:color="auto"/>
                <w:left w:val="none" w:sz="0" w:space="0" w:color="auto"/>
                <w:bottom w:val="none" w:sz="0" w:space="0" w:color="auto"/>
                <w:right w:val="none" w:sz="0" w:space="0" w:color="auto"/>
              </w:divBdr>
              <w:divsChild>
                <w:div w:id="142284066">
                  <w:marLeft w:val="0"/>
                  <w:marRight w:val="0"/>
                  <w:marTop w:val="0"/>
                  <w:marBottom w:val="0"/>
                  <w:divBdr>
                    <w:top w:val="none" w:sz="0" w:space="0" w:color="auto"/>
                    <w:left w:val="none" w:sz="0" w:space="0" w:color="auto"/>
                    <w:bottom w:val="none" w:sz="0" w:space="0" w:color="auto"/>
                    <w:right w:val="none" w:sz="0" w:space="0" w:color="auto"/>
                  </w:divBdr>
                  <w:divsChild>
                    <w:div w:id="2087654652">
                      <w:marLeft w:val="0"/>
                      <w:marRight w:val="0"/>
                      <w:marTop w:val="0"/>
                      <w:marBottom w:val="0"/>
                      <w:divBdr>
                        <w:top w:val="none" w:sz="0" w:space="0" w:color="auto"/>
                        <w:left w:val="none" w:sz="0" w:space="0" w:color="auto"/>
                        <w:bottom w:val="none" w:sz="0" w:space="0" w:color="auto"/>
                        <w:right w:val="none" w:sz="0" w:space="0" w:color="auto"/>
                      </w:divBdr>
                      <w:divsChild>
                        <w:div w:id="636842786">
                          <w:marLeft w:val="0"/>
                          <w:marRight w:val="0"/>
                          <w:marTop w:val="0"/>
                          <w:marBottom w:val="0"/>
                          <w:divBdr>
                            <w:top w:val="none" w:sz="0" w:space="0" w:color="auto"/>
                            <w:left w:val="none" w:sz="0" w:space="0" w:color="auto"/>
                            <w:bottom w:val="none" w:sz="0" w:space="0" w:color="auto"/>
                            <w:right w:val="none" w:sz="0" w:space="0" w:color="auto"/>
                          </w:divBdr>
                          <w:divsChild>
                            <w:div w:id="462039484">
                              <w:marLeft w:val="0"/>
                              <w:marRight w:val="0"/>
                              <w:marTop w:val="0"/>
                              <w:marBottom w:val="0"/>
                              <w:divBdr>
                                <w:top w:val="none" w:sz="0" w:space="0" w:color="auto"/>
                                <w:left w:val="none" w:sz="0" w:space="0" w:color="auto"/>
                                <w:bottom w:val="none" w:sz="0" w:space="0" w:color="auto"/>
                                <w:right w:val="none" w:sz="0" w:space="0" w:color="auto"/>
                              </w:divBdr>
                              <w:divsChild>
                                <w:div w:id="723019524">
                                  <w:marLeft w:val="0"/>
                                  <w:marRight w:val="0"/>
                                  <w:marTop w:val="0"/>
                                  <w:marBottom w:val="0"/>
                                  <w:divBdr>
                                    <w:top w:val="none" w:sz="0" w:space="0" w:color="auto"/>
                                    <w:left w:val="none" w:sz="0" w:space="0" w:color="auto"/>
                                    <w:bottom w:val="none" w:sz="0" w:space="0" w:color="auto"/>
                                    <w:right w:val="none" w:sz="0" w:space="0" w:color="auto"/>
                                  </w:divBdr>
                                  <w:divsChild>
                                    <w:div w:id="1770350880">
                                      <w:marLeft w:val="0"/>
                                      <w:marRight w:val="0"/>
                                      <w:marTop w:val="0"/>
                                      <w:marBottom w:val="0"/>
                                      <w:divBdr>
                                        <w:top w:val="none" w:sz="0" w:space="0" w:color="auto"/>
                                        <w:left w:val="none" w:sz="0" w:space="0" w:color="auto"/>
                                        <w:bottom w:val="none" w:sz="0" w:space="0" w:color="auto"/>
                                        <w:right w:val="none" w:sz="0" w:space="0" w:color="auto"/>
                                      </w:divBdr>
                                      <w:divsChild>
                                        <w:div w:id="1697733424">
                                          <w:marLeft w:val="0"/>
                                          <w:marRight w:val="0"/>
                                          <w:marTop w:val="0"/>
                                          <w:marBottom w:val="0"/>
                                          <w:divBdr>
                                            <w:top w:val="none" w:sz="0" w:space="0" w:color="auto"/>
                                            <w:left w:val="none" w:sz="0" w:space="0" w:color="auto"/>
                                            <w:bottom w:val="none" w:sz="0" w:space="0" w:color="auto"/>
                                            <w:right w:val="none" w:sz="0" w:space="0" w:color="auto"/>
                                          </w:divBdr>
                                          <w:divsChild>
                                            <w:div w:id="811098548">
                                              <w:marLeft w:val="0"/>
                                              <w:marRight w:val="0"/>
                                              <w:marTop w:val="0"/>
                                              <w:marBottom w:val="0"/>
                                              <w:divBdr>
                                                <w:top w:val="none" w:sz="0" w:space="0" w:color="auto"/>
                                                <w:left w:val="none" w:sz="0" w:space="0" w:color="auto"/>
                                                <w:bottom w:val="none" w:sz="0" w:space="0" w:color="auto"/>
                                                <w:right w:val="none" w:sz="0" w:space="0" w:color="auto"/>
                                              </w:divBdr>
                                              <w:divsChild>
                                                <w:div w:id="2495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976251">
      <w:bodyDiv w:val="1"/>
      <w:marLeft w:val="0"/>
      <w:marRight w:val="0"/>
      <w:marTop w:val="0"/>
      <w:marBottom w:val="0"/>
      <w:divBdr>
        <w:top w:val="none" w:sz="0" w:space="0" w:color="auto"/>
        <w:left w:val="none" w:sz="0" w:space="0" w:color="auto"/>
        <w:bottom w:val="none" w:sz="0" w:space="0" w:color="auto"/>
        <w:right w:val="none" w:sz="0" w:space="0" w:color="auto"/>
      </w:divBdr>
    </w:div>
    <w:div w:id="21136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ville.montreal.qc.ca/portal/page?_pageid=7418,142803238&amp;_dad=portal&amp;_schema=PORTAL" TargetMode="External"/><Relationship Id="rId13" Type="http://schemas.openxmlformats.org/officeDocument/2006/relationships/hyperlink" Target="https://www.stats.govt.nz/information-releases/new-zealand-business-demography-statistics-at-february-2017" TargetMode="External"/><Relationship Id="rId3" Type="http://schemas.openxmlformats.org/officeDocument/2006/relationships/hyperlink" Target="http://www.newworld.co.nz/about-us/news/whats-next-for-bags/" TargetMode="External"/><Relationship Id="rId7" Type="http://schemas.openxmlformats.org/officeDocument/2006/relationships/hyperlink" Target="http://www.mfe.govt.nz/node/24338" TargetMode="External"/><Relationship Id="rId12" Type="http://schemas.openxmlformats.org/officeDocument/2006/relationships/hyperlink" Target="https://www.gov.uk/government/news/plastic-bag-charge-set-to-be-rolled-out-to-all-retailers" TargetMode="External"/><Relationship Id="rId2" Type="http://schemas.openxmlformats.org/officeDocument/2006/relationships/hyperlink" Target="https://www.countdown.co.nz/community-environment/our-commitment-to-phasing-out-single-use-plastic-carrier-bags" TargetMode="External"/><Relationship Id="rId1" Type="http://schemas.openxmlformats.org/officeDocument/2006/relationships/hyperlink" Target="http://www.mfe.govt.nz/node/24338" TargetMode="External"/><Relationship Id="rId6" Type="http://schemas.openxmlformats.org/officeDocument/2006/relationships/hyperlink" Target="https://www.thewarehousegroup.co.nz/news-updates/warehouse-group-ditches-single-use-plastic-bags-checkouts" TargetMode="External"/><Relationship Id="rId11" Type="http://schemas.openxmlformats.org/officeDocument/2006/relationships/hyperlink" Target="https://bagbanwa.com.au/the-risk-of-barely-compliant-bags/" TargetMode="External"/><Relationship Id="rId5" Type="http://schemas.openxmlformats.org/officeDocument/2006/relationships/hyperlink" Target="https://www.mitre10.co.nz/news/mitre-10-to-ditch-plastic-bags" TargetMode="External"/><Relationship Id="rId15" Type="http://schemas.openxmlformats.org/officeDocument/2006/relationships/hyperlink" Target="http://www.mfe.govt.nz/node/24338" TargetMode="External"/><Relationship Id="rId10" Type="http://schemas.openxmlformats.org/officeDocument/2006/relationships/hyperlink" Target="http://qldbagban.com.au/the-risk-of-using-lightweight-plastic-singlet-bags" TargetMode="External"/><Relationship Id="rId4" Type="http://schemas.openxmlformats.org/officeDocument/2006/relationships/hyperlink" Target="https://z.co.nz/about-z/what-matters/sustainability/saying-goodbye-to-plastic-bags/" TargetMode="External"/><Relationship Id="rId9" Type="http://schemas.openxmlformats.org/officeDocument/2006/relationships/hyperlink" Target="https://www.gov.uk/guidance/carrier-bag-charges-retailers-responsibilities" TargetMode="External"/><Relationship Id="rId14" Type="http://schemas.openxmlformats.org/officeDocument/2006/relationships/hyperlink" Target="https://www.legislation.qld.gov.au/view/html/asmade/act-2017-03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tepuna.mfe.govt.nz/otcsdav/nodes/10355705/Final%20Submissions%20and%20Figures%20for%20Summary.xlsx" TargetMode="External" /><Relationship Id="rId2" Type="http://schemas.microsoft.com/office/2011/relationships/chartColorStyle" Target="colors1.xml" /><Relationship Id="rId1" Type="http://schemas.microsoft.com/office/2011/relationships/chartStyle" Target="styl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3"/>
          <c:order val="0"/>
          <c:tx>
            <c:strRef>
              <c:f>Figures!$F$4</c:f>
              <c:strCache>
                <c:ptCount val="1"/>
                <c:pt idx="0">
                  <c:v>Agree</c:v>
                </c:pt>
              </c:strCache>
            </c:strRef>
          </c:tx>
          <c:spPr>
            <a:solidFill>
              <a:srgbClr val="1C556C"/>
            </a:solidFill>
            <a:ln>
              <a:noFill/>
            </a:ln>
            <a:effectLst/>
          </c:spPr>
          <c:invertIfNegative val="0"/>
          <c:cat>
            <c:strRef>
              <c:f>Figures!$B$5:$B$12</c:f>
              <c:strCache>
                <c:ptCount val="8"/>
                <c:pt idx="0">
                  <c:v>Individual (n=5,972)</c:v>
                </c:pt>
                <c:pt idx="1">
                  <c:v>Business (n=92)</c:v>
                </c:pt>
                <c:pt idx="2">
                  <c:v>NGOs (n=25)</c:v>
                </c:pt>
                <c:pt idx="3">
                  <c:v>Local government (n=17)</c:v>
                </c:pt>
                <c:pt idx="4">
                  <c:v>Iwi (n=2)</c:v>
                </c:pt>
                <c:pt idx="5">
                  <c:v>Other (n=21)</c:v>
                </c:pt>
                <c:pt idx="6">
                  <c:v>Web survey (n=3,225)</c:v>
                </c:pt>
                <c:pt idx="7">
                  <c:v>Total (n=9,354)</c:v>
                </c:pt>
              </c:strCache>
            </c:strRef>
          </c:cat>
          <c:val>
            <c:numRef>
              <c:f>Figures!$F$5:$F$12</c:f>
              <c:numCache>
                <c:formatCode>General</c:formatCode>
                <c:ptCount val="8"/>
                <c:pt idx="0">
                  <c:v>0.95897521768251837</c:v>
                </c:pt>
                <c:pt idx="1">
                  <c:v>0.61956521739130432</c:v>
                </c:pt>
                <c:pt idx="2">
                  <c:v>0.84</c:v>
                </c:pt>
                <c:pt idx="3">
                  <c:v>0.76470588235294112</c:v>
                </c:pt>
                <c:pt idx="4">
                  <c:v>1</c:v>
                </c:pt>
                <c:pt idx="5">
                  <c:v>1</c:v>
                </c:pt>
                <c:pt idx="6">
                  <c:v>0.8651162790697674</c:v>
                </c:pt>
                <c:pt idx="7">
                  <c:v>0.92270686337395769</c:v>
                </c:pt>
              </c:numCache>
            </c:numRef>
          </c:val>
          <c:extLst>
            <c:ext xmlns:c16="http://schemas.microsoft.com/office/drawing/2014/chart" uri="{C3380CC4-5D6E-409C-BE32-E72D297353CC}">
              <c16:uniqueId val="{00000000-B9A7-486F-851B-3B398497EF1F}"/>
            </c:ext>
          </c:extLst>
        </c:ser>
        <c:ser>
          <c:idx val="5"/>
          <c:order val="1"/>
          <c:tx>
            <c:strRef>
              <c:f>Figures!$H$4</c:f>
              <c:strCache>
                <c:ptCount val="1"/>
                <c:pt idx="0">
                  <c:v>Disagree</c:v>
                </c:pt>
              </c:strCache>
            </c:strRef>
          </c:tx>
          <c:spPr>
            <a:solidFill>
              <a:srgbClr val="DA5A28"/>
            </a:solidFill>
            <a:ln>
              <a:noFill/>
            </a:ln>
            <a:effectLst/>
          </c:spPr>
          <c:invertIfNegative val="0"/>
          <c:cat>
            <c:strRef>
              <c:f>Figures!$B$5:$B$12</c:f>
              <c:strCache>
                <c:ptCount val="8"/>
                <c:pt idx="0">
                  <c:v>Individual (n=5,972)</c:v>
                </c:pt>
                <c:pt idx="1">
                  <c:v>Business (n=92)</c:v>
                </c:pt>
                <c:pt idx="2">
                  <c:v>NGOs (n=25)</c:v>
                </c:pt>
                <c:pt idx="3">
                  <c:v>Local government (n=17)</c:v>
                </c:pt>
                <c:pt idx="4">
                  <c:v>Iwi (n=2)</c:v>
                </c:pt>
                <c:pt idx="5">
                  <c:v>Other (n=21)</c:v>
                </c:pt>
                <c:pt idx="6">
                  <c:v>Web survey (n=3,225)</c:v>
                </c:pt>
                <c:pt idx="7">
                  <c:v>Total (n=9,354)</c:v>
                </c:pt>
              </c:strCache>
            </c:strRef>
          </c:cat>
          <c:val>
            <c:numRef>
              <c:f>Figures!$H$5:$H$12</c:f>
              <c:numCache>
                <c:formatCode>General</c:formatCode>
                <c:ptCount val="8"/>
                <c:pt idx="0">
                  <c:v>2.6959142665773612E-2</c:v>
                </c:pt>
                <c:pt idx="1">
                  <c:v>0.25</c:v>
                </c:pt>
                <c:pt idx="2">
                  <c:v>0.08</c:v>
                </c:pt>
                <c:pt idx="3">
                  <c:v>0</c:v>
                </c:pt>
                <c:pt idx="4">
                  <c:v>0</c:v>
                </c:pt>
                <c:pt idx="5">
                  <c:v>0</c:v>
                </c:pt>
                <c:pt idx="6">
                  <c:v>9.8604651162790699E-2</c:v>
                </c:pt>
                <c:pt idx="7">
                  <c:v>5.3880692751763951E-2</c:v>
                </c:pt>
              </c:numCache>
            </c:numRef>
          </c:val>
          <c:extLst>
            <c:ext xmlns:c16="http://schemas.microsoft.com/office/drawing/2014/chart" uri="{C3380CC4-5D6E-409C-BE32-E72D297353CC}">
              <c16:uniqueId val="{00000001-B9A7-486F-851B-3B398497EF1F}"/>
            </c:ext>
          </c:extLst>
        </c:ser>
        <c:ser>
          <c:idx val="7"/>
          <c:order val="2"/>
          <c:tx>
            <c:strRef>
              <c:f>Figures!$J$4</c:f>
              <c:strCache>
                <c:ptCount val="1"/>
                <c:pt idx="0">
                  <c:v>Not sure</c:v>
                </c:pt>
              </c:strCache>
            </c:strRef>
          </c:tx>
          <c:spPr>
            <a:solidFill>
              <a:srgbClr val="723A24"/>
            </a:solidFill>
            <a:ln>
              <a:noFill/>
            </a:ln>
            <a:effectLst/>
          </c:spPr>
          <c:invertIfNegative val="0"/>
          <c:cat>
            <c:strRef>
              <c:f>Figures!$B$5:$B$12</c:f>
              <c:strCache>
                <c:ptCount val="8"/>
                <c:pt idx="0">
                  <c:v>Individual (n=5,972)</c:v>
                </c:pt>
                <c:pt idx="1">
                  <c:v>Business (n=92)</c:v>
                </c:pt>
                <c:pt idx="2">
                  <c:v>NGOs (n=25)</c:v>
                </c:pt>
                <c:pt idx="3">
                  <c:v>Local government (n=17)</c:v>
                </c:pt>
                <c:pt idx="4">
                  <c:v>Iwi (n=2)</c:v>
                </c:pt>
                <c:pt idx="5">
                  <c:v>Other (n=21)</c:v>
                </c:pt>
                <c:pt idx="6">
                  <c:v>Web survey (n=3,225)</c:v>
                </c:pt>
                <c:pt idx="7">
                  <c:v>Total (n=9,354)</c:v>
                </c:pt>
              </c:strCache>
            </c:strRef>
          </c:cat>
          <c:val>
            <c:numRef>
              <c:f>Figures!$J$5:$J$12</c:f>
              <c:numCache>
                <c:formatCode>General</c:formatCode>
                <c:ptCount val="8"/>
                <c:pt idx="0">
                  <c:v>4.1862022772940393E-3</c:v>
                </c:pt>
                <c:pt idx="1">
                  <c:v>3.2608695652173912E-2</c:v>
                </c:pt>
                <c:pt idx="2">
                  <c:v>0</c:v>
                </c:pt>
                <c:pt idx="3">
                  <c:v>5.8823529411764705E-2</c:v>
                </c:pt>
                <c:pt idx="4">
                  <c:v>0</c:v>
                </c:pt>
                <c:pt idx="5">
                  <c:v>0</c:v>
                </c:pt>
                <c:pt idx="6">
                  <c:v>3.6279069767441857E-2</c:v>
                </c:pt>
                <c:pt idx="7">
                  <c:v>1.5608295916185589E-2</c:v>
                </c:pt>
              </c:numCache>
            </c:numRef>
          </c:val>
          <c:extLst>
            <c:ext xmlns:c16="http://schemas.microsoft.com/office/drawing/2014/chart" uri="{C3380CC4-5D6E-409C-BE32-E72D297353CC}">
              <c16:uniqueId val="{00000002-B9A7-486F-851B-3B398497EF1F}"/>
            </c:ext>
          </c:extLst>
        </c:ser>
        <c:ser>
          <c:idx val="9"/>
          <c:order val="3"/>
          <c:tx>
            <c:strRef>
              <c:f>Figures!$L$4</c:f>
              <c:strCache>
                <c:ptCount val="1"/>
                <c:pt idx="0">
                  <c:v>No answer</c:v>
                </c:pt>
              </c:strCache>
            </c:strRef>
          </c:tx>
          <c:spPr>
            <a:solidFill>
              <a:srgbClr val="6FC7B7"/>
            </a:solidFill>
            <a:ln>
              <a:noFill/>
            </a:ln>
            <a:effectLst/>
          </c:spPr>
          <c:invertIfNegative val="0"/>
          <c:cat>
            <c:strRef>
              <c:f>Figures!$B$5:$B$12</c:f>
              <c:strCache>
                <c:ptCount val="8"/>
                <c:pt idx="0">
                  <c:v>Individual (n=5,972)</c:v>
                </c:pt>
                <c:pt idx="1">
                  <c:v>Business (n=92)</c:v>
                </c:pt>
                <c:pt idx="2">
                  <c:v>NGOs (n=25)</c:v>
                </c:pt>
                <c:pt idx="3">
                  <c:v>Local government (n=17)</c:v>
                </c:pt>
                <c:pt idx="4">
                  <c:v>Iwi (n=2)</c:v>
                </c:pt>
                <c:pt idx="5">
                  <c:v>Other (n=21)</c:v>
                </c:pt>
                <c:pt idx="6">
                  <c:v>Web survey (n=3,225)</c:v>
                </c:pt>
                <c:pt idx="7">
                  <c:v>Total (n=9,354)</c:v>
                </c:pt>
              </c:strCache>
            </c:strRef>
          </c:cat>
          <c:val>
            <c:numRef>
              <c:f>Figures!$L$5:$L$12</c:f>
              <c:numCache>
                <c:formatCode>General</c:formatCode>
                <c:ptCount val="8"/>
                <c:pt idx="0">
                  <c:v>9.8794373744139317E-3</c:v>
                </c:pt>
                <c:pt idx="1">
                  <c:v>9.7826086956521743E-2</c:v>
                </c:pt>
                <c:pt idx="2">
                  <c:v>0.08</c:v>
                </c:pt>
                <c:pt idx="3">
                  <c:v>0.17647058823529413</c:v>
                </c:pt>
                <c:pt idx="4">
                  <c:v>0</c:v>
                </c:pt>
                <c:pt idx="5">
                  <c:v>0</c:v>
                </c:pt>
                <c:pt idx="6">
                  <c:v>0</c:v>
                </c:pt>
                <c:pt idx="7">
                  <c:v>7.8041479580927943E-3</c:v>
                </c:pt>
              </c:numCache>
            </c:numRef>
          </c:val>
          <c:extLst>
            <c:ext xmlns:c16="http://schemas.microsoft.com/office/drawing/2014/chart" uri="{C3380CC4-5D6E-409C-BE32-E72D297353CC}">
              <c16:uniqueId val="{00000003-B9A7-486F-851B-3B398497EF1F}"/>
            </c:ext>
          </c:extLst>
        </c:ser>
        <c:dLbls>
          <c:showLegendKey val="0"/>
          <c:showVal val="0"/>
          <c:showCatName val="0"/>
          <c:showSerName val="0"/>
          <c:showPercent val="0"/>
          <c:showBubbleSize val="0"/>
        </c:dLbls>
        <c:gapWidth val="150"/>
        <c:overlap val="100"/>
        <c:axId val="422503816"/>
        <c:axId val="422500208"/>
      </c:barChart>
      <c:catAx>
        <c:axId val="422503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Submitter type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500208"/>
        <c:crosses val="autoZero"/>
        <c:auto val="1"/>
        <c:lblAlgn val="ctr"/>
        <c:lblOffset val="100"/>
        <c:noMultiLvlLbl val="0"/>
      </c:catAx>
      <c:valAx>
        <c:axId val="4225002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Percentage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503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4935-ED10-4C9D-BC74-5766A16B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31</Pages>
  <Words>10706</Words>
  <Characters>61027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71590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Jackson</dc:creator>
  <cp:lastModifiedBy>Stephanie Hill</cp:lastModifiedBy>
  <cp:revision>214</cp:revision>
  <cp:lastPrinted>2018-10-12T00:05:00Z</cp:lastPrinted>
  <dcterms:created xsi:type="dcterms:W3CDTF">2018-10-23T01:13:00Z</dcterms:created>
  <dcterms:modified xsi:type="dcterms:W3CDTF">2018-12-11T01:28:00Z</dcterms:modified>
</cp:coreProperties>
</file>